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C3395">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14:paraId="1C0F90D5">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保定市徐水区民兵训练基地</w:t>
      </w:r>
    </w:p>
    <w:p w14:paraId="7AB70841">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2019年部门整体支出绩效评价自评报告</w:t>
      </w:r>
    </w:p>
    <w:p w14:paraId="3012062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358425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5988C7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9A5C45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6504EC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52ECE1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6F8A69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bookmarkStart w:id="79" w:name="_GoBack"/>
      <w:bookmarkEnd w:id="79"/>
    </w:p>
    <w:p w14:paraId="2465643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0FE2C5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749CCB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12DE58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AB6461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3B1436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4D39AA0">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6CE60DF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A40B3B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F5674C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131385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5F3DB763">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1D67007E">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4F9DAD1">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B1B0EFC">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一、保定市徐水区民兵训练基地基本情况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AE6E86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9C6B4F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AAC239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p>
        <w:p w14:paraId="70AB916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DCF213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1E0AFE7">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8948951">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895ECB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0F8053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82A3FB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893FFF6">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4855D6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735C4B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7FF115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90FDA9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C868AF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9EBFCF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DF5D662">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E768D3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7DCD6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BFFE4C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E9C89F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19E5C3">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39C40C1">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0B888528">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180DAB6E">
      <w:pPr>
        <w:spacing w:after="0" w:line="5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31E72F68">
      <w:pPr>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保定市徐水区民兵训练基地为副科级事业单位，经费保障形式为财政拨款，主要职责为贯彻</w:t>
      </w:r>
      <w:r>
        <w:rPr>
          <w:rFonts w:ascii="仿宋_GB2312" w:eastAsia="仿宋_GB2312" w:cs="DengXian-Regular"/>
          <w:sz w:val="32"/>
          <w:szCs w:val="32"/>
        </w:rPr>
        <w:t>“</w:t>
      </w:r>
      <w:r>
        <w:rPr>
          <w:rFonts w:hint="eastAsia" w:ascii="仿宋_GB2312" w:eastAsia="仿宋_GB2312" w:cs="DengXian-Regular"/>
          <w:sz w:val="32"/>
          <w:szCs w:val="32"/>
        </w:rPr>
        <w:t>严格训练、严格要求</w:t>
      </w:r>
      <w:r>
        <w:rPr>
          <w:rFonts w:ascii="仿宋_GB2312" w:eastAsia="仿宋_GB2312" w:cs="DengXian-Regular"/>
          <w:sz w:val="32"/>
          <w:szCs w:val="32"/>
        </w:rPr>
        <w:t>”</w:t>
      </w:r>
      <w:r>
        <w:rPr>
          <w:rFonts w:hint="eastAsia" w:ascii="仿宋_GB2312" w:eastAsia="仿宋_GB2312" w:cs="DengXian-Regular"/>
          <w:sz w:val="32"/>
          <w:szCs w:val="32"/>
        </w:rPr>
        <w:t>的方针，坚持规范化训练，保证完成上级赋予的人武干部、专武干部和民兵的训练任务。因地制宜地抓好民兵组训等工作，充分发挥民兵职能作用。实行科学管理，建立健全教育训练、生产经营和场地、设备器材管理等项规章制度，明确各类人员职责，实行岗位责任制，使设施、物资、场地和器材经常保持良好状态。完成区委、区政府、人武部交办的其他各项工作任务。</w:t>
      </w:r>
    </w:p>
    <w:p w14:paraId="16F7203E">
      <w:pPr>
        <w:spacing w:after="0" w:line="58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7D9226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756FDE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民兵训练基地2019年部门整体支出绩效评价工作。</w:t>
      </w:r>
    </w:p>
    <w:p w14:paraId="61F3C3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民兵训练基地2019年部门整体支出绩效评价指标体系共设置4个一级指标、7个二级指标、27个三级指标，从投入、过程、产出、效果四个方面对保定市徐水区民兵训练基地部门整体支出情况评分定级。指标体系设定满分为100分，绩效评价分值≥90为“优”；80≤分值＜90为“良”；60≤分值＜80为“合格”；60分以下为“差”。</w:t>
      </w:r>
    </w:p>
    <w:p w14:paraId="011EA8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保定市徐水区民兵训练基地2019年部门整体支出综合评价得分为97分，评价等级为“优”。</w:t>
      </w:r>
    </w:p>
    <w:p w14:paraId="6CEF0C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保定市徐水区民兵训练基地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066533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3FA1AF65">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1.绩效指标方面</w:t>
      </w:r>
    </w:p>
    <w:p w14:paraId="36762BAE">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2.预算决算比较</w:t>
      </w:r>
    </w:p>
    <w:p w14:paraId="60ED161E">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3.预算追加方面</w:t>
      </w:r>
    </w:p>
    <w:p w14:paraId="3F8FB8EF">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4.项目资金使用率</w:t>
      </w:r>
    </w:p>
    <w:p w14:paraId="76A2A349">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5.部分基础数据信息方面</w:t>
      </w:r>
    </w:p>
    <w:p w14:paraId="4B215C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216DBF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9C746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6F5D5E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54AF71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3A75A8CC">
      <w:pPr>
        <w:spacing w:after="0" w:line="360" w:lineRule="auto"/>
        <w:ind w:firstLine="640" w:firstLineChars="200"/>
        <w:jc w:val="both"/>
        <w:textAlignment w:val="baseline"/>
        <w:rPr>
          <w:rFonts w:ascii="仿宋" w:hAnsi="仿宋" w:eastAsia="仿宋" w:cs="DengXian-Regular"/>
          <w:sz w:val="32"/>
          <w:szCs w:val="32"/>
        </w:rPr>
      </w:pPr>
      <w:r>
        <w:rPr>
          <w:rFonts w:hint="eastAsia" w:ascii="仿宋_GB2312" w:eastAsia="仿宋_GB2312" w:cs="DengXian-Regular"/>
          <w:sz w:val="32"/>
          <w:szCs w:val="32"/>
        </w:rPr>
        <w:t>3.</w:t>
      </w:r>
      <w:r>
        <w:rPr>
          <w:rFonts w:hint="eastAsia" w:ascii="仿宋" w:hAnsi="仿宋" w:eastAsia="仿宋" w:cs="DengXian-Regular"/>
          <w:sz w:val="32"/>
          <w:szCs w:val="32"/>
        </w:rPr>
        <w:t>提高项目资金使用率</w:t>
      </w:r>
    </w:p>
    <w:p w14:paraId="52D2F227">
      <w:pPr>
        <w:spacing w:after="0" w:line="360" w:lineRule="auto"/>
        <w:ind w:firstLine="640" w:firstLineChars="200"/>
        <w:jc w:val="both"/>
        <w:textAlignment w:val="baseline"/>
        <w:rPr>
          <w:rFonts w:ascii="仿宋" w:hAnsi="仿宋" w:eastAsia="仿宋" w:cs="Times New Roman"/>
          <w:sz w:val="32"/>
          <w:szCs w:val="32"/>
          <w:u w:color="000000"/>
        </w:rPr>
      </w:pPr>
      <w:r>
        <w:rPr>
          <w:rFonts w:hint="eastAsia" w:ascii="仿宋" w:hAnsi="仿宋" w:eastAsia="仿宋" w:cs="Times New Roman"/>
          <w:sz w:val="32"/>
          <w:szCs w:val="32"/>
          <w:u w:color="000000"/>
        </w:rPr>
        <w:t>建议</w:t>
      </w:r>
      <w:r>
        <w:rPr>
          <w:rFonts w:hint="eastAsia" w:ascii="仿宋_GB2312" w:eastAsia="仿宋_GB2312" w:cs="DengXian-Regular"/>
          <w:sz w:val="32"/>
          <w:szCs w:val="32"/>
        </w:rPr>
        <w:t>保定市徐水区民兵训练基地</w:t>
      </w:r>
      <w:r>
        <w:rPr>
          <w:rFonts w:hint="eastAsia" w:ascii="仿宋" w:hAnsi="仿宋" w:eastAsia="仿宋" w:cs="Times New Roman"/>
          <w:sz w:val="32"/>
          <w:szCs w:val="32"/>
          <w:u w:color="000000"/>
        </w:rPr>
        <w:t>对项目资金进行梳理，督促项目进度和资金拨付进度，</w:t>
      </w:r>
      <w:r>
        <w:rPr>
          <w:rFonts w:hint="eastAsia" w:ascii="仿宋_GB2312" w:eastAsia="仿宋_GB2312" w:cs="Times New Roman" w:hAnsiTheme="minorEastAsia"/>
          <w:sz w:val="32"/>
          <w:szCs w:val="32"/>
          <w:u w:color="000000"/>
        </w:rPr>
        <w:t>提</w:t>
      </w:r>
      <w:r>
        <w:rPr>
          <w:rFonts w:ascii="仿宋_GB2312" w:eastAsia="仿宋_GB2312" w:cs="Times New Roman" w:hAnsiTheme="minorEastAsia"/>
          <w:sz w:val="32"/>
          <w:szCs w:val="32"/>
          <w:u w:color="000000"/>
        </w:rPr>
        <w:t>高资金使用效益</w:t>
      </w:r>
      <w:r>
        <w:rPr>
          <w:rFonts w:hint="eastAsia" w:ascii="仿宋_GB2312" w:eastAsia="仿宋_GB2312" w:cs="Times New Roman" w:hAnsiTheme="minorEastAsia"/>
          <w:sz w:val="32"/>
          <w:szCs w:val="32"/>
          <w:u w:color="000000"/>
        </w:rPr>
        <w:t>。</w:t>
      </w:r>
    </w:p>
    <w:p w14:paraId="43614C79">
      <w:pPr>
        <w:spacing w:after="0" w:line="360" w:lineRule="auto"/>
        <w:ind w:firstLine="640" w:firstLineChars="200"/>
        <w:jc w:val="both"/>
        <w:textAlignment w:val="baseline"/>
        <w:rPr>
          <w:rFonts w:ascii="仿宋_GB2312" w:eastAsia="仿宋_GB2312" w:cs="DengXian-Regular"/>
          <w:sz w:val="32"/>
          <w:szCs w:val="32"/>
        </w:rPr>
      </w:pPr>
      <w:bookmarkStart w:id="1" w:name="_Toc4346"/>
      <w:r>
        <w:rPr>
          <w:rFonts w:hint="eastAsia" w:ascii="仿宋_GB2312" w:eastAsia="仿宋_GB2312" w:cs="DengXian-Regular"/>
          <w:sz w:val="32"/>
          <w:szCs w:val="32"/>
        </w:rPr>
        <w:t>4</w:t>
      </w:r>
      <w:r>
        <w:rPr>
          <w:rFonts w:ascii="仿宋_GB2312" w:eastAsia="仿宋_GB2312" w:cs="DengXian-Regular"/>
          <w:sz w:val="32"/>
          <w:szCs w:val="32"/>
        </w:rPr>
        <w:t>.完善基础信息管理</w:t>
      </w:r>
    </w:p>
    <w:p w14:paraId="22C5FD98">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2E82BA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5.预算安排建议</w:t>
      </w:r>
    </w:p>
    <w:p w14:paraId="669A5B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项目资金根据实际情况予以保持。</w:t>
      </w:r>
    </w:p>
    <w:p w14:paraId="2FC74C4B">
      <w:pPr>
        <w:spacing w:after="0" w:line="360" w:lineRule="auto"/>
        <w:ind w:firstLine="640" w:firstLineChars="200"/>
        <w:jc w:val="both"/>
        <w:textAlignment w:val="baseline"/>
        <w:rPr>
          <w:rFonts w:ascii="仿宋_GB2312" w:eastAsia="仿宋_GB2312" w:cs="DengXian-Regular"/>
          <w:sz w:val="32"/>
          <w:szCs w:val="32"/>
        </w:rPr>
      </w:pPr>
    </w:p>
    <w:p w14:paraId="46F7DC74">
      <w:pPr>
        <w:spacing w:after="0" w:line="360" w:lineRule="auto"/>
        <w:ind w:firstLine="640" w:firstLineChars="200"/>
        <w:jc w:val="both"/>
        <w:textAlignment w:val="baseline"/>
        <w:rPr>
          <w:rFonts w:ascii="仿宋_GB2312" w:eastAsia="仿宋_GB2312" w:cs="DengXian-Regular"/>
          <w:sz w:val="32"/>
          <w:szCs w:val="32"/>
        </w:rPr>
      </w:pPr>
    </w:p>
    <w:p w14:paraId="2EE8B83A">
      <w:pPr>
        <w:spacing w:after="0" w:line="360" w:lineRule="auto"/>
        <w:ind w:firstLine="640" w:firstLineChars="200"/>
        <w:jc w:val="both"/>
        <w:textAlignment w:val="baseline"/>
        <w:rPr>
          <w:rFonts w:ascii="仿宋_GB2312" w:eastAsia="仿宋_GB2312" w:cs="DengXian-Regular"/>
          <w:sz w:val="32"/>
          <w:szCs w:val="32"/>
        </w:rPr>
      </w:pPr>
    </w:p>
    <w:p w14:paraId="24A8A1A0">
      <w:pPr>
        <w:spacing w:after="0" w:line="360" w:lineRule="auto"/>
        <w:ind w:firstLine="640" w:firstLineChars="200"/>
        <w:jc w:val="both"/>
        <w:textAlignment w:val="baseline"/>
        <w:rPr>
          <w:rFonts w:ascii="仿宋_GB2312" w:eastAsia="仿宋_GB2312" w:cs="DengXian-Regular"/>
          <w:sz w:val="32"/>
          <w:szCs w:val="32"/>
        </w:rPr>
      </w:pPr>
    </w:p>
    <w:p w14:paraId="364F63E7">
      <w:pPr>
        <w:spacing w:after="0" w:line="360" w:lineRule="auto"/>
        <w:ind w:firstLine="640" w:firstLineChars="200"/>
        <w:jc w:val="both"/>
        <w:textAlignment w:val="baseline"/>
        <w:rPr>
          <w:rFonts w:ascii="仿宋_GB2312" w:eastAsia="仿宋_GB2312" w:cs="DengXian-Regular"/>
          <w:sz w:val="32"/>
          <w:szCs w:val="32"/>
        </w:rPr>
      </w:pPr>
    </w:p>
    <w:p w14:paraId="7C8BF8B3">
      <w:pPr>
        <w:spacing w:after="0" w:line="360" w:lineRule="auto"/>
        <w:ind w:firstLine="640" w:firstLineChars="200"/>
        <w:jc w:val="both"/>
        <w:textAlignment w:val="baseline"/>
        <w:rPr>
          <w:rFonts w:ascii="仿宋_GB2312" w:eastAsia="仿宋_GB2312" w:cs="DengXian-Regular"/>
          <w:sz w:val="32"/>
          <w:szCs w:val="32"/>
        </w:rPr>
      </w:pPr>
    </w:p>
    <w:p w14:paraId="1AC3231A">
      <w:pPr>
        <w:spacing w:after="0" w:line="360" w:lineRule="auto"/>
        <w:ind w:firstLine="640" w:firstLineChars="200"/>
        <w:jc w:val="both"/>
        <w:textAlignment w:val="baseline"/>
        <w:rPr>
          <w:rFonts w:ascii="仿宋_GB2312" w:eastAsia="仿宋_GB2312" w:cs="DengXian-Regular"/>
          <w:sz w:val="32"/>
          <w:szCs w:val="32"/>
        </w:rPr>
      </w:pPr>
    </w:p>
    <w:p w14:paraId="324B4942">
      <w:pPr>
        <w:spacing w:after="0" w:line="360" w:lineRule="auto"/>
        <w:ind w:firstLine="640" w:firstLineChars="200"/>
        <w:jc w:val="both"/>
        <w:textAlignment w:val="baseline"/>
        <w:rPr>
          <w:rFonts w:ascii="仿宋_GB2312" w:eastAsia="仿宋_GB2312" w:cs="DengXian-Regular"/>
          <w:sz w:val="32"/>
          <w:szCs w:val="32"/>
        </w:rPr>
      </w:pPr>
    </w:p>
    <w:p w14:paraId="7AAAA317">
      <w:pPr>
        <w:pStyle w:val="3"/>
        <w:spacing w:line="540" w:lineRule="exact"/>
        <w:jc w:val="center"/>
        <w:rPr>
          <w:rFonts w:ascii="黑体" w:hAnsi="黑体"/>
          <w:b w:val="0"/>
        </w:rPr>
      </w:pPr>
      <w:r>
        <w:rPr>
          <w:rFonts w:hint="eastAsia" w:ascii="黑体" w:hAnsi="黑体"/>
          <w:b w:val="0"/>
        </w:rPr>
        <w:t>第二部分   绩效评价报告</w:t>
      </w:r>
      <w:bookmarkEnd w:id="1"/>
    </w:p>
    <w:p w14:paraId="58CA84E6">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一、保定市徐水区民兵训练基地基本情况</w:t>
      </w:r>
      <w:bookmarkEnd w:id="2"/>
      <w:bookmarkEnd w:id="3"/>
      <w:bookmarkStart w:id="4" w:name="_Toc492652764"/>
    </w:p>
    <w:p w14:paraId="67B8BC42">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220666BB">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根据保定市徐水区机构编制委员会文件，关于印发《保定市徐水区民兵训练基地主要职责内设机构和人员控制数规定》的通知，保定市徐水区民兵训练基地为区政府工作部门，副科级单位。保定市徐水区民兵训练基地根据绩效预算管理改革的相关要求，按照“部门职责—工作活动绩效目标”的层级设立了绩效预算架构，职责活动包括</w:t>
      </w:r>
      <w:bookmarkStart w:id="6" w:name="_Toc465149499"/>
      <w:bookmarkStart w:id="7" w:name="_Toc492652765"/>
      <w:r>
        <w:rPr>
          <w:rFonts w:ascii="仿宋_GB2312" w:hAnsi="Tahoma" w:eastAsia="仿宋_GB2312" w:cs="DengXian-Regular"/>
          <w:kern w:val="0"/>
          <w:sz w:val="32"/>
          <w:szCs w:val="32"/>
        </w:rPr>
        <w:t>对全区人民武装干部、专职武装干部和基干民兵教育训练，加强后备力量建设，培养“劳武”两用人才。根据上级要求，认真制定基干民兵和专武干部培训计划和方案，严格组织人员按质按量完成训练任务。保证装备器材的良好状态，随时执行紧急拉动和应急任务。严格落实装备器材管理各项规章制度，经常性对装备器材进行保养，保持装备器材性能完好。使装备器材时刻保持性能完好，经常性持装备器材进行演练。</w:t>
      </w:r>
    </w:p>
    <w:p w14:paraId="1C334A3F">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21F8366E">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按照2019年绩效预算编制要求，保定市徐水区民兵训练基地设置的年度发展规划总体目标为：</w:t>
      </w:r>
    </w:p>
    <w:p w14:paraId="5EC7610D">
      <w:pPr>
        <w:spacing w:line="360" w:lineRule="auto"/>
        <w:ind w:firstLine="560"/>
        <w:rPr>
          <w:rFonts w:ascii="仿宋_GB2312" w:eastAsia="仿宋_GB2312" w:cs="DengXian-Regular"/>
          <w:sz w:val="32"/>
          <w:szCs w:val="32"/>
        </w:rPr>
      </w:pPr>
      <w:r>
        <w:rPr>
          <w:rFonts w:hint="eastAsia" w:ascii="仿宋_GB2312" w:eastAsia="仿宋_GB2312" w:cs="DengXian-Regular"/>
          <w:sz w:val="32"/>
          <w:szCs w:val="32"/>
        </w:rPr>
        <w:t>为充分履行我单位部门职责，达到上述绩效目标要求，认真制定基干民兵和专武干部培训计划和方案，严格组织人员按质按量完成训练任务。并保证年度发展规划目标的顺利实现，使装备器材时刻保持性能完好，经常性保持装备器材进行演练。</w:t>
      </w:r>
    </w:p>
    <w:p w14:paraId="320086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15E76EC9">
      <w:pPr>
        <w:pStyle w:val="66"/>
        <w:spacing w:line="360" w:lineRule="auto"/>
        <w:ind w:firstLine="640" w:firstLineChars="200"/>
        <w:rPr>
          <w:rFonts w:ascii="仿宋_GB2312" w:hAnsi="Tahoma" w:eastAsia="仿宋_GB2312" w:cs="DengXian-Regular"/>
          <w:kern w:val="0"/>
          <w:sz w:val="32"/>
          <w:szCs w:val="32"/>
        </w:rPr>
      </w:pPr>
      <w:bookmarkStart w:id="9" w:name="_Toc1678"/>
      <w:bookmarkStart w:id="10" w:name="_Toc492652766"/>
      <w:bookmarkStart w:id="11" w:name="_Toc465149500"/>
      <w:r>
        <w:rPr>
          <w:rFonts w:hint="eastAsia" w:ascii="仿宋_GB2312" w:hAnsi="Tahoma" w:eastAsia="仿宋_GB2312" w:cs="DengXian-Regular"/>
          <w:kern w:val="0"/>
          <w:sz w:val="32"/>
          <w:szCs w:val="32"/>
        </w:rPr>
        <w:t>1.</w:t>
      </w:r>
      <w:r>
        <w:rPr>
          <w:rFonts w:ascii="方正书宋_GBK" w:eastAsia="方正书宋_GBK"/>
        </w:rPr>
        <w:t xml:space="preserve"> </w:t>
      </w:r>
      <w:r>
        <w:rPr>
          <w:rFonts w:ascii="仿宋_GB2312" w:hAnsi="Tahoma" w:eastAsia="仿宋_GB2312" w:cs="DengXian-Regular"/>
          <w:kern w:val="0"/>
          <w:sz w:val="32"/>
          <w:szCs w:val="32"/>
        </w:rPr>
        <w:t>贯彻“严格训练、严格要求”的方针，坚持规范训练，保证完成上级赋予人武干部、专武干部和基干民兵的轮训任务。因地制宜地抓好专业人才培训，充分发挥其战备效益和社会效益。实施岗位责任制，使设施、物资、场地和器材经常保持良好状态。</w:t>
      </w:r>
    </w:p>
    <w:p w14:paraId="4F105AAE">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2.</w:t>
      </w:r>
      <w:r>
        <w:rPr>
          <w:rFonts w:ascii="仿宋_GB2312" w:hAnsi="Tahoma" w:eastAsia="仿宋_GB2312" w:cs="DengXian-Regular"/>
          <w:kern w:val="0"/>
          <w:sz w:val="32"/>
          <w:szCs w:val="32"/>
        </w:rPr>
        <w:t xml:space="preserve"> 根据上级要求，认真制定基干民兵和专武干部培训计划和方案，严格组织人员按质按量完成训练任务。保证装备器材的良好状态，随时执行紧急拉动和应急任务。</w:t>
      </w:r>
    </w:p>
    <w:p w14:paraId="77EADD27">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3.</w:t>
      </w:r>
      <w:r>
        <w:rPr>
          <w:rFonts w:ascii="仿宋_GB2312" w:hAnsi="Tahoma" w:eastAsia="仿宋_GB2312" w:cs="DengXian-Regular"/>
          <w:kern w:val="0"/>
          <w:sz w:val="32"/>
          <w:szCs w:val="32"/>
        </w:rPr>
        <w:t xml:space="preserve"> 实行科学管理，建立健全教育训练、生产经营和场地、设备、器材管理等项规章制度，明确各类人员职责，实行岗位责任制，使设施、物资、场地和器材保持良好状态。</w:t>
      </w:r>
    </w:p>
    <w:p w14:paraId="3D856415">
      <w:pPr>
        <w:pStyle w:val="66"/>
        <w:spacing w:line="360" w:lineRule="auto"/>
        <w:ind w:firstLine="640" w:firstLineChars="200"/>
        <w:rPr>
          <w:rFonts w:ascii="仿宋_GB2312" w:hAnsi="Tahoma" w:eastAsia="仿宋_GB2312" w:cs="DengXian-Regular"/>
          <w:kern w:val="0"/>
          <w:sz w:val="32"/>
          <w:szCs w:val="32"/>
        </w:rPr>
      </w:pPr>
      <w:r>
        <w:rPr>
          <w:rFonts w:hint="eastAsia" w:ascii="仿宋_GB2312" w:hAnsi="Tahoma" w:eastAsia="仿宋_GB2312" w:cs="DengXian-Regular"/>
          <w:kern w:val="0"/>
          <w:sz w:val="32"/>
          <w:szCs w:val="32"/>
        </w:rPr>
        <w:t>4.</w:t>
      </w:r>
      <w:r>
        <w:rPr>
          <w:rFonts w:ascii="仿宋_GB2312" w:hAnsi="Tahoma" w:eastAsia="仿宋_GB2312" w:cs="DengXian-Regular"/>
          <w:kern w:val="0"/>
          <w:sz w:val="32"/>
          <w:szCs w:val="32"/>
        </w:rPr>
        <w:t xml:space="preserve"> 使装备器材时刻保持性能完好，经常性持装备器材进行演练。</w:t>
      </w:r>
    </w:p>
    <w:p w14:paraId="6882EEB7">
      <w:pPr>
        <w:spacing w:after="0" w:line="360" w:lineRule="auto"/>
        <w:ind w:firstLine="640" w:firstLineChars="200"/>
        <w:jc w:val="both"/>
        <w:textAlignment w:val="baseline"/>
        <w:rPr>
          <w:rFonts w:ascii="仿宋_GB2312" w:eastAsia="仿宋_GB2312" w:cs="DengXian-Regular"/>
          <w:sz w:val="32"/>
          <w:szCs w:val="32"/>
        </w:rPr>
      </w:pPr>
    </w:p>
    <w:p w14:paraId="586D9CB5">
      <w:pPr>
        <w:spacing w:after="0" w:line="360" w:lineRule="auto"/>
        <w:ind w:firstLine="640" w:firstLineChars="200"/>
        <w:jc w:val="both"/>
        <w:textAlignment w:val="baseline"/>
        <w:rPr>
          <w:rFonts w:ascii="仿宋_GB2312" w:eastAsia="仿宋_GB2312" w:cs="DengXian-Regular"/>
          <w:sz w:val="32"/>
          <w:szCs w:val="32"/>
        </w:rPr>
      </w:pPr>
    </w:p>
    <w:p w14:paraId="310D64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5FF453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预算收入为267.24万元,其中：一般公共预算收入267.24万元，基金预算收入0万元，财政专户收入0万元，其他来源收0万元。预算收入按功能分类包含：一般公共服务支出235.73万元，社会保障和就业支出17.34万元，卫生健康支出5.46万元，住房保障支出8.71万元。具体预算收入详见附件2。</w:t>
      </w:r>
    </w:p>
    <w:p w14:paraId="36F27F7F">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sz w:val="32"/>
          <w:szCs w:val="32"/>
        </w:rPr>
        <w:t>2019年决算收入259.14万元，其中：财政拨款收入259.13万元，其他收入0.01万元（全部为利息收入）。决算收入按功能分类包含：一般公共服务支出226.7万元，</w:t>
      </w:r>
      <w:r>
        <w:rPr>
          <w:rFonts w:hint="eastAsia" w:ascii="仿宋_GB2312" w:eastAsia="仿宋_GB2312" w:cs="DengXian-Regular"/>
          <w:color w:val="000000" w:themeColor="text1"/>
          <w:sz w:val="32"/>
          <w:szCs w:val="32"/>
          <w14:textFill>
            <w14:solidFill>
              <w14:schemeClr w14:val="tx1"/>
            </w14:solidFill>
          </w14:textFill>
        </w:rPr>
        <w:t>占比86.9%；社会保障和就业支出21.13万元，占比8.1%；卫生健康支出4.39万元，占比1.7%；住房保障支出8.71万元，占比3.3%。具体决算收入详见附件2。决算收入结构如图1。</w:t>
      </w:r>
    </w:p>
    <w:p w14:paraId="780E6105">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2019年度民兵训练基地决算收入结构图</w:t>
      </w:r>
    </w:p>
    <w:p w14:paraId="2B070C9E">
      <w:pPr>
        <w:rPr>
          <w:rFonts w:asciiTheme="minorEastAsia" w:hAnsiTheme="minorEastAsia" w:eastAsiaTheme="minorEastAsia" w:cstheme="minorEastAsia"/>
          <w:sz w:val="32"/>
          <w:szCs w:val="32"/>
        </w:rPr>
      </w:pPr>
    </w:p>
    <w:p w14:paraId="0A7548CD">
      <w:pPr>
        <w:spacing w:after="0" w:line="360" w:lineRule="auto"/>
        <w:jc w:val="center"/>
        <w:textAlignment w:val="baseline"/>
        <w:rPr>
          <w:rFonts w:ascii="仿宋_GB2312" w:eastAsia="仿宋_GB2312" w:cs="DengXian-Regular"/>
          <w:sz w:val="32"/>
          <w:szCs w:val="32"/>
        </w:rPr>
      </w:pPr>
      <w:r>
        <w:rPr>
          <w:rFonts w:ascii="仿宋_GB2312" w:eastAsia="仿宋_GB2312" w:cs="DengXian-Regular"/>
          <w:sz w:val="32"/>
          <w:szCs w:val="32"/>
        </w:rPr>
        <w:drawing>
          <wp:inline distT="0" distB="0" distL="0" distR="0">
            <wp:extent cx="5086350" cy="2381250"/>
            <wp:effectExtent l="0" t="0" r="0" b="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2D142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徐水区民兵训练基地一般公共预算财政拨款决算收入比年初预算减少8.11万元，完成年初预算的96.97%。决算数小于预算数主要原因是落实</w:t>
      </w:r>
      <w:r>
        <w:rPr>
          <w:rFonts w:ascii="仿宋_GB2312" w:eastAsia="仿宋_GB2312" w:cs="DengXian-Regular"/>
          <w:sz w:val="32"/>
          <w:szCs w:val="32"/>
        </w:rPr>
        <w:t>中央八项规定，压减支出</w:t>
      </w:r>
      <w:r>
        <w:rPr>
          <w:rFonts w:hint="eastAsia" w:ascii="仿宋_GB2312" w:eastAsia="仿宋_GB2312" w:cs="DengXian-Regular"/>
          <w:sz w:val="32"/>
          <w:szCs w:val="32"/>
        </w:rPr>
        <w:t>。</w:t>
      </w:r>
    </w:p>
    <w:p w14:paraId="4422EC5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预算收入与决算收入对比情况见图2。</w:t>
      </w:r>
    </w:p>
    <w:p w14:paraId="20AC2B60">
      <w:pPr>
        <w:spacing w:after="0" w:line="360" w:lineRule="auto"/>
        <w:jc w:val="center"/>
        <w:rPr>
          <w:rFonts w:asciiTheme="minorEastAsia" w:hAnsiTheme="minorEastAsia" w:eastAsiaTheme="minorEastAsia" w:cstheme="minorEastAsia"/>
          <w:b/>
          <w:color w:val="FF0000"/>
          <w:sz w:val="28"/>
          <w:szCs w:val="32"/>
          <w:u w:color="000000"/>
        </w:rPr>
      </w:pPr>
      <w:r>
        <w:rPr>
          <w:rFonts w:hint="eastAsia" w:asciiTheme="minorEastAsia" w:hAnsiTheme="minorEastAsia" w:eastAsiaTheme="minorEastAsia" w:cstheme="minorEastAsia"/>
          <w:b/>
          <w:sz w:val="32"/>
          <w:szCs w:val="32"/>
          <w:u w:color="000000"/>
        </w:rPr>
        <w:t xml:space="preserve">图2 </w:t>
      </w:r>
      <w:r>
        <w:rPr>
          <w:rFonts w:hint="eastAsia" w:asciiTheme="minorEastAsia" w:hAnsiTheme="minorEastAsia" w:eastAsiaTheme="minorEastAsia" w:cstheme="minorEastAsia"/>
          <w:b/>
          <w:sz w:val="28"/>
          <w:szCs w:val="32"/>
          <w:u w:color="000000"/>
        </w:rPr>
        <w:t>2019年度民兵训练基地预算收入与决算收入对比图</w:t>
      </w:r>
    </w:p>
    <w:p w14:paraId="39C825EB">
      <w:pPr>
        <w:spacing w:after="0" w:line="360" w:lineRule="auto"/>
        <w:jc w:val="center"/>
        <w:rPr>
          <w:rFonts w:ascii="仿宋_GB2312" w:eastAsia="仿宋_GB2312" w:cs="Times New Roman" w:hAnsiTheme="minorEastAsia"/>
          <w:bCs/>
          <w:sz w:val="32"/>
          <w:szCs w:val="32"/>
          <w:u w:color="000000"/>
        </w:rPr>
      </w:pPr>
      <w:r>
        <w:drawing>
          <wp:inline distT="0" distB="0" distL="0" distR="0">
            <wp:extent cx="5486400" cy="3475990"/>
            <wp:effectExtent l="0" t="0" r="1905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p>
    <w:p w14:paraId="324378B8">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57F4F23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2019年度保定市徐水区民兵训练基地</w:t>
      </w:r>
      <w:r>
        <w:rPr>
          <w:rFonts w:hint="eastAsia" w:ascii="仿宋_GB2312" w:eastAsia="仿宋_GB2312" w:cs="Times New Roman" w:hAnsiTheme="minorEastAsia"/>
          <w:sz w:val="32"/>
          <w:szCs w:val="32"/>
          <w:u w:color="000000"/>
        </w:rPr>
        <w:t>预算支出安排267.24万元，其中：基本支出147.24万元，项目支出120万元。预算支出按功能分类包含：</w:t>
      </w:r>
      <w:r>
        <w:rPr>
          <w:rFonts w:hint="eastAsia" w:ascii="仿宋_GB2312" w:eastAsia="仿宋_GB2312" w:cs="DengXian-Regular"/>
          <w:sz w:val="32"/>
          <w:szCs w:val="32"/>
        </w:rPr>
        <w:t>一般公共服务支出235.73万元，社会保障和就业支出17.34万元，卫生健康支出5.46万元，住房保障支出8.71万元。</w:t>
      </w:r>
      <w:r>
        <w:rPr>
          <w:rFonts w:hint="eastAsia" w:ascii="仿宋_GB2312" w:eastAsia="仿宋_GB2312" w:cs="Times New Roman" w:hAnsiTheme="minorEastAsia"/>
          <w:sz w:val="32"/>
          <w:szCs w:val="32"/>
          <w:u w:color="000000"/>
        </w:rPr>
        <w:t>具体预算支出详见附件2。</w:t>
      </w:r>
    </w:p>
    <w:p w14:paraId="3BD91A05">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2019年度徐水区民兵训练基地</w:t>
      </w:r>
      <w:r>
        <w:rPr>
          <w:rFonts w:hint="eastAsia" w:ascii="仿宋_GB2312" w:eastAsia="仿宋_GB2312" w:cs="Times New Roman" w:hAnsiTheme="minorEastAsia"/>
          <w:sz w:val="32"/>
          <w:szCs w:val="32"/>
          <w:u w:color="000000"/>
        </w:rPr>
        <w:t>决算支出为260.93万元，其中：基本支出140.93万元，项目支出120万元。决算支出按功能分类包含：</w:t>
      </w:r>
      <w:r>
        <w:rPr>
          <w:rFonts w:hint="eastAsia" w:ascii="仿宋_GB2312" w:eastAsia="仿宋_GB2312" w:cs="DengXian-Regular"/>
          <w:sz w:val="32"/>
          <w:szCs w:val="32"/>
        </w:rPr>
        <w:t>一般公共服务支出226.7万元，占比86.88%；</w:t>
      </w:r>
      <w:r>
        <w:rPr>
          <w:rFonts w:hint="eastAsia" w:ascii="仿宋_GB2312" w:eastAsia="仿宋_GB2312" w:cs="Times New Roman" w:hAnsiTheme="minorEastAsia"/>
          <w:sz w:val="32"/>
          <w:szCs w:val="32"/>
          <w:u w:color="000000"/>
        </w:rPr>
        <w:t>社会保障和就业支出21.13万元，占比8.1%；卫生健康支出4.39万元，占比1.68%；住房保障支出8.71万元，占比3.34%。具体决算支出详见附件2。决算支出结构如图3。</w:t>
      </w:r>
    </w:p>
    <w:p w14:paraId="5609954B">
      <w:pPr>
        <w:spacing w:after="0" w:line="360" w:lineRule="auto"/>
        <w:jc w:val="cente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 xml:space="preserve">2019年度民兵训练基地决算支出结构图   </w:t>
      </w:r>
      <w:r>
        <w:rPr>
          <w:rFonts w:hint="eastAsia"/>
        </w:rPr>
        <w:t xml:space="preserve">       </w:t>
      </w:r>
    </w:p>
    <w:p w14:paraId="6CB9AC77">
      <w:pPr>
        <w:pStyle w:val="66"/>
        <w:spacing w:line="360" w:lineRule="auto"/>
        <w:ind w:left="106" w:leftChars="48" w:firstLine="315" w:firstLineChars="150"/>
        <w:jc w:val="left"/>
      </w:pPr>
      <w:r>
        <w:drawing>
          <wp:inline distT="0" distB="0" distL="0" distR="0">
            <wp:extent cx="5278120" cy="3557270"/>
            <wp:effectExtent l="0" t="0" r="0"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DC55C5">
      <w:pPr>
        <w:pStyle w:val="66"/>
        <w:spacing w:line="360" w:lineRule="auto"/>
        <w:ind w:left="106" w:leftChars="48" w:firstLine="315" w:firstLineChars="150"/>
        <w:jc w:val="left"/>
      </w:pPr>
    </w:p>
    <w:p w14:paraId="55CF3375">
      <w:pPr>
        <w:pStyle w:val="66"/>
        <w:spacing w:line="360" w:lineRule="auto"/>
        <w:ind w:left="106" w:leftChars="48" w:firstLine="315" w:firstLineChars="150"/>
        <w:jc w:val="left"/>
      </w:pPr>
    </w:p>
    <w:p w14:paraId="2919BCDA">
      <w:pPr>
        <w:pStyle w:val="66"/>
        <w:spacing w:line="360" w:lineRule="auto"/>
        <w:ind w:left="106" w:leftChars="48" w:firstLine="480" w:firstLineChars="150"/>
        <w:jc w:val="left"/>
        <w:rPr>
          <w:rFonts w:ascii="仿宋_GB2312" w:eastAsia="仿宋_GB2312" w:hAnsiTheme="minorEastAsia"/>
          <w:kern w:val="0"/>
          <w:sz w:val="32"/>
          <w:szCs w:val="32"/>
          <w:u w:color="000000"/>
        </w:rPr>
      </w:pPr>
      <w:r>
        <w:rPr>
          <w:rFonts w:hint="eastAsia" w:ascii="仿宋_GB2312" w:hAnsi="Tahoma" w:eastAsia="仿宋_GB2312" w:cs="DengXian-Regular"/>
          <w:kern w:val="0"/>
          <w:sz w:val="32"/>
          <w:szCs w:val="32"/>
        </w:rPr>
        <w:t>财政拨款决算支出比年初预算减少6.31万元。决算支出完成年初预算的97.63%。决算支出小</w:t>
      </w:r>
      <w:r>
        <w:rPr>
          <w:rFonts w:hint="eastAsia" w:ascii="仿宋_GB2312" w:hAnsi="Tahoma" w:eastAsia="仿宋_GB2312" w:cs="DengXian-Regular"/>
          <w:kern w:val="0"/>
          <w:sz w:val="32"/>
          <w:szCs w:val="32"/>
          <w:lang w:eastAsia="zh-CN"/>
        </w:rPr>
        <w:t>于</w:t>
      </w:r>
      <w:r>
        <w:rPr>
          <w:rFonts w:hint="eastAsia" w:ascii="仿宋_GB2312" w:hAnsi="Tahoma" w:eastAsia="仿宋_GB2312" w:cs="DengXian-Regular"/>
          <w:kern w:val="0"/>
          <w:sz w:val="32"/>
          <w:szCs w:val="32"/>
        </w:rPr>
        <w:t>预算支出的主要原因为</w:t>
      </w:r>
      <w:r>
        <w:rPr>
          <w:rFonts w:hint="eastAsia" w:ascii="仿宋_GB2312" w:eastAsia="仿宋_GB2312" w:cs="DengXian-Regular"/>
          <w:sz w:val="32"/>
          <w:szCs w:val="32"/>
        </w:rPr>
        <w:t>落实</w:t>
      </w:r>
      <w:r>
        <w:rPr>
          <w:rFonts w:ascii="仿宋_GB2312" w:eastAsia="仿宋_GB2312" w:cs="DengXian-Regular"/>
          <w:sz w:val="32"/>
          <w:szCs w:val="32"/>
        </w:rPr>
        <w:t>中央八项规定，压减支出</w:t>
      </w:r>
      <w:r>
        <w:rPr>
          <w:rFonts w:hint="eastAsia" w:ascii="仿宋_GB2312" w:eastAsia="仿宋_GB2312" w:cs="DengXian-Regular"/>
          <w:sz w:val="32"/>
          <w:szCs w:val="32"/>
        </w:rPr>
        <w:t>。</w:t>
      </w:r>
      <w:r>
        <w:rPr>
          <w:rFonts w:hint="eastAsia" w:ascii="仿宋_GB2312" w:hAnsi="Tahoma" w:eastAsia="仿宋_GB2312" w:cs="DengXian-Regular"/>
          <w:kern w:val="0"/>
          <w:sz w:val="32"/>
          <w:szCs w:val="32"/>
        </w:rPr>
        <w:t>预算支出与决算支出对比情况如图4。</w:t>
      </w:r>
    </w:p>
    <w:p w14:paraId="40DEDB71">
      <w:pPr>
        <w:spacing w:after="0" w:line="360" w:lineRule="auto"/>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2019年度民兵训练基地预算支出与决算支出对比图</w:t>
      </w:r>
      <w:r>
        <w:drawing>
          <wp:inline distT="0" distB="0" distL="0" distR="0">
            <wp:extent cx="5191125" cy="3743325"/>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C5928D">
      <w:pPr>
        <w:spacing w:after="0" w:line="360" w:lineRule="auto"/>
        <w:rPr>
          <w:rFonts w:ascii="仿宋_GB2312" w:eastAsia="仿宋_GB2312" w:cs="DengXian-Regular"/>
          <w:sz w:val="32"/>
          <w:szCs w:val="32"/>
        </w:rPr>
      </w:pPr>
    </w:p>
    <w:p w14:paraId="4636D89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保定市徐水区民兵训练基地2019年实际项目支出120万元，决算报表中项目支出120万元，实际支出与决算报表差0万元。</w:t>
      </w:r>
    </w:p>
    <w:p w14:paraId="3071DAFC">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14:paraId="47656C7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徐水区民兵训练基地“三公”经费预算0万元，实际支出0万元（因公出国（境）费0万元，公务用车运行维护费0万元，公务接待费0万元），与预算持平。2019年“三公”经费预算数与2018年预算数相比无变化，决算数与2018年实际支出相比无变化。具体详见表1。</w:t>
      </w:r>
    </w:p>
    <w:p w14:paraId="01F1673B">
      <w:pPr>
        <w:spacing w:after="0" w:line="360" w:lineRule="auto"/>
        <w:ind w:firstLine="643" w:firstLineChars="200"/>
        <w:jc w:val="both"/>
        <w:rPr>
          <w:rFonts w:asciiTheme="minorEastAsia" w:hAnsiTheme="minorEastAsia" w:eastAsiaTheme="minorEastAsia" w:cstheme="minorEastAsia"/>
          <w:b/>
          <w:bCs/>
          <w:sz w:val="32"/>
          <w:szCs w:val="32"/>
        </w:rPr>
      </w:pPr>
    </w:p>
    <w:p w14:paraId="73052C00">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民兵训练基地“三公”经费预算及决算明细表</w:t>
      </w:r>
    </w:p>
    <w:p w14:paraId="1D8E961B">
      <w:pPr>
        <w:spacing w:after="0" w:line="360" w:lineRule="auto"/>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40A6D618">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96D6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1CC12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241F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01BA66AA">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5D5C">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6318DF64">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7A473">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75663">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B22C1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5ACFA3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01B36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DB924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01313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899A62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0B8E460B">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229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0257EF8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E2D7">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E67E">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895C">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BB9AA4">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AE525B">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21A37F">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2AAF8E48">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DDA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DF376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291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555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F58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270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68B85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6E3D3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6717873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630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AD75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A53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FC6B">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58A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35A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B8FED3">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D42AA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4C74C5BF">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71E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F57B7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52C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5D3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943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1CD9F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711FF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55A4C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bl>
    <w:p w14:paraId="0E68C7F9">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1、公务用车：保定市徐水区民兵训练基地无公务用车。</w:t>
      </w:r>
    </w:p>
    <w:p w14:paraId="6F99084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2、公务接待：2019年民兵训练基地无公务接待费。2019年预算数与2018年预算相比无变化，决算数与2018年实际支出无变化。</w:t>
      </w:r>
    </w:p>
    <w:p w14:paraId="3DC6449B">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46890A3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2EEAEF5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798E7513">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4040336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300C438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324055BA">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3283F9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06134E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465DF66B">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34DA1A09">
      <w:pPr>
        <w:spacing w:after="0" w:line="360" w:lineRule="auto"/>
        <w:ind w:firstLine="640" w:firstLineChars="200"/>
        <w:jc w:val="both"/>
        <w:textAlignment w:val="baseline"/>
        <w:rPr>
          <w:rFonts w:hint="eastAsia" w:ascii="仿宋_GB2312" w:eastAsia="仿宋_GB2312" w:cs="DengXian-Regular"/>
          <w:sz w:val="32"/>
          <w:szCs w:val="32"/>
          <w:lang w:eastAsia="zh-CN"/>
        </w:rPr>
      </w:pPr>
      <w:bookmarkStart w:id="25" w:name="_Toc492652774"/>
      <w:r>
        <w:rPr>
          <w:rFonts w:hint="eastAsia" w:ascii="仿宋_GB2312" w:eastAsia="仿宋_GB2312" w:cs="DengXian-Regular"/>
          <w:sz w:val="32"/>
          <w:szCs w:val="32"/>
        </w:rPr>
        <w:t>主要反映结转结余率，项目资金使用率</w:t>
      </w:r>
      <w:r>
        <w:rPr>
          <w:rFonts w:hint="eastAsia" w:ascii="仿宋_GB2312" w:eastAsia="仿宋_GB2312" w:cs="DengXian-Regular"/>
          <w:sz w:val="32"/>
          <w:szCs w:val="32"/>
          <w:lang w:eastAsia="zh-CN"/>
        </w:rPr>
        <w:t>。</w:t>
      </w:r>
    </w:p>
    <w:p w14:paraId="29B01C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7E444371">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67C29238">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F099E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696E7C64">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0B52DF2F">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5E0D83A7">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本单位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1133E8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7DE3BCE5">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223DBBF5">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463AC4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1D90F9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0292D1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0B9667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17330E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0AEE61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595AFAEB">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6817B507">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保定市徐水区民兵训练基地2019年部门整体支出绩效目标和指标的设置及完成情况；资金预算情况、实际收支情况及结转结余情况；部门履职对社会发展所带来的直接或间接影响及服务对象对部门履职效果的满意程度。</w:t>
      </w:r>
    </w:p>
    <w:p w14:paraId="3F43F28C">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015B41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4428D1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371A6E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CDF30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40DF396A">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396092DD">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4CD235C3">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4C36E94E">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5D1AC594">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7B9085AF">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597E11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7C84E1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5BBA5C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1238E2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5ADF2A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基于对相关资料的收集，制定绩效评价实施方案和体系,确定最终方案。</w:t>
      </w:r>
    </w:p>
    <w:p w14:paraId="5F1674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2F29E5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本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1096F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0FC596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1B9729D8">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7B294E8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保定市徐水区民兵训练基地部门整体支出绩效评价总得分为97分，综合绩效评价等级为“优”。各项得分情况如下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5E67C2A2">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76AD875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41A90DB7">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1C4D0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033D94E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4A849C2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018B7E7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69B8900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63EBDB3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5A06F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6B2882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756FAC1A">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5C154543">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1AD1A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599DD1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0E78B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83BF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57EBB4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E96329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75B10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2B69A0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F3D04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0B33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170422C">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56841E8">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81C7B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309DC7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468C3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7142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F5864EF">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43ECDA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13568F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ACE51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6A6F69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291E98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A830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2A8771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DDB42F2">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F7BC6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1F5A7F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42039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BEBC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2435FA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955906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06506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365C93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69D17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0DED7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0A42EBD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0840F0D3">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442B5A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41B42A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14:paraId="78BB4A1B">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7BA387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7EC311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0B8668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机构编制委员会文件，关于印发《保定市徐水区民兵训练基地主要职责内设机构和人员控制数规定》的通知，和本单位2019年预算文本—部门职责工作活动绩效目标，评价工作组认为本单位部门职责符合“三定”方案中所赋予的职责，绩效目标设立依据充分，符合客观实际，与部门职责、工作规划和重点工作相关，工作活动和项目预算安排合理。</w:t>
      </w:r>
    </w:p>
    <w:p w14:paraId="710EA0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3B15AF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553FE1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216260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民兵训练基地2019年预算文本—部门职责工作活动绩效目标（详见附件4），绩效目标与部门履职、年度工作任务相符；工作活动有明确的绩效目标，绩效目标与部门职责目标、部门年度工作目标一致。</w:t>
      </w:r>
    </w:p>
    <w:p w14:paraId="5AC255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3671BE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6014B676">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3133C6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根据保定市徐水区民兵训练基地2019年预算文本—部门职责工作活动绩效目标,该指标实际得分2分。</w:t>
      </w:r>
    </w:p>
    <w:p w14:paraId="60865B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0C0AC1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301F38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4FFE42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根据保定市徐水区民兵训练基地2019年预算文本及相关会计资料，保定市徐水区民兵训练基地所有收入均已纳入部门预算，部门支出按基本支出、项目支出分别编制。</w:t>
      </w:r>
    </w:p>
    <w:p w14:paraId="3CA9FD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62D205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740B20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625D08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39F047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根据保定市徐水区民兵训练基地2019年预算文本—部门项目支出预算表， 2019年预算项目共1个（详见附件2-2-2），涉及资金120万元，该项目均细化到具体用款单位及项目资金额度。项目预算细化率=（120/120）*100%=100%</w:t>
      </w:r>
    </w:p>
    <w:p w14:paraId="4E6F3B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FDF73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348E68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该指标主要考核截至2019年底保定市徐水区民兵训练基地在职人员控制情况，通过在职人员控制率衡量。</w:t>
      </w:r>
    </w:p>
    <w:p w14:paraId="63ADB3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在职人员控制率=决算在职人员/人员控制数×100%。</w:t>
      </w:r>
    </w:p>
    <w:p w14:paraId="33E8FB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机构编制委员会文件，关于印发《保定市徐水区民兵训练基地主要职责内设机构和人员控制数规定》的通知，保定市徐水区民兵训练基地人员编制6人，根据保定市徐水区民兵训练基地2019年决算文本-部门基本情况表，截至2019年底，在职人员10人，在职人员控制率=（10/6）*100%=167%。</w:t>
      </w:r>
    </w:p>
    <w:p w14:paraId="156914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0"/>
    <w:bookmarkEnd w:id="61"/>
    <w:p w14:paraId="33D340B5">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5254C754">
      <w:pPr>
        <w:spacing w:after="0" w:line="360" w:lineRule="auto"/>
        <w:ind w:firstLine="560" w:firstLineChars="200"/>
        <w:jc w:val="both"/>
        <w:textAlignment w:val="baseline"/>
        <w:rPr>
          <w:rFonts w:ascii="仿宋_GB2312" w:eastAsia="仿宋_GB2312" w:cs="DengXian-Regular"/>
          <w:sz w:val="28"/>
          <w:szCs w:val="32"/>
        </w:rPr>
      </w:pPr>
      <w:bookmarkStart w:id="63" w:name="_Toc464638480"/>
      <w:r>
        <w:rPr>
          <w:rFonts w:hint="eastAsia" w:ascii="仿宋_GB2312" w:eastAsia="仿宋_GB2312" w:cs="DengXian-Regular"/>
          <w:sz w:val="28"/>
          <w:szCs w:val="32"/>
        </w:rPr>
        <w:t>该一级指标包含预算执行、预算管理和绩效评价三个二级指标，主要反映预算调整、收入支出完成情况，“三公”经费、政府采购执行情况，财务管理是否规范、资金使用是否合规，决算真实性。</w:t>
      </w:r>
    </w:p>
    <w:p w14:paraId="73F40A27">
      <w:pPr>
        <w:spacing w:after="0" w:line="360" w:lineRule="auto"/>
        <w:jc w:val="center"/>
        <w:textAlignment w:val="baseline"/>
        <w:rPr>
          <w:rFonts w:asciiTheme="minorEastAsia" w:hAnsiTheme="minorEastAsia" w:eastAsiaTheme="minorEastAsia" w:cstheme="minorEastAsia"/>
          <w:b/>
          <w:bCs/>
          <w:sz w:val="28"/>
          <w:szCs w:val="32"/>
        </w:rPr>
      </w:pPr>
    </w:p>
    <w:p w14:paraId="233974F5">
      <w:pPr>
        <w:spacing w:after="0" w:line="360" w:lineRule="auto"/>
        <w:jc w:val="center"/>
        <w:textAlignment w:val="baseline"/>
        <w:rPr>
          <w:rFonts w:asciiTheme="minorEastAsia" w:hAnsiTheme="minorEastAsia" w:eastAsiaTheme="minorEastAsia" w:cstheme="minorEastAsia"/>
          <w:b/>
          <w:bCs/>
          <w:sz w:val="28"/>
          <w:szCs w:val="32"/>
        </w:rPr>
      </w:pPr>
    </w:p>
    <w:p w14:paraId="25FBBC8D">
      <w:pPr>
        <w:spacing w:after="0" w:line="360" w:lineRule="auto"/>
        <w:jc w:val="center"/>
        <w:textAlignment w:val="baseline"/>
        <w:rPr>
          <w:rFonts w:asciiTheme="minorEastAsia" w:hAnsiTheme="minorEastAsia" w:eastAsiaTheme="minorEastAsia" w:cstheme="minorEastAsia"/>
          <w:b/>
          <w:bCs/>
          <w:sz w:val="28"/>
          <w:szCs w:val="32"/>
        </w:rPr>
      </w:pPr>
      <w:r>
        <w:rPr>
          <w:rFonts w:hint="eastAsia" w:asciiTheme="minorEastAsia" w:hAnsiTheme="minorEastAsia" w:eastAsiaTheme="minorEastAsia" w:cstheme="minorEastAsia"/>
          <w:b/>
          <w:bCs/>
          <w:sz w:val="28"/>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3754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72A4453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516209F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5AD1BB6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3FB217C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0221E5B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6FF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1FFB5A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54F90A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2D0BF2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0B0077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64956C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1036E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FCE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F0DBDF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A608D5C">
            <w:pPr>
              <w:spacing w:line="420" w:lineRule="exact"/>
              <w:jc w:val="center"/>
              <w:rPr>
                <w:rFonts w:cs="宋体" w:asciiTheme="minorEastAsia" w:hAnsiTheme="minorEastAsia" w:eastAsiaTheme="minorEastAsia"/>
                <w:sz w:val="21"/>
                <w:szCs w:val="21"/>
              </w:rPr>
            </w:pPr>
          </w:p>
        </w:tc>
        <w:tc>
          <w:tcPr>
            <w:tcW w:w="2277" w:type="dxa"/>
            <w:vAlign w:val="center"/>
          </w:tcPr>
          <w:p w14:paraId="4727D2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4DBB00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E3089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157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C639F9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CC8680B">
            <w:pPr>
              <w:spacing w:line="420" w:lineRule="exact"/>
              <w:jc w:val="center"/>
              <w:rPr>
                <w:rFonts w:cs="宋体" w:asciiTheme="minorEastAsia" w:hAnsiTheme="minorEastAsia" w:eastAsiaTheme="minorEastAsia"/>
                <w:sz w:val="21"/>
                <w:szCs w:val="21"/>
              </w:rPr>
            </w:pPr>
          </w:p>
        </w:tc>
        <w:tc>
          <w:tcPr>
            <w:tcW w:w="2277" w:type="dxa"/>
            <w:vAlign w:val="center"/>
          </w:tcPr>
          <w:p w14:paraId="47062B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00717D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1D4A41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187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67761A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8E8A4B9">
            <w:pPr>
              <w:spacing w:line="420" w:lineRule="exact"/>
              <w:jc w:val="center"/>
              <w:rPr>
                <w:rFonts w:cs="宋体" w:asciiTheme="minorEastAsia" w:hAnsiTheme="minorEastAsia" w:eastAsiaTheme="minorEastAsia"/>
                <w:sz w:val="21"/>
                <w:szCs w:val="21"/>
              </w:rPr>
            </w:pPr>
          </w:p>
        </w:tc>
        <w:tc>
          <w:tcPr>
            <w:tcW w:w="2277" w:type="dxa"/>
            <w:vAlign w:val="center"/>
          </w:tcPr>
          <w:p w14:paraId="0E6597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32D866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A03CC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CDC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1D18A3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8041EDA">
            <w:pPr>
              <w:spacing w:line="420" w:lineRule="exact"/>
              <w:jc w:val="center"/>
              <w:rPr>
                <w:rFonts w:cs="宋体" w:asciiTheme="minorEastAsia" w:hAnsiTheme="minorEastAsia" w:eastAsiaTheme="minorEastAsia"/>
                <w:sz w:val="21"/>
                <w:szCs w:val="21"/>
              </w:rPr>
            </w:pPr>
          </w:p>
        </w:tc>
        <w:tc>
          <w:tcPr>
            <w:tcW w:w="2277" w:type="dxa"/>
            <w:vAlign w:val="center"/>
          </w:tcPr>
          <w:p w14:paraId="512F2B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108AD9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63DC2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E6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85D7C5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6DAB14A">
            <w:pPr>
              <w:spacing w:line="420" w:lineRule="exact"/>
              <w:jc w:val="center"/>
              <w:rPr>
                <w:rFonts w:cs="宋体" w:asciiTheme="minorEastAsia" w:hAnsiTheme="minorEastAsia" w:eastAsiaTheme="minorEastAsia"/>
                <w:sz w:val="21"/>
                <w:szCs w:val="21"/>
              </w:rPr>
            </w:pPr>
          </w:p>
        </w:tc>
        <w:tc>
          <w:tcPr>
            <w:tcW w:w="2277" w:type="dxa"/>
            <w:vAlign w:val="center"/>
          </w:tcPr>
          <w:p w14:paraId="457CC8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2A1D82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1DD4A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CA5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50AE64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70EDAEC">
            <w:pPr>
              <w:spacing w:line="420" w:lineRule="exact"/>
              <w:jc w:val="center"/>
              <w:rPr>
                <w:rFonts w:cs="宋体" w:asciiTheme="minorEastAsia" w:hAnsiTheme="minorEastAsia" w:eastAsiaTheme="minorEastAsia"/>
                <w:sz w:val="21"/>
                <w:szCs w:val="21"/>
              </w:rPr>
            </w:pPr>
          </w:p>
        </w:tc>
        <w:tc>
          <w:tcPr>
            <w:tcW w:w="2277" w:type="dxa"/>
            <w:vAlign w:val="center"/>
          </w:tcPr>
          <w:p w14:paraId="6AC0BE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2E8131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D5FBC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4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8DE9E9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031E976">
            <w:pPr>
              <w:spacing w:line="420" w:lineRule="exact"/>
              <w:jc w:val="center"/>
              <w:rPr>
                <w:rFonts w:cs="宋体" w:asciiTheme="minorEastAsia" w:hAnsiTheme="minorEastAsia" w:eastAsiaTheme="minorEastAsia"/>
                <w:sz w:val="21"/>
                <w:szCs w:val="21"/>
              </w:rPr>
            </w:pPr>
          </w:p>
        </w:tc>
        <w:tc>
          <w:tcPr>
            <w:tcW w:w="2277" w:type="dxa"/>
            <w:vAlign w:val="center"/>
          </w:tcPr>
          <w:p w14:paraId="5B6C80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43CEA6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9CC73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7E8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91BFF37">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78EF9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61B1E8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7EE51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7AE027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C156D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695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5634A4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8D33568">
            <w:pPr>
              <w:spacing w:line="420" w:lineRule="exact"/>
              <w:jc w:val="center"/>
              <w:rPr>
                <w:rFonts w:cs="宋体" w:asciiTheme="minorEastAsia" w:hAnsiTheme="minorEastAsia" w:eastAsiaTheme="minorEastAsia"/>
                <w:sz w:val="21"/>
                <w:szCs w:val="21"/>
              </w:rPr>
            </w:pPr>
          </w:p>
        </w:tc>
        <w:tc>
          <w:tcPr>
            <w:tcW w:w="2277" w:type="dxa"/>
            <w:vAlign w:val="center"/>
          </w:tcPr>
          <w:p w14:paraId="35C500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0CC0E4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C53A5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CD4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356404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A2F017A">
            <w:pPr>
              <w:spacing w:line="420" w:lineRule="exact"/>
              <w:jc w:val="center"/>
              <w:rPr>
                <w:rFonts w:cs="宋体" w:asciiTheme="minorEastAsia" w:hAnsiTheme="minorEastAsia" w:eastAsiaTheme="minorEastAsia"/>
                <w:sz w:val="21"/>
                <w:szCs w:val="21"/>
              </w:rPr>
            </w:pPr>
          </w:p>
        </w:tc>
        <w:tc>
          <w:tcPr>
            <w:tcW w:w="2277" w:type="dxa"/>
            <w:vAlign w:val="center"/>
          </w:tcPr>
          <w:p w14:paraId="445DFB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7ED6390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3640D8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92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32E616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DB2A9E0">
            <w:pPr>
              <w:spacing w:line="420" w:lineRule="exact"/>
              <w:jc w:val="center"/>
              <w:rPr>
                <w:rFonts w:cs="宋体" w:asciiTheme="minorEastAsia" w:hAnsiTheme="minorEastAsia" w:eastAsiaTheme="minorEastAsia"/>
                <w:sz w:val="21"/>
                <w:szCs w:val="21"/>
              </w:rPr>
            </w:pPr>
          </w:p>
        </w:tc>
        <w:tc>
          <w:tcPr>
            <w:tcW w:w="2277" w:type="dxa"/>
            <w:vAlign w:val="center"/>
          </w:tcPr>
          <w:p w14:paraId="206F39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25F8D7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578BE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E6C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425CD114">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B3AD7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3439B5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164DA8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2DF0D0C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CAAF7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9F1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0BD7C2A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2F1BF87">
            <w:pPr>
              <w:spacing w:line="420" w:lineRule="exact"/>
              <w:jc w:val="center"/>
              <w:rPr>
                <w:rFonts w:cs="宋体" w:asciiTheme="minorEastAsia" w:hAnsiTheme="minorEastAsia" w:eastAsiaTheme="minorEastAsia"/>
                <w:sz w:val="21"/>
                <w:szCs w:val="21"/>
              </w:rPr>
            </w:pPr>
          </w:p>
        </w:tc>
        <w:tc>
          <w:tcPr>
            <w:tcW w:w="2277" w:type="dxa"/>
            <w:vAlign w:val="center"/>
          </w:tcPr>
          <w:p w14:paraId="4A8D8F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23A503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CC25F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p w14:paraId="5B6679F8">
            <w:pPr>
              <w:spacing w:line="420" w:lineRule="exact"/>
              <w:jc w:val="center"/>
              <w:rPr>
                <w:rFonts w:cs="宋体" w:asciiTheme="minorEastAsia" w:hAnsiTheme="minorEastAsia" w:eastAsiaTheme="minorEastAsia"/>
                <w:sz w:val="21"/>
                <w:szCs w:val="21"/>
              </w:rPr>
            </w:pPr>
          </w:p>
        </w:tc>
      </w:tr>
      <w:tr w14:paraId="3FE6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623381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37811549">
            <w:pPr>
              <w:spacing w:line="420" w:lineRule="exact"/>
              <w:jc w:val="center"/>
              <w:rPr>
                <w:rFonts w:cs="宋体" w:asciiTheme="minorEastAsia" w:hAnsiTheme="minorEastAsia" w:eastAsiaTheme="minorEastAsia"/>
                <w:sz w:val="21"/>
                <w:szCs w:val="21"/>
              </w:rPr>
            </w:pPr>
          </w:p>
        </w:tc>
        <w:tc>
          <w:tcPr>
            <w:tcW w:w="1155" w:type="dxa"/>
            <w:vAlign w:val="center"/>
          </w:tcPr>
          <w:p w14:paraId="31B361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26071C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47</w:t>
            </w:r>
          </w:p>
        </w:tc>
      </w:tr>
      <w:bookmarkEnd w:id="63"/>
    </w:tbl>
    <w:p w14:paraId="670A9C9E">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5DC067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499547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37E704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54D79A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743E86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01691D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19266C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1C9A64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7159E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7A660E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2E9ED7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253321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EEDC0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47E431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059677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2FFE53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CC82A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388217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2372E3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752859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1D1392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476F94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515D57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24B96E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0F6C06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6BE72D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1363E5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民兵训练基地2019年明细账、会计凭证等相关资料，本单位资金使用符合相关会计准则和财务制度，资金拨付有完备的审批程序和手续，资金使用符合部门预算批复的用途，未发现截留、挤占、挪用财政资金的情况。</w:t>
      </w:r>
    </w:p>
    <w:p w14:paraId="7CD180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6EAE32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4674D3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6B4D62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经核查保定市徐水区民兵训练基地2019年决算文本、明细账及总账，本单位决算文本数据均与明细账、总账一致。</w:t>
      </w:r>
    </w:p>
    <w:p w14:paraId="21BF18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331F0F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3C2793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0B3808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024B2D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保定市徐水区民兵训练基地工作制度涵盖了财务制度、网络安全制度、公务用车制度等相关制度，经检查本单位付款流程审批单、资产盘点表等资料，本单位已按照相关管理制度的规定执行。</w:t>
      </w:r>
    </w:p>
    <w:p w14:paraId="32A5A9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020424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633759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43F3C5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保定市徐水区民兵训练基地2019年按政府信息公开的有关要求在保定市徐水区人民政府网公开了2019年的预决算情况、部门责任清单、行政监督清单等相关信息。</w:t>
      </w:r>
    </w:p>
    <w:p w14:paraId="039095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2B8F3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1BE059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61FA08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根据保定市徐水区民兵训练基地提供的会计账簿、凭证及其他相关资料，该单位会计信息资料真实完整，</w:t>
      </w:r>
    </w:p>
    <w:p w14:paraId="7CD6ED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C329E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2A46E2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4486FC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保定市徐水区民兵训练基地没有固定资产。</w:t>
      </w:r>
    </w:p>
    <w:p w14:paraId="4356AA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0B96BF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20B1E8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10E641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5F64A4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AA73A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保定市徐水区民兵训练基地2019年一般项目部门绩效自评表，保定市徐水区民兵训练基地2019年开展绩效自评的项目数为1个，年初预算文本项目数1个，要求自评项目个数1个，自评覆盖率为 100%。</w:t>
      </w:r>
    </w:p>
    <w:p w14:paraId="3702FA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65DD71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3B7AA8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4F9BDA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275AEB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保定市徐水区民兵训练基地2019年参评数量1个，绩效评价结果达到优等的数量1个，绩效评价优等率为90%。</w:t>
      </w:r>
    </w:p>
    <w:p w14:paraId="37B466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bookmarkEnd w:id="64"/>
      <w:bookmarkEnd w:id="65"/>
    </w:p>
    <w:p w14:paraId="2475C76F">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69676B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该一级指标包含责任履行一个二级指标，主要反映结转结余率，项目资金使用率，完成及时率，质量达标率，重点工作办结率。</w:t>
      </w:r>
    </w:p>
    <w:p w14:paraId="5E8478DE">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6B84C1DA">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3C10961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1CE02AF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7C9002D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462E371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27003AB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86D643D">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2519B9D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3CAB1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19C543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1903FD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AAAAA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A354A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10263D7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A34FFD9">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5D4339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82129F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3AF23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E55635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3D87CD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897AAB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34DA82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CE7CD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DD0CD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DB839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E4BEA3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51B1FE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D12778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279B0B8">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6BEFF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70401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B8E821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9B8E0EB">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7F895F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EE8DB95">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71EE5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0528F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E15E606">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11458A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0F07E534">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48EED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F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6CCB173E">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14:paraId="06FB1C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0BDF72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793B35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根据保定市徐水区民兵训练基地2019年决算文本及相关资料，保定市徐水区民兵训练基地2019年结转结余资金0万元，决算收入259.13万元，结转结余率0.0%。</w:t>
      </w:r>
    </w:p>
    <w:p w14:paraId="194B95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41FE5F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31897A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4357C5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33192E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保定市徐水区民兵训练基地2019年实际支出项目资金总额120万元，年初预算共1个项目，预算数120万元，年中追加项目资金0万元，项目资金使用率为100%。</w:t>
      </w:r>
    </w:p>
    <w:p w14:paraId="3A2F96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6DD250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3.完成及时率（5分）</w:t>
      </w:r>
    </w:p>
    <w:p w14:paraId="729B2E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该指标主要评价项目的完成及时情况，通过项目完成率来衡量。</w:t>
      </w:r>
    </w:p>
    <w:p w14:paraId="6ADBCC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完成及时率=（部门在规定时限内及时完成的实际项目数/计划项目数的比率）*100%。</w:t>
      </w:r>
    </w:p>
    <w:p w14:paraId="1ECF8C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本单位2019年年初预算项目及追加项目全部在规定时限内完成，完成及时率达到100%。</w:t>
      </w:r>
    </w:p>
    <w:p w14:paraId="67E306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06A865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质量达标率（5分）</w:t>
      </w:r>
    </w:p>
    <w:p w14:paraId="0A2070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该指标主要评价项目是否按照绩效标准</w:t>
      </w:r>
      <w:r>
        <w:rPr>
          <w:rFonts w:hint="eastAsia" w:ascii="仿宋_GB2312" w:eastAsia="仿宋_GB2312" w:cs="DengXian-Regular"/>
          <w:sz w:val="32"/>
          <w:szCs w:val="32"/>
          <w:lang w:eastAsia="zh-CN"/>
        </w:rPr>
        <w:t>实施</w:t>
      </w:r>
      <w:r>
        <w:rPr>
          <w:rFonts w:hint="eastAsia" w:ascii="仿宋_GB2312" w:eastAsia="仿宋_GB2312" w:cs="DengXian-Regular"/>
          <w:sz w:val="32"/>
          <w:szCs w:val="32"/>
        </w:rPr>
        <w:t>，通过达到绩效标准值的实际项目数与计划项目数的比率来衡量。</w:t>
      </w:r>
    </w:p>
    <w:p w14:paraId="6037A3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质量达标率=(达到绩效标准值的实际项目数/计划项目数的比率)*100%。</w:t>
      </w:r>
    </w:p>
    <w:p w14:paraId="4D7F6A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本单位2019年预算项目全部按照绩效标准</w:t>
      </w:r>
      <w:r>
        <w:rPr>
          <w:rFonts w:hint="eastAsia" w:ascii="仿宋_GB2312" w:eastAsia="仿宋_GB2312" w:cs="DengXian-Regular"/>
          <w:sz w:val="32"/>
          <w:szCs w:val="32"/>
          <w:lang w:eastAsia="zh-CN"/>
        </w:rPr>
        <w:t>实施</w:t>
      </w:r>
      <w:r>
        <w:rPr>
          <w:rFonts w:hint="eastAsia" w:ascii="仿宋_GB2312" w:eastAsia="仿宋_GB2312" w:cs="DengXian-Regular"/>
          <w:sz w:val="32"/>
          <w:szCs w:val="32"/>
        </w:rPr>
        <w:t>并全部完成，质量达标率100%。</w:t>
      </w:r>
    </w:p>
    <w:p w14:paraId="2AAC7F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2B64C5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5.重点工作办结率（5分）</w:t>
      </w:r>
    </w:p>
    <w:p w14:paraId="24617B59">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该指标主要评价重点工作办结情况，通过重点工作办结率来衡量。</w:t>
      </w:r>
    </w:p>
    <w:p w14:paraId="18CB29FB">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重点工作办结率=（部门（单位）年度重点工作实际完成数/交办或下达数的比率）*100%。</w:t>
      </w:r>
    </w:p>
    <w:p w14:paraId="18DB4F06">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本单位2019年无重点工作。</w:t>
      </w:r>
    </w:p>
    <w:p w14:paraId="25ECCF33">
      <w:pPr>
        <w:spacing w:after="0" w:line="56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1F17309A">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448254BD">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2137354B">
      <w:pPr>
        <w:spacing w:after="0" w:line="360" w:lineRule="auto"/>
        <w:jc w:val="center"/>
        <w:textAlignment w:val="baseline"/>
        <w:rPr>
          <w:rFonts w:asciiTheme="minorEastAsia" w:hAnsiTheme="minorEastAsia" w:eastAsiaTheme="minorEastAsia" w:cstheme="minorEastAsia"/>
          <w:b/>
          <w:bCs/>
          <w:sz w:val="28"/>
          <w:szCs w:val="32"/>
        </w:rPr>
      </w:pPr>
      <w:r>
        <w:rPr>
          <w:rFonts w:hint="eastAsia" w:asciiTheme="minorEastAsia" w:hAnsiTheme="minorEastAsia" w:eastAsiaTheme="minorEastAsia" w:cstheme="minorEastAsia"/>
          <w:b/>
          <w:bCs/>
          <w:sz w:val="28"/>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7C5ECBD8">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6CFB303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0A372A5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354164E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77C5399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14E80A0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7B1CE51">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0A6E819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2DB5486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00B6444">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7B6F4ADF">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3EC88A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621B4E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76377C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3BAAC5F6">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4E1D56C">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31B05348">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1C4995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02B73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5FFD06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48F7932">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2AF8A8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5B8EA886">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FB406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F8AB6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14:paraId="28840CB0">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14:paraId="255C27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695B7D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经查看本单位提供的相关资料，本单位履行职责对社会发展所带来的社会效益较显著，有效的达到强兵备战民兵的比例。</w:t>
      </w:r>
    </w:p>
    <w:p w14:paraId="57A633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6BD470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42C8F45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4228EBA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针对该指标，我们随机选取了30个调查对象进行了问卷调查，具体调查情况如下：</w:t>
      </w:r>
    </w:p>
    <w:p w14:paraId="745CBDCA">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70B7FAA8">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67E3E314">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7310696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4CD5B74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19DD86D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0412587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0993C08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04D9351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23773DC4">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47736E8">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7B7B1F7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4BCDBA2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1DB5C24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3EEC93E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A2EAF6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4D321979">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2F01F44">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18500AB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078BCDB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572AF39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2E3FDAE8">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C6F521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7E733200">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4AAED0C">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4DC6E93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14:paraId="777B98AE">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61FE1C4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2CD39AA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38B0B8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1C68D59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062E233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3AE16E8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4ECA874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经计算，总体得分为100分，大于90分，评价等级为“优”。</w:t>
      </w:r>
    </w:p>
    <w:p w14:paraId="423772A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74F796FF">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1164CD5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保定市徐水区民兵训练基地</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14:paraId="2C16DEB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1.部分绩效指标方面：绩效指标设置应更加明确，增强绩效指标的针对性。</w:t>
      </w:r>
    </w:p>
    <w:p w14:paraId="29409AF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2.预算决算比较：在预算执行过程中，应加强预算监控。</w:t>
      </w:r>
    </w:p>
    <w:p w14:paraId="5AF5F3C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3.预算追加方面：年初预算应更加细化，减少追加项目。</w:t>
      </w:r>
    </w:p>
    <w:p w14:paraId="47230D9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4.政府采购方面：加强政府采购预算执行率。</w:t>
      </w:r>
    </w:p>
    <w:p w14:paraId="0C2A441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5.项目资金使用率方面：在预算执行过程中，应合理调度专项资金，提高项目资金的使用效益。</w:t>
      </w:r>
    </w:p>
    <w:bookmarkEnd w:id="75"/>
    <w:bookmarkEnd w:id="76"/>
    <w:p w14:paraId="59CC3449">
      <w:pPr>
        <w:spacing w:after="0" w:line="360" w:lineRule="auto"/>
        <w:jc w:val="both"/>
        <w:textAlignment w:val="baseline"/>
        <w:rPr>
          <w:rFonts w:hint="eastAsia" w:ascii="仿宋_GB2312" w:eastAsia="仿宋_GB2312" w:cs="Times New Roman" w:hAnsiTheme="minorEastAsia"/>
          <w:sz w:val="32"/>
          <w:szCs w:val="32"/>
          <w:u w:color="000000"/>
        </w:rPr>
      </w:pPr>
      <w:bookmarkStart w:id="77" w:name="_Toc465149521"/>
    </w:p>
    <w:p w14:paraId="3F322DD8">
      <w:pPr>
        <w:spacing w:after="0" w:line="360" w:lineRule="auto"/>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w:t>
      </w:r>
    </w:p>
    <w:p w14:paraId="524016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1.保定市徐水</w:t>
      </w:r>
      <w:r>
        <w:rPr>
          <w:rFonts w:hint="eastAsia" w:ascii="仿宋_GB2312" w:eastAsia="仿宋_GB2312" w:cs="DengXian-Regular"/>
          <w:sz w:val="32"/>
          <w:szCs w:val="32"/>
        </w:rPr>
        <w:t>区民兵训练基地职</w:t>
      </w:r>
      <w:r>
        <w:rPr>
          <w:rFonts w:ascii="仿宋_GB2312" w:eastAsia="仿宋_GB2312" w:cs="DengXian-Regular"/>
          <w:sz w:val="32"/>
          <w:szCs w:val="32"/>
        </w:rPr>
        <w:t>能配置</w:t>
      </w:r>
      <w:r>
        <w:rPr>
          <w:rFonts w:hint="eastAsia" w:ascii="仿宋_GB2312" w:eastAsia="仿宋_GB2312" w:cs="DengXian-Regular"/>
          <w:sz w:val="32"/>
          <w:szCs w:val="32"/>
        </w:rPr>
        <w:t>、</w:t>
      </w:r>
      <w:r>
        <w:rPr>
          <w:rFonts w:ascii="仿宋_GB2312" w:eastAsia="仿宋_GB2312" w:cs="DengXian-Regular"/>
          <w:sz w:val="32"/>
          <w:szCs w:val="32"/>
        </w:rPr>
        <w:t>内设机构和</w:t>
      </w:r>
      <w:r>
        <w:rPr>
          <w:rFonts w:hint="eastAsia" w:ascii="仿宋_GB2312" w:eastAsia="仿宋_GB2312" w:cs="DengXian-Regular"/>
          <w:sz w:val="32"/>
          <w:szCs w:val="32"/>
        </w:rPr>
        <w:t>人</w:t>
      </w:r>
      <w:r>
        <w:rPr>
          <w:rFonts w:ascii="仿宋_GB2312" w:eastAsia="仿宋_GB2312" w:cs="DengXian-Regular"/>
          <w:sz w:val="32"/>
          <w:szCs w:val="32"/>
        </w:rPr>
        <w:t>员编制方案</w:t>
      </w:r>
    </w:p>
    <w:p w14:paraId="4EC8BF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2、2019年</w:t>
      </w:r>
      <w:r>
        <w:rPr>
          <w:rFonts w:ascii="仿宋_GB2312" w:eastAsia="仿宋_GB2312" w:cs="DengXian-Regular"/>
          <w:sz w:val="32"/>
          <w:szCs w:val="32"/>
        </w:rPr>
        <w:t>度保定市徐水区</w:t>
      </w:r>
      <w:r>
        <w:rPr>
          <w:rFonts w:hint="eastAsia" w:ascii="仿宋_GB2312" w:eastAsia="仿宋_GB2312" w:cs="DengXian-Regular"/>
          <w:sz w:val="32"/>
          <w:szCs w:val="32"/>
        </w:rPr>
        <w:t>民兵训练基地预算</w:t>
      </w:r>
      <w:r>
        <w:rPr>
          <w:rFonts w:ascii="仿宋_GB2312" w:eastAsia="仿宋_GB2312" w:cs="DengXian-Regular"/>
          <w:sz w:val="32"/>
          <w:szCs w:val="32"/>
        </w:rPr>
        <w:t>文本</w:t>
      </w:r>
    </w:p>
    <w:p w14:paraId="414BFB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3、2019年</w:t>
      </w:r>
      <w:r>
        <w:rPr>
          <w:rFonts w:ascii="仿宋_GB2312" w:eastAsia="仿宋_GB2312" w:cs="DengXian-Regular"/>
          <w:sz w:val="32"/>
          <w:szCs w:val="32"/>
        </w:rPr>
        <w:t>度保定市徐水区</w:t>
      </w:r>
      <w:r>
        <w:rPr>
          <w:rFonts w:hint="eastAsia" w:ascii="仿宋_GB2312" w:eastAsia="仿宋_GB2312" w:cs="DengXian-Regular"/>
          <w:sz w:val="32"/>
          <w:szCs w:val="32"/>
        </w:rPr>
        <w:t>民兵训练基地部</w:t>
      </w:r>
      <w:r>
        <w:rPr>
          <w:rFonts w:ascii="仿宋_GB2312" w:eastAsia="仿宋_GB2312" w:cs="DengXian-Regular"/>
          <w:sz w:val="32"/>
          <w:szCs w:val="32"/>
        </w:rPr>
        <w:t>门决算报</w:t>
      </w:r>
      <w:r>
        <w:rPr>
          <w:rFonts w:hint="eastAsia" w:ascii="仿宋_GB2312" w:eastAsia="仿宋_GB2312" w:cs="DengXian-Regular"/>
          <w:sz w:val="32"/>
          <w:szCs w:val="32"/>
        </w:rPr>
        <w:t>表</w:t>
      </w:r>
    </w:p>
    <w:p w14:paraId="197433D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4、2019年</w:t>
      </w:r>
      <w:r>
        <w:rPr>
          <w:rFonts w:ascii="仿宋_GB2312" w:eastAsia="仿宋_GB2312" w:cs="DengXian-Regular"/>
          <w:sz w:val="32"/>
          <w:szCs w:val="32"/>
        </w:rPr>
        <w:t>度保定市徐水区</w:t>
      </w:r>
      <w:r>
        <w:rPr>
          <w:rFonts w:hint="eastAsia" w:ascii="仿宋_GB2312" w:eastAsia="仿宋_GB2312" w:cs="DengXian-Regular"/>
          <w:sz w:val="32"/>
          <w:szCs w:val="32"/>
        </w:rPr>
        <w:t>民兵训练基地预算政</w:t>
      </w:r>
      <w:r>
        <w:rPr>
          <w:rFonts w:ascii="仿宋_GB2312" w:eastAsia="仿宋_GB2312" w:cs="DengXian-Regular"/>
          <w:sz w:val="32"/>
          <w:szCs w:val="32"/>
        </w:rPr>
        <w:t>府</w:t>
      </w:r>
      <w:r>
        <w:rPr>
          <w:rFonts w:hint="eastAsia" w:ascii="仿宋_GB2312" w:eastAsia="仿宋_GB2312" w:cs="DengXian-Regular"/>
          <w:sz w:val="32"/>
          <w:szCs w:val="32"/>
        </w:rPr>
        <w:t>网</w:t>
      </w:r>
      <w:r>
        <w:rPr>
          <w:rFonts w:ascii="仿宋_GB2312" w:eastAsia="仿宋_GB2312" w:cs="DengXian-Regular"/>
          <w:sz w:val="32"/>
          <w:szCs w:val="32"/>
        </w:rPr>
        <w:t>站公开文</w:t>
      </w:r>
      <w:r>
        <w:rPr>
          <w:rFonts w:hint="eastAsia" w:ascii="仿宋_GB2312" w:eastAsia="仿宋_GB2312" w:cs="DengXian-Regular"/>
          <w:sz w:val="32"/>
          <w:szCs w:val="32"/>
        </w:rPr>
        <w:t>档</w:t>
      </w:r>
    </w:p>
    <w:p w14:paraId="3BB4FD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5、2019年</w:t>
      </w:r>
      <w:r>
        <w:rPr>
          <w:rFonts w:ascii="仿宋_GB2312" w:eastAsia="仿宋_GB2312" w:cs="DengXian-Regular"/>
          <w:sz w:val="32"/>
          <w:szCs w:val="32"/>
        </w:rPr>
        <w:t>保定市徐水区</w:t>
      </w:r>
      <w:r>
        <w:rPr>
          <w:rFonts w:hint="eastAsia" w:ascii="仿宋_GB2312" w:eastAsia="仿宋_GB2312" w:cs="DengXian-Regular"/>
          <w:sz w:val="32"/>
          <w:szCs w:val="32"/>
        </w:rPr>
        <w:t>民兵训练基地</w:t>
      </w:r>
      <w:r>
        <w:rPr>
          <w:rFonts w:ascii="仿宋_GB2312" w:eastAsia="仿宋_GB2312" w:cs="DengXian-Regular"/>
          <w:sz w:val="32"/>
          <w:szCs w:val="32"/>
        </w:rPr>
        <w:t>财务收支内控制度、固定资产</w:t>
      </w:r>
      <w:r>
        <w:rPr>
          <w:rFonts w:hint="eastAsia" w:ascii="仿宋_GB2312" w:eastAsia="仿宋_GB2312" w:cs="DengXian-Regular"/>
          <w:sz w:val="32"/>
          <w:szCs w:val="32"/>
        </w:rPr>
        <w:t>管</w:t>
      </w:r>
      <w:r>
        <w:rPr>
          <w:rFonts w:ascii="仿宋_GB2312" w:eastAsia="仿宋_GB2312" w:cs="DengXian-Regular"/>
          <w:sz w:val="32"/>
          <w:szCs w:val="32"/>
        </w:rPr>
        <w:t>理制度、政府采购内控制度、预算管理内控</w:t>
      </w:r>
      <w:r>
        <w:rPr>
          <w:rFonts w:hint="eastAsia" w:ascii="仿宋_GB2312" w:eastAsia="仿宋_GB2312" w:cs="DengXian-Regular"/>
          <w:sz w:val="32"/>
          <w:szCs w:val="32"/>
        </w:rPr>
        <w:t>等</w:t>
      </w:r>
      <w:r>
        <w:rPr>
          <w:rFonts w:ascii="仿宋_GB2312" w:eastAsia="仿宋_GB2312" w:cs="DengXian-Regular"/>
          <w:sz w:val="32"/>
          <w:szCs w:val="32"/>
        </w:rPr>
        <w:t>制度</w:t>
      </w:r>
    </w:p>
    <w:p w14:paraId="12EFDFE9">
      <w:pPr>
        <w:spacing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6、</w:t>
      </w:r>
      <w:r>
        <w:rPr>
          <w:rFonts w:hint="eastAsia" w:ascii="仿宋_GB2312" w:eastAsia="仿宋_GB2312" w:cs="Times New Roman" w:hAnsiTheme="minorEastAsia"/>
          <w:sz w:val="32"/>
          <w:szCs w:val="32"/>
          <w:u w:color="000000"/>
        </w:rPr>
        <w:t>2019年</w:t>
      </w:r>
      <w:r>
        <w:rPr>
          <w:rFonts w:ascii="仿宋_GB2312" w:eastAsia="仿宋_GB2312" w:cs="Times New Roman" w:hAnsiTheme="minorEastAsia"/>
          <w:sz w:val="32"/>
          <w:szCs w:val="32"/>
          <w:u w:color="000000"/>
        </w:rPr>
        <w:t>部门预算项目绩效自评表及自评报</w:t>
      </w:r>
      <w:r>
        <w:rPr>
          <w:rFonts w:hint="eastAsia" w:ascii="仿宋_GB2312" w:eastAsia="仿宋_GB2312" w:cs="Times New Roman" w:hAnsiTheme="minorEastAsia"/>
          <w:sz w:val="32"/>
          <w:szCs w:val="32"/>
          <w:u w:color="000000"/>
        </w:rPr>
        <w:t>告</w:t>
      </w:r>
    </w:p>
    <w:p w14:paraId="583FD652">
      <w:pPr>
        <w:spacing w:after="0" w:line="540" w:lineRule="exact"/>
        <w:ind w:firstLine="640" w:firstLineChars="2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7.</w:t>
      </w:r>
      <w:bookmarkEnd w:id="78"/>
      <w:r>
        <w:rPr>
          <w:rFonts w:hint="eastAsia" w:ascii="仿宋_GB2312" w:eastAsia="仿宋_GB2312" w:cs="Times New Roman" w:hAnsiTheme="minorEastAsia"/>
          <w:sz w:val="32"/>
          <w:szCs w:val="32"/>
          <w:u w:color="000000"/>
        </w:rPr>
        <w:t>部门整体支出绩效评价指标体系</w:t>
      </w:r>
    </w:p>
    <w:bookmarkEnd w:id="77"/>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7C01">
    <w:pPr>
      <w:pStyle w:val="14"/>
      <w:jc w:val="center"/>
    </w:pPr>
  </w:p>
  <w:p w14:paraId="7F05ACF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AFC5">
    <w:pPr>
      <w:pStyle w:val="14"/>
      <w:jc w:val="center"/>
    </w:pPr>
    <w:r>
      <w:fldChar w:fldCharType="begin"/>
    </w:r>
    <w:r>
      <w:instrText xml:space="preserve"> PAGE   \* MERGEFORMAT </w:instrText>
    </w:r>
    <w:r>
      <w:fldChar w:fldCharType="separate"/>
    </w:r>
    <w:r>
      <w:rPr>
        <w:lang w:val="zh-CN"/>
      </w:rPr>
      <w:t>31</w:t>
    </w:r>
    <w:r>
      <w:rPr>
        <w:lang w:val="zh-CN"/>
      </w:rPr>
      <w:fldChar w:fldCharType="end"/>
    </w:r>
  </w:p>
  <w:p w14:paraId="1854376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2MxOWFjYmI4YTVkMWY4OWFiZTVjZmE5OGZlYzMifQ=="/>
  </w:docVars>
  <w:rsids>
    <w:rsidRoot w:val="00D31D50"/>
    <w:rsid w:val="0000238E"/>
    <w:rsid w:val="00004179"/>
    <w:rsid w:val="0000439F"/>
    <w:rsid w:val="00007CA0"/>
    <w:rsid w:val="00015C39"/>
    <w:rsid w:val="000174D3"/>
    <w:rsid w:val="0002415F"/>
    <w:rsid w:val="00025620"/>
    <w:rsid w:val="0002705B"/>
    <w:rsid w:val="00031551"/>
    <w:rsid w:val="000317D7"/>
    <w:rsid w:val="00032B03"/>
    <w:rsid w:val="000334C2"/>
    <w:rsid w:val="0003450B"/>
    <w:rsid w:val="0003465E"/>
    <w:rsid w:val="00034910"/>
    <w:rsid w:val="0003506D"/>
    <w:rsid w:val="000409C0"/>
    <w:rsid w:val="0004123E"/>
    <w:rsid w:val="0004321E"/>
    <w:rsid w:val="00044599"/>
    <w:rsid w:val="000446E5"/>
    <w:rsid w:val="00044A25"/>
    <w:rsid w:val="00047D7B"/>
    <w:rsid w:val="000509B6"/>
    <w:rsid w:val="00050A62"/>
    <w:rsid w:val="000516BA"/>
    <w:rsid w:val="00051DBC"/>
    <w:rsid w:val="00052010"/>
    <w:rsid w:val="00061096"/>
    <w:rsid w:val="000612A2"/>
    <w:rsid w:val="00063117"/>
    <w:rsid w:val="00066AAA"/>
    <w:rsid w:val="00072BF5"/>
    <w:rsid w:val="000752C6"/>
    <w:rsid w:val="00075B78"/>
    <w:rsid w:val="00077648"/>
    <w:rsid w:val="00080E48"/>
    <w:rsid w:val="00081AD8"/>
    <w:rsid w:val="00084192"/>
    <w:rsid w:val="00091476"/>
    <w:rsid w:val="00091D50"/>
    <w:rsid w:val="000935D5"/>
    <w:rsid w:val="0009618D"/>
    <w:rsid w:val="00096195"/>
    <w:rsid w:val="0009756F"/>
    <w:rsid w:val="000A0D25"/>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39AD"/>
    <w:rsid w:val="000D7C38"/>
    <w:rsid w:val="000E0902"/>
    <w:rsid w:val="000E3830"/>
    <w:rsid w:val="000F070B"/>
    <w:rsid w:val="000F2779"/>
    <w:rsid w:val="000F3158"/>
    <w:rsid w:val="000F364D"/>
    <w:rsid w:val="000F4432"/>
    <w:rsid w:val="000F465E"/>
    <w:rsid w:val="000F5E8C"/>
    <w:rsid w:val="001000B2"/>
    <w:rsid w:val="00103BB4"/>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26A49"/>
    <w:rsid w:val="00132AE4"/>
    <w:rsid w:val="0013591D"/>
    <w:rsid w:val="001373C8"/>
    <w:rsid w:val="00141DE8"/>
    <w:rsid w:val="00144105"/>
    <w:rsid w:val="00145B4E"/>
    <w:rsid w:val="00147A7C"/>
    <w:rsid w:val="001544E1"/>
    <w:rsid w:val="001551CE"/>
    <w:rsid w:val="00156E03"/>
    <w:rsid w:val="0015724F"/>
    <w:rsid w:val="00163541"/>
    <w:rsid w:val="00164732"/>
    <w:rsid w:val="001648F0"/>
    <w:rsid w:val="00164FE1"/>
    <w:rsid w:val="001703D7"/>
    <w:rsid w:val="001719D0"/>
    <w:rsid w:val="00172245"/>
    <w:rsid w:val="0017403C"/>
    <w:rsid w:val="00174241"/>
    <w:rsid w:val="0017497B"/>
    <w:rsid w:val="00176E7D"/>
    <w:rsid w:val="001804B7"/>
    <w:rsid w:val="001827F5"/>
    <w:rsid w:val="00183C43"/>
    <w:rsid w:val="00185652"/>
    <w:rsid w:val="00187750"/>
    <w:rsid w:val="00190292"/>
    <w:rsid w:val="001926B8"/>
    <w:rsid w:val="0019341A"/>
    <w:rsid w:val="001952EC"/>
    <w:rsid w:val="001A0F7A"/>
    <w:rsid w:val="001A1677"/>
    <w:rsid w:val="001A5F7F"/>
    <w:rsid w:val="001A5FD3"/>
    <w:rsid w:val="001A6EE2"/>
    <w:rsid w:val="001B0380"/>
    <w:rsid w:val="001B04A4"/>
    <w:rsid w:val="001B1ADB"/>
    <w:rsid w:val="001B30D5"/>
    <w:rsid w:val="001B382A"/>
    <w:rsid w:val="001B5C88"/>
    <w:rsid w:val="001B6CE6"/>
    <w:rsid w:val="001C046D"/>
    <w:rsid w:val="001C1412"/>
    <w:rsid w:val="001C1BCB"/>
    <w:rsid w:val="001C391F"/>
    <w:rsid w:val="001C5135"/>
    <w:rsid w:val="001C796E"/>
    <w:rsid w:val="001D1367"/>
    <w:rsid w:val="001D5041"/>
    <w:rsid w:val="001D5A7C"/>
    <w:rsid w:val="001D76AA"/>
    <w:rsid w:val="001E21EA"/>
    <w:rsid w:val="001E288A"/>
    <w:rsid w:val="001E3ABB"/>
    <w:rsid w:val="001E4C24"/>
    <w:rsid w:val="001E5C43"/>
    <w:rsid w:val="001E6414"/>
    <w:rsid w:val="001F07B6"/>
    <w:rsid w:val="001F0A92"/>
    <w:rsid w:val="001F0B92"/>
    <w:rsid w:val="001F1094"/>
    <w:rsid w:val="001F2F0E"/>
    <w:rsid w:val="001F33AA"/>
    <w:rsid w:val="001F6236"/>
    <w:rsid w:val="00200051"/>
    <w:rsid w:val="00202D5A"/>
    <w:rsid w:val="00205F02"/>
    <w:rsid w:val="00210CF7"/>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5128B"/>
    <w:rsid w:val="002552A4"/>
    <w:rsid w:val="00260245"/>
    <w:rsid w:val="0026252A"/>
    <w:rsid w:val="00262BB1"/>
    <w:rsid w:val="00263D3A"/>
    <w:rsid w:val="002643BE"/>
    <w:rsid w:val="00265325"/>
    <w:rsid w:val="00266E84"/>
    <w:rsid w:val="002715FC"/>
    <w:rsid w:val="002736FD"/>
    <w:rsid w:val="00274CFA"/>
    <w:rsid w:val="00274F76"/>
    <w:rsid w:val="00275677"/>
    <w:rsid w:val="00275A3F"/>
    <w:rsid w:val="00276127"/>
    <w:rsid w:val="0028068C"/>
    <w:rsid w:val="00282A89"/>
    <w:rsid w:val="00283F8F"/>
    <w:rsid w:val="00284510"/>
    <w:rsid w:val="002869F9"/>
    <w:rsid w:val="002871FB"/>
    <w:rsid w:val="00292F98"/>
    <w:rsid w:val="002939A0"/>
    <w:rsid w:val="002959A3"/>
    <w:rsid w:val="0029626E"/>
    <w:rsid w:val="00296E59"/>
    <w:rsid w:val="00296FDD"/>
    <w:rsid w:val="00297CEF"/>
    <w:rsid w:val="002A0364"/>
    <w:rsid w:val="002A1661"/>
    <w:rsid w:val="002A1A25"/>
    <w:rsid w:val="002A563C"/>
    <w:rsid w:val="002B05EF"/>
    <w:rsid w:val="002B2E34"/>
    <w:rsid w:val="002B5061"/>
    <w:rsid w:val="002B61E5"/>
    <w:rsid w:val="002B76FA"/>
    <w:rsid w:val="002C029E"/>
    <w:rsid w:val="002C2C71"/>
    <w:rsid w:val="002C4F7B"/>
    <w:rsid w:val="002C5A65"/>
    <w:rsid w:val="002C71F3"/>
    <w:rsid w:val="002D2112"/>
    <w:rsid w:val="002D5314"/>
    <w:rsid w:val="002D53D7"/>
    <w:rsid w:val="002D5508"/>
    <w:rsid w:val="002D5FC1"/>
    <w:rsid w:val="002D7AB3"/>
    <w:rsid w:val="002D7CB5"/>
    <w:rsid w:val="002E1D3C"/>
    <w:rsid w:val="002E1F73"/>
    <w:rsid w:val="002E269D"/>
    <w:rsid w:val="002E3460"/>
    <w:rsid w:val="002E70AE"/>
    <w:rsid w:val="002F0C41"/>
    <w:rsid w:val="002F2694"/>
    <w:rsid w:val="002F5B6A"/>
    <w:rsid w:val="002F5BF5"/>
    <w:rsid w:val="002F5ECA"/>
    <w:rsid w:val="00302B6A"/>
    <w:rsid w:val="00306572"/>
    <w:rsid w:val="003079C7"/>
    <w:rsid w:val="00313CB0"/>
    <w:rsid w:val="003169F3"/>
    <w:rsid w:val="00316D95"/>
    <w:rsid w:val="0032078D"/>
    <w:rsid w:val="00321CE0"/>
    <w:rsid w:val="0032231F"/>
    <w:rsid w:val="00323B43"/>
    <w:rsid w:val="00325BCC"/>
    <w:rsid w:val="003309A3"/>
    <w:rsid w:val="003345BC"/>
    <w:rsid w:val="00340BDD"/>
    <w:rsid w:val="00343662"/>
    <w:rsid w:val="003457BA"/>
    <w:rsid w:val="0035365E"/>
    <w:rsid w:val="00355403"/>
    <w:rsid w:val="00355AEA"/>
    <w:rsid w:val="003569A8"/>
    <w:rsid w:val="00357694"/>
    <w:rsid w:val="00361F94"/>
    <w:rsid w:val="00361FFF"/>
    <w:rsid w:val="00362340"/>
    <w:rsid w:val="003653A5"/>
    <w:rsid w:val="003668A3"/>
    <w:rsid w:val="00366971"/>
    <w:rsid w:val="00367DF7"/>
    <w:rsid w:val="00370AFA"/>
    <w:rsid w:val="0037120F"/>
    <w:rsid w:val="00371DD1"/>
    <w:rsid w:val="0037242E"/>
    <w:rsid w:val="003743E9"/>
    <w:rsid w:val="0037492F"/>
    <w:rsid w:val="0038005F"/>
    <w:rsid w:val="003803CC"/>
    <w:rsid w:val="00382949"/>
    <w:rsid w:val="00384F34"/>
    <w:rsid w:val="003879E9"/>
    <w:rsid w:val="0039000B"/>
    <w:rsid w:val="00391AE3"/>
    <w:rsid w:val="00396D4C"/>
    <w:rsid w:val="003A02BE"/>
    <w:rsid w:val="003A1765"/>
    <w:rsid w:val="003A3C32"/>
    <w:rsid w:val="003A41D2"/>
    <w:rsid w:val="003A4D02"/>
    <w:rsid w:val="003A4D52"/>
    <w:rsid w:val="003A536E"/>
    <w:rsid w:val="003B07E2"/>
    <w:rsid w:val="003B6DEC"/>
    <w:rsid w:val="003B79D3"/>
    <w:rsid w:val="003C2B92"/>
    <w:rsid w:val="003D126B"/>
    <w:rsid w:val="003D1D33"/>
    <w:rsid w:val="003D22C9"/>
    <w:rsid w:val="003D28AC"/>
    <w:rsid w:val="003D37D8"/>
    <w:rsid w:val="003D6312"/>
    <w:rsid w:val="003D7B2A"/>
    <w:rsid w:val="003E0854"/>
    <w:rsid w:val="003E266C"/>
    <w:rsid w:val="003E3C05"/>
    <w:rsid w:val="003F282F"/>
    <w:rsid w:val="00400871"/>
    <w:rsid w:val="00400E89"/>
    <w:rsid w:val="00401AB4"/>
    <w:rsid w:val="00402CA2"/>
    <w:rsid w:val="00402D95"/>
    <w:rsid w:val="00403ADD"/>
    <w:rsid w:val="0040619C"/>
    <w:rsid w:val="00407629"/>
    <w:rsid w:val="004108EE"/>
    <w:rsid w:val="00410F1A"/>
    <w:rsid w:val="00412A31"/>
    <w:rsid w:val="004200B9"/>
    <w:rsid w:val="00426133"/>
    <w:rsid w:val="004300B1"/>
    <w:rsid w:val="00430AF8"/>
    <w:rsid w:val="0043148F"/>
    <w:rsid w:val="0043326E"/>
    <w:rsid w:val="0043354D"/>
    <w:rsid w:val="00434EB0"/>
    <w:rsid w:val="004358AB"/>
    <w:rsid w:val="00435DA7"/>
    <w:rsid w:val="00436D8D"/>
    <w:rsid w:val="004370A2"/>
    <w:rsid w:val="00440084"/>
    <w:rsid w:val="004414FA"/>
    <w:rsid w:val="00445C28"/>
    <w:rsid w:val="004468B5"/>
    <w:rsid w:val="00446A96"/>
    <w:rsid w:val="00450A5C"/>
    <w:rsid w:val="00451E9F"/>
    <w:rsid w:val="004551F1"/>
    <w:rsid w:val="00456648"/>
    <w:rsid w:val="00457E00"/>
    <w:rsid w:val="0046193F"/>
    <w:rsid w:val="00461E7C"/>
    <w:rsid w:val="004639E0"/>
    <w:rsid w:val="00463A6D"/>
    <w:rsid w:val="00465A21"/>
    <w:rsid w:val="0047047F"/>
    <w:rsid w:val="00472C49"/>
    <w:rsid w:val="00474DE3"/>
    <w:rsid w:val="00477959"/>
    <w:rsid w:val="004800A9"/>
    <w:rsid w:val="004834CF"/>
    <w:rsid w:val="00486217"/>
    <w:rsid w:val="00486A56"/>
    <w:rsid w:val="00494D73"/>
    <w:rsid w:val="004A19C4"/>
    <w:rsid w:val="004A6EA4"/>
    <w:rsid w:val="004A7997"/>
    <w:rsid w:val="004B146A"/>
    <w:rsid w:val="004B1E69"/>
    <w:rsid w:val="004B334B"/>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5F01"/>
    <w:rsid w:val="004E642E"/>
    <w:rsid w:val="004E7ADC"/>
    <w:rsid w:val="004F1C58"/>
    <w:rsid w:val="004F4875"/>
    <w:rsid w:val="005031BA"/>
    <w:rsid w:val="005049A0"/>
    <w:rsid w:val="00507211"/>
    <w:rsid w:val="00507934"/>
    <w:rsid w:val="00507BF9"/>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3293"/>
    <w:rsid w:val="005432B2"/>
    <w:rsid w:val="00544C1A"/>
    <w:rsid w:val="00546D1B"/>
    <w:rsid w:val="00546ECB"/>
    <w:rsid w:val="0055027D"/>
    <w:rsid w:val="00552121"/>
    <w:rsid w:val="00554FA1"/>
    <w:rsid w:val="00556934"/>
    <w:rsid w:val="005607DF"/>
    <w:rsid w:val="00564377"/>
    <w:rsid w:val="00564538"/>
    <w:rsid w:val="00566A89"/>
    <w:rsid w:val="00567E07"/>
    <w:rsid w:val="005771F7"/>
    <w:rsid w:val="00577B7B"/>
    <w:rsid w:val="00583F7F"/>
    <w:rsid w:val="0058429D"/>
    <w:rsid w:val="00585648"/>
    <w:rsid w:val="0058600B"/>
    <w:rsid w:val="00587913"/>
    <w:rsid w:val="00593428"/>
    <w:rsid w:val="00593B65"/>
    <w:rsid w:val="005A15D6"/>
    <w:rsid w:val="005A1FD8"/>
    <w:rsid w:val="005A317D"/>
    <w:rsid w:val="005A79F9"/>
    <w:rsid w:val="005C3594"/>
    <w:rsid w:val="005C46B7"/>
    <w:rsid w:val="005C46E9"/>
    <w:rsid w:val="005C7C8B"/>
    <w:rsid w:val="005D5617"/>
    <w:rsid w:val="005D6591"/>
    <w:rsid w:val="005D6869"/>
    <w:rsid w:val="005D7446"/>
    <w:rsid w:val="005E1783"/>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65EFF"/>
    <w:rsid w:val="00674C4B"/>
    <w:rsid w:val="0067780F"/>
    <w:rsid w:val="00685417"/>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13F0"/>
    <w:rsid w:val="006E27F1"/>
    <w:rsid w:val="006E5BC8"/>
    <w:rsid w:val="006E6B33"/>
    <w:rsid w:val="006E7CBA"/>
    <w:rsid w:val="006F222F"/>
    <w:rsid w:val="006F768F"/>
    <w:rsid w:val="006F7B69"/>
    <w:rsid w:val="00700849"/>
    <w:rsid w:val="0070241F"/>
    <w:rsid w:val="007024A9"/>
    <w:rsid w:val="00703C96"/>
    <w:rsid w:val="00703D0F"/>
    <w:rsid w:val="007076D9"/>
    <w:rsid w:val="007130D7"/>
    <w:rsid w:val="0071315E"/>
    <w:rsid w:val="00713E98"/>
    <w:rsid w:val="00715591"/>
    <w:rsid w:val="00715AE8"/>
    <w:rsid w:val="0072516F"/>
    <w:rsid w:val="0073034D"/>
    <w:rsid w:val="00731ADC"/>
    <w:rsid w:val="007330F2"/>
    <w:rsid w:val="00733DB0"/>
    <w:rsid w:val="00735043"/>
    <w:rsid w:val="00740444"/>
    <w:rsid w:val="00740CA1"/>
    <w:rsid w:val="00744577"/>
    <w:rsid w:val="007452CF"/>
    <w:rsid w:val="00746055"/>
    <w:rsid w:val="00746DA9"/>
    <w:rsid w:val="00747086"/>
    <w:rsid w:val="007515E2"/>
    <w:rsid w:val="00756997"/>
    <w:rsid w:val="00756D66"/>
    <w:rsid w:val="00761D80"/>
    <w:rsid w:val="0076364A"/>
    <w:rsid w:val="00766FC5"/>
    <w:rsid w:val="00770E5B"/>
    <w:rsid w:val="00771AB4"/>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0C8"/>
    <w:rsid w:val="007C2D10"/>
    <w:rsid w:val="007C457D"/>
    <w:rsid w:val="007C6927"/>
    <w:rsid w:val="007D02A9"/>
    <w:rsid w:val="007D166D"/>
    <w:rsid w:val="007D17C7"/>
    <w:rsid w:val="007D2766"/>
    <w:rsid w:val="007D2FF7"/>
    <w:rsid w:val="007D74D8"/>
    <w:rsid w:val="007E13A4"/>
    <w:rsid w:val="007E1EDA"/>
    <w:rsid w:val="007E20CA"/>
    <w:rsid w:val="007E3988"/>
    <w:rsid w:val="007E4698"/>
    <w:rsid w:val="007E6959"/>
    <w:rsid w:val="007E6991"/>
    <w:rsid w:val="007E6A1A"/>
    <w:rsid w:val="007E7A36"/>
    <w:rsid w:val="007F222D"/>
    <w:rsid w:val="007F3FB7"/>
    <w:rsid w:val="007F518D"/>
    <w:rsid w:val="007F68FE"/>
    <w:rsid w:val="007F7E7E"/>
    <w:rsid w:val="00803C29"/>
    <w:rsid w:val="00804E5E"/>
    <w:rsid w:val="00804FAA"/>
    <w:rsid w:val="00805678"/>
    <w:rsid w:val="00805D26"/>
    <w:rsid w:val="00810EDA"/>
    <w:rsid w:val="0081553D"/>
    <w:rsid w:val="00815BE9"/>
    <w:rsid w:val="00815C94"/>
    <w:rsid w:val="00815CF6"/>
    <w:rsid w:val="00816990"/>
    <w:rsid w:val="00817981"/>
    <w:rsid w:val="00822851"/>
    <w:rsid w:val="00824A75"/>
    <w:rsid w:val="0082509A"/>
    <w:rsid w:val="00825A51"/>
    <w:rsid w:val="00825D53"/>
    <w:rsid w:val="008272DF"/>
    <w:rsid w:val="0083008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14D"/>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44CF"/>
    <w:rsid w:val="008857CC"/>
    <w:rsid w:val="0089314F"/>
    <w:rsid w:val="0089328E"/>
    <w:rsid w:val="00894929"/>
    <w:rsid w:val="0089513A"/>
    <w:rsid w:val="00896069"/>
    <w:rsid w:val="00896786"/>
    <w:rsid w:val="008976AB"/>
    <w:rsid w:val="008A2C15"/>
    <w:rsid w:val="008A3DBA"/>
    <w:rsid w:val="008A483E"/>
    <w:rsid w:val="008A5601"/>
    <w:rsid w:val="008A7984"/>
    <w:rsid w:val="008B69B6"/>
    <w:rsid w:val="008B7726"/>
    <w:rsid w:val="008C08EC"/>
    <w:rsid w:val="008C154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8F6970"/>
    <w:rsid w:val="009002A3"/>
    <w:rsid w:val="0090038C"/>
    <w:rsid w:val="009007C7"/>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41FF"/>
    <w:rsid w:val="00945198"/>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3F5D"/>
    <w:rsid w:val="00984D41"/>
    <w:rsid w:val="009852BB"/>
    <w:rsid w:val="009853C4"/>
    <w:rsid w:val="0098547C"/>
    <w:rsid w:val="009860B4"/>
    <w:rsid w:val="00986724"/>
    <w:rsid w:val="0098718E"/>
    <w:rsid w:val="00994269"/>
    <w:rsid w:val="0099439A"/>
    <w:rsid w:val="00994737"/>
    <w:rsid w:val="009965BC"/>
    <w:rsid w:val="009A0F00"/>
    <w:rsid w:val="009A37AE"/>
    <w:rsid w:val="009A4059"/>
    <w:rsid w:val="009A47EF"/>
    <w:rsid w:val="009A619C"/>
    <w:rsid w:val="009B1979"/>
    <w:rsid w:val="009B1E1B"/>
    <w:rsid w:val="009B1E74"/>
    <w:rsid w:val="009B2CC0"/>
    <w:rsid w:val="009B4C38"/>
    <w:rsid w:val="009B566A"/>
    <w:rsid w:val="009C0523"/>
    <w:rsid w:val="009C0DAB"/>
    <w:rsid w:val="009C1E20"/>
    <w:rsid w:val="009D0378"/>
    <w:rsid w:val="009D0F18"/>
    <w:rsid w:val="009D1EFB"/>
    <w:rsid w:val="009D5964"/>
    <w:rsid w:val="009D6A0C"/>
    <w:rsid w:val="009D7184"/>
    <w:rsid w:val="009E0725"/>
    <w:rsid w:val="009E1492"/>
    <w:rsid w:val="009E4B3F"/>
    <w:rsid w:val="009E5877"/>
    <w:rsid w:val="009E6AEC"/>
    <w:rsid w:val="009E701C"/>
    <w:rsid w:val="009F5F5E"/>
    <w:rsid w:val="009F69B0"/>
    <w:rsid w:val="00A0310D"/>
    <w:rsid w:val="00A073F4"/>
    <w:rsid w:val="00A0760B"/>
    <w:rsid w:val="00A07BBE"/>
    <w:rsid w:val="00A16439"/>
    <w:rsid w:val="00A21057"/>
    <w:rsid w:val="00A217CE"/>
    <w:rsid w:val="00A21E86"/>
    <w:rsid w:val="00A22DFB"/>
    <w:rsid w:val="00A305E3"/>
    <w:rsid w:val="00A353F1"/>
    <w:rsid w:val="00A357B0"/>
    <w:rsid w:val="00A35B22"/>
    <w:rsid w:val="00A37088"/>
    <w:rsid w:val="00A42B99"/>
    <w:rsid w:val="00A479B6"/>
    <w:rsid w:val="00A50D3C"/>
    <w:rsid w:val="00A532E3"/>
    <w:rsid w:val="00A54D9C"/>
    <w:rsid w:val="00A57200"/>
    <w:rsid w:val="00A57865"/>
    <w:rsid w:val="00A62284"/>
    <w:rsid w:val="00A62B31"/>
    <w:rsid w:val="00A64850"/>
    <w:rsid w:val="00A64BD8"/>
    <w:rsid w:val="00A65003"/>
    <w:rsid w:val="00A65202"/>
    <w:rsid w:val="00A65611"/>
    <w:rsid w:val="00A65CFF"/>
    <w:rsid w:val="00A6687F"/>
    <w:rsid w:val="00A66B19"/>
    <w:rsid w:val="00A66D0D"/>
    <w:rsid w:val="00A73299"/>
    <w:rsid w:val="00A7536B"/>
    <w:rsid w:val="00A80356"/>
    <w:rsid w:val="00A816B6"/>
    <w:rsid w:val="00A82D81"/>
    <w:rsid w:val="00A87284"/>
    <w:rsid w:val="00A96E79"/>
    <w:rsid w:val="00AA2033"/>
    <w:rsid w:val="00AA4A07"/>
    <w:rsid w:val="00AA6230"/>
    <w:rsid w:val="00AB632D"/>
    <w:rsid w:val="00AC5444"/>
    <w:rsid w:val="00AC70E1"/>
    <w:rsid w:val="00AD1D29"/>
    <w:rsid w:val="00AD328E"/>
    <w:rsid w:val="00AD4618"/>
    <w:rsid w:val="00AD5147"/>
    <w:rsid w:val="00AE0837"/>
    <w:rsid w:val="00AE11C8"/>
    <w:rsid w:val="00AE355C"/>
    <w:rsid w:val="00AE4EFC"/>
    <w:rsid w:val="00AE5731"/>
    <w:rsid w:val="00AE7127"/>
    <w:rsid w:val="00AF6BA2"/>
    <w:rsid w:val="00AF7801"/>
    <w:rsid w:val="00B019E2"/>
    <w:rsid w:val="00B020ED"/>
    <w:rsid w:val="00B022E6"/>
    <w:rsid w:val="00B036CB"/>
    <w:rsid w:val="00B130D5"/>
    <w:rsid w:val="00B13566"/>
    <w:rsid w:val="00B13A54"/>
    <w:rsid w:val="00B14220"/>
    <w:rsid w:val="00B16868"/>
    <w:rsid w:val="00B17251"/>
    <w:rsid w:val="00B2159A"/>
    <w:rsid w:val="00B21D32"/>
    <w:rsid w:val="00B225D3"/>
    <w:rsid w:val="00B313B2"/>
    <w:rsid w:val="00B34A43"/>
    <w:rsid w:val="00B36912"/>
    <w:rsid w:val="00B404A0"/>
    <w:rsid w:val="00B4256A"/>
    <w:rsid w:val="00B432AB"/>
    <w:rsid w:val="00B54D75"/>
    <w:rsid w:val="00B552F4"/>
    <w:rsid w:val="00B60C2A"/>
    <w:rsid w:val="00B65FC0"/>
    <w:rsid w:val="00B707DD"/>
    <w:rsid w:val="00B719F4"/>
    <w:rsid w:val="00B72445"/>
    <w:rsid w:val="00B73995"/>
    <w:rsid w:val="00B74DBC"/>
    <w:rsid w:val="00B75E08"/>
    <w:rsid w:val="00B76684"/>
    <w:rsid w:val="00B7698F"/>
    <w:rsid w:val="00B84FA3"/>
    <w:rsid w:val="00B85F5F"/>
    <w:rsid w:val="00B86395"/>
    <w:rsid w:val="00B86E2B"/>
    <w:rsid w:val="00B87311"/>
    <w:rsid w:val="00B91DEC"/>
    <w:rsid w:val="00B92A56"/>
    <w:rsid w:val="00B931F8"/>
    <w:rsid w:val="00B95DB0"/>
    <w:rsid w:val="00B9722F"/>
    <w:rsid w:val="00B97741"/>
    <w:rsid w:val="00BA0721"/>
    <w:rsid w:val="00BA1883"/>
    <w:rsid w:val="00BA227D"/>
    <w:rsid w:val="00BA4C84"/>
    <w:rsid w:val="00BA6373"/>
    <w:rsid w:val="00BC09FC"/>
    <w:rsid w:val="00BC0DD5"/>
    <w:rsid w:val="00BC60E6"/>
    <w:rsid w:val="00BC7B04"/>
    <w:rsid w:val="00BE4424"/>
    <w:rsid w:val="00BE66AA"/>
    <w:rsid w:val="00BE73B9"/>
    <w:rsid w:val="00BF0886"/>
    <w:rsid w:val="00BF444F"/>
    <w:rsid w:val="00BF4FCC"/>
    <w:rsid w:val="00BF5274"/>
    <w:rsid w:val="00BF77F5"/>
    <w:rsid w:val="00C01D8A"/>
    <w:rsid w:val="00C023EF"/>
    <w:rsid w:val="00C1338D"/>
    <w:rsid w:val="00C15415"/>
    <w:rsid w:val="00C16FE4"/>
    <w:rsid w:val="00C172EB"/>
    <w:rsid w:val="00C22F98"/>
    <w:rsid w:val="00C2363B"/>
    <w:rsid w:val="00C26560"/>
    <w:rsid w:val="00C3062F"/>
    <w:rsid w:val="00C32E7A"/>
    <w:rsid w:val="00C3633B"/>
    <w:rsid w:val="00C408D9"/>
    <w:rsid w:val="00C42DB9"/>
    <w:rsid w:val="00C447FD"/>
    <w:rsid w:val="00C44B90"/>
    <w:rsid w:val="00C5112F"/>
    <w:rsid w:val="00C51434"/>
    <w:rsid w:val="00C51743"/>
    <w:rsid w:val="00C51A61"/>
    <w:rsid w:val="00C57393"/>
    <w:rsid w:val="00C64C71"/>
    <w:rsid w:val="00C6528B"/>
    <w:rsid w:val="00C661B3"/>
    <w:rsid w:val="00C70300"/>
    <w:rsid w:val="00C7037D"/>
    <w:rsid w:val="00C70637"/>
    <w:rsid w:val="00C71DC8"/>
    <w:rsid w:val="00C73E69"/>
    <w:rsid w:val="00C74592"/>
    <w:rsid w:val="00C761AD"/>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011"/>
    <w:rsid w:val="00CC6216"/>
    <w:rsid w:val="00CC6A8D"/>
    <w:rsid w:val="00CC70FA"/>
    <w:rsid w:val="00CD37C3"/>
    <w:rsid w:val="00CD3911"/>
    <w:rsid w:val="00CD48EF"/>
    <w:rsid w:val="00CD4BA1"/>
    <w:rsid w:val="00CD59A6"/>
    <w:rsid w:val="00CE328A"/>
    <w:rsid w:val="00CE33C1"/>
    <w:rsid w:val="00CE3834"/>
    <w:rsid w:val="00CF148C"/>
    <w:rsid w:val="00CF3838"/>
    <w:rsid w:val="00CF3D94"/>
    <w:rsid w:val="00CF48A3"/>
    <w:rsid w:val="00CF5081"/>
    <w:rsid w:val="00D00377"/>
    <w:rsid w:val="00D058E4"/>
    <w:rsid w:val="00D07178"/>
    <w:rsid w:val="00D11C0B"/>
    <w:rsid w:val="00D11EE9"/>
    <w:rsid w:val="00D13F47"/>
    <w:rsid w:val="00D14E66"/>
    <w:rsid w:val="00D16E40"/>
    <w:rsid w:val="00D17631"/>
    <w:rsid w:val="00D17CD3"/>
    <w:rsid w:val="00D21B22"/>
    <w:rsid w:val="00D24AEB"/>
    <w:rsid w:val="00D24AFD"/>
    <w:rsid w:val="00D27902"/>
    <w:rsid w:val="00D27984"/>
    <w:rsid w:val="00D31D50"/>
    <w:rsid w:val="00D323E9"/>
    <w:rsid w:val="00D34F5B"/>
    <w:rsid w:val="00D35023"/>
    <w:rsid w:val="00D403B8"/>
    <w:rsid w:val="00D406D4"/>
    <w:rsid w:val="00D4108C"/>
    <w:rsid w:val="00D45C1B"/>
    <w:rsid w:val="00D45E14"/>
    <w:rsid w:val="00D51C9A"/>
    <w:rsid w:val="00D5318C"/>
    <w:rsid w:val="00D53371"/>
    <w:rsid w:val="00D53BD5"/>
    <w:rsid w:val="00D55621"/>
    <w:rsid w:val="00D6000E"/>
    <w:rsid w:val="00D713D6"/>
    <w:rsid w:val="00D727F1"/>
    <w:rsid w:val="00D72DAF"/>
    <w:rsid w:val="00D75BB9"/>
    <w:rsid w:val="00D76276"/>
    <w:rsid w:val="00D77919"/>
    <w:rsid w:val="00D8083C"/>
    <w:rsid w:val="00D80FFC"/>
    <w:rsid w:val="00D85F8D"/>
    <w:rsid w:val="00D872EC"/>
    <w:rsid w:val="00D87F81"/>
    <w:rsid w:val="00D90E39"/>
    <w:rsid w:val="00D97E89"/>
    <w:rsid w:val="00DA3A98"/>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4B84"/>
    <w:rsid w:val="00DD7F91"/>
    <w:rsid w:val="00DE0985"/>
    <w:rsid w:val="00DE42BF"/>
    <w:rsid w:val="00DE4A1A"/>
    <w:rsid w:val="00DE4E11"/>
    <w:rsid w:val="00DE53FE"/>
    <w:rsid w:val="00DE6ED8"/>
    <w:rsid w:val="00DF0524"/>
    <w:rsid w:val="00E00A5F"/>
    <w:rsid w:val="00E01BA5"/>
    <w:rsid w:val="00E05D64"/>
    <w:rsid w:val="00E07ABB"/>
    <w:rsid w:val="00E07D8F"/>
    <w:rsid w:val="00E13762"/>
    <w:rsid w:val="00E14E2F"/>
    <w:rsid w:val="00E1552D"/>
    <w:rsid w:val="00E1640B"/>
    <w:rsid w:val="00E317A6"/>
    <w:rsid w:val="00E3190E"/>
    <w:rsid w:val="00E31F05"/>
    <w:rsid w:val="00E32285"/>
    <w:rsid w:val="00E34295"/>
    <w:rsid w:val="00E3667E"/>
    <w:rsid w:val="00E4088D"/>
    <w:rsid w:val="00E4228D"/>
    <w:rsid w:val="00E4254E"/>
    <w:rsid w:val="00E4608C"/>
    <w:rsid w:val="00E502A2"/>
    <w:rsid w:val="00E521B6"/>
    <w:rsid w:val="00E52931"/>
    <w:rsid w:val="00E53614"/>
    <w:rsid w:val="00E53ACE"/>
    <w:rsid w:val="00E5519B"/>
    <w:rsid w:val="00E55FEE"/>
    <w:rsid w:val="00E57BD3"/>
    <w:rsid w:val="00E57D38"/>
    <w:rsid w:val="00E65332"/>
    <w:rsid w:val="00E65F77"/>
    <w:rsid w:val="00E670CD"/>
    <w:rsid w:val="00E67EA9"/>
    <w:rsid w:val="00E7662D"/>
    <w:rsid w:val="00E7727F"/>
    <w:rsid w:val="00E83519"/>
    <w:rsid w:val="00E91889"/>
    <w:rsid w:val="00E91F0F"/>
    <w:rsid w:val="00E92C54"/>
    <w:rsid w:val="00E944E2"/>
    <w:rsid w:val="00E95C54"/>
    <w:rsid w:val="00E96103"/>
    <w:rsid w:val="00EA027D"/>
    <w:rsid w:val="00EB22CF"/>
    <w:rsid w:val="00EB3414"/>
    <w:rsid w:val="00EB39DD"/>
    <w:rsid w:val="00EB40E4"/>
    <w:rsid w:val="00EB483C"/>
    <w:rsid w:val="00EB61AF"/>
    <w:rsid w:val="00EB67BA"/>
    <w:rsid w:val="00EC16F8"/>
    <w:rsid w:val="00EC306F"/>
    <w:rsid w:val="00EC374C"/>
    <w:rsid w:val="00EC408E"/>
    <w:rsid w:val="00EC41F2"/>
    <w:rsid w:val="00EC4EB3"/>
    <w:rsid w:val="00EC5617"/>
    <w:rsid w:val="00EC7457"/>
    <w:rsid w:val="00EC7C9E"/>
    <w:rsid w:val="00ED230D"/>
    <w:rsid w:val="00ED2440"/>
    <w:rsid w:val="00ED6C43"/>
    <w:rsid w:val="00EE1C0B"/>
    <w:rsid w:val="00EE59D0"/>
    <w:rsid w:val="00EE7FF3"/>
    <w:rsid w:val="00EF1370"/>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166E5"/>
    <w:rsid w:val="00F21AC1"/>
    <w:rsid w:val="00F22D55"/>
    <w:rsid w:val="00F24A9A"/>
    <w:rsid w:val="00F2592D"/>
    <w:rsid w:val="00F25C5F"/>
    <w:rsid w:val="00F3182D"/>
    <w:rsid w:val="00F34EF2"/>
    <w:rsid w:val="00F3580F"/>
    <w:rsid w:val="00F406BB"/>
    <w:rsid w:val="00F44AD0"/>
    <w:rsid w:val="00F45A7A"/>
    <w:rsid w:val="00F50379"/>
    <w:rsid w:val="00F55102"/>
    <w:rsid w:val="00F56FEE"/>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1AD3"/>
    <w:rsid w:val="00FA3581"/>
    <w:rsid w:val="00FA648B"/>
    <w:rsid w:val="00FB10B8"/>
    <w:rsid w:val="00FB24BA"/>
    <w:rsid w:val="00FB28C8"/>
    <w:rsid w:val="00FB381D"/>
    <w:rsid w:val="00FB40AD"/>
    <w:rsid w:val="00FB6172"/>
    <w:rsid w:val="00FB6492"/>
    <w:rsid w:val="00FC007D"/>
    <w:rsid w:val="00FC131A"/>
    <w:rsid w:val="00FC224A"/>
    <w:rsid w:val="00FC43D6"/>
    <w:rsid w:val="00FC4AD3"/>
    <w:rsid w:val="00FD1ECF"/>
    <w:rsid w:val="00FD2208"/>
    <w:rsid w:val="00FD2EC4"/>
    <w:rsid w:val="00FD63D3"/>
    <w:rsid w:val="00FD717D"/>
    <w:rsid w:val="00FE14C7"/>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168A6"/>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0C7C36"/>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1FA15E62"/>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5AC4DDC"/>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Normal]"/>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39292;&#29366;&#22270;&#12289;&#26609;&#2936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年度决算收入结构图</a:t>
            </a:r>
            <a:endParaRPr lang="zh-CN" altLang="en-US"/>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dLbl>
              <c:idx val="1"/>
              <c:delete val="1"/>
            </c:dLbl>
            <c:dLbl>
              <c:idx val="2"/>
              <c:delete val="1"/>
            </c:dLbl>
            <c:dLbl>
              <c:idx val="3"/>
              <c:delete val="1"/>
            </c:dLbl>
            <c:dLbl>
              <c:idx val="6"/>
              <c:delete val="1"/>
            </c:dLbl>
            <c:dLbl>
              <c:idx val="7"/>
              <c:delete val="1"/>
            </c:dLbl>
            <c:dLbl>
              <c:idx val="8"/>
              <c:delete val="1"/>
            </c:dLbl>
            <c:dLbl>
              <c:idx val="1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Sheet1!$A$2:$A$12</c:f>
              <c:strCache>
                <c:ptCount val="10"/>
                <c:pt idx="0">
                  <c:v>一般公共服务支出</c:v>
                </c:pt>
                <c:pt idx="4">
                  <c:v>社会保障和就业支出</c:v>
                </c:pt>
                <c:pt idx="5">
                  <c:v>卫生健康支出</c:v>
                </c:pt>
                <c:pt idx="9">
                  <c:v>住房保障支出</c:v>
                </c:pt>
              </c:strCache>
            </c:strRef>
          </c:cat>
          <c:val>
            <c:numRef>
              <c:f>Sheet1!$B$2:$B$12</c:f>
              <c:numCache>
                <c:formatCode>0.00%</c:formatCode>
                <c:ptCount val="11"/>
                <c:pt idx="0">
                  <c:v>0.869</c:v>
                </c:pt>
                <c:pt idx="4">
                  <c:v>0.081</c:v>
                </c:pt>
                <c:pt idx="5">
                  <c:v>0.017</c:v>
                </c:pt>
                <c:pt idx="9">
                  <c:v>0.033</c:v>
                </c:pt>
              </c:numCache>
            </c:numRef>
          </c:val>
        </c:ser>
        <c:dLbls>
          <c:showLegendKey val="0"/>
          <c:showVal val="0"/>
          <c:showCatName val="0"/>
          <c:showSerName val="0"/>
          <c:showPercent val="1"/>
          <c:showBubbleSize val="0"/>
          <c:showLeaderLines val="1"/>
        </c:dLbls>
        <c:firstSliceAng val="0"/>
      </c:pieChart>
    </c:plotArea>
    <c:legend>
      <c:legendPos val="r"/>
      <c:legendEntry>
        <c:idx val="1"/>
        <c:delete val="1"/>
      </c:legendEntry>
      <c:legendEntry>
        <c:idx val="2"/>
        <c:delete val="1"/>
      </c:legendEntry>
      <c:legendEntry>
        <c:idx val="3"/>
        <c:delete val="1"/>
      </c:legendEntry>
      <c:legendEntry>
        <c:idx val="6"/>
        <c:delete val="1"/>
      </c:legendEntry>
      <c:legendEntry>
        <c:idx val="7"/>
        <c:delete val="1"/>
      </c:legendEntry>
      <c:legendEntry>
        <c:idx val="8"/>
        <c:delete val="1"/>
      </c:legendEntry>
      <c:legendEntry>
        <c:idx val="1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4222d68-6ff2-4f30-91b5-a76dee209ea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年度预算收入与决算收入对比图</a:t>
            </a:r>
            <a:endParaRPr lang="zh-CN" altLang="en-US"/>
          </a:p>
        </c:rich>
      </c:tx>
      <c:layout>
        <c:manualLayout>
          <c:xMode val="edge"/>
          <c:yMode val="edge"/>
          <c:x val="0.2027969348659"/>
          <c:y val="0.0241874527588813"/>
        </c:manualLayout>
      </c:layout>
      <c:overlay val="0"/>
    </c:title>
    <c:autoTitleDeleted val="0"/>
    <c:plotArea>
      <c:layout/>
      <c:barChart>
        <c:barDir val="col"/>
        <c:grouping val="clustered"/>
        <c:varyColors val="0"/>
        <c:ser>
          <c:idx val="0"/>
          <c:order val="0"/>
          <c:tx>
            <c:strRef>
              <c:f>Sheet1!$B$42</c:f>
              <c:strCache>
                <c:ptCount val="1"/>
                <c:pt idx="0">
                  <c:v>预算收入(万元)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Sheet1!$A$43:$A$53</c:f>
              <c:strCache>
                <c:ptCount val="10"/>
                <c:pt idx="0">
                  <c:v>一般公共服务支出</c:v>
                </c:pt>
                <c:pt idx="4">
                  <c:v>社会保障和就业支出</c:v>
                </c:pt>
                <c:pt idx="5">
                  <c:v>卫生健康支出</c:v>
                </c:pt>
                <c:pt idx="9">
                  <c:v>住房保障支出</c:v>
                </c:pt>
              </c:strCache>
            </c:strRef>
          </c:cat>
          <c:val>
            <c:numRef>
              <c:f>Sheet1!$B$43:$B$53</c:f>
              <c:numCache>
                <c:formatCode>General</c:formatCode>
                <c:ptCount val="11"/>
                <c:pt idx="0">
                  <c:v>235.73</c:v>
                </c:pt>
                <c:pt idx="4">
                  <c:v>17.34</c:v>
                </c:pt>
                <c:pt idx="5">
                  <c:v>5.46</c:v>
                </c:pt>
                <c:pt idx="9">
                  <c:v>8.71</c:v>
                </c:pt>
              </c:numCache>
            </c:numRef>
          </c:val>
        </c:ser>
        <c:ser>
          <c:idx val="1"/>
          <c:order val="1"/>
          <c:tx>
            <c:strRef>
              <c:f>Sheet1!$C$42</c:f>
              <c:strCache>
                <c:ptCount val="1"/>
                <c:pt idx="0">
                  <c:v>决算收入（万元）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Sheet1!$A$43:$A$53</c:f>
              <c:strCache>
                <c:ptCount val="10"/>
                <c:pt idx="0">
                  <c:v>一般公共服务支出</c:v>
                </c:pt>
                <c:pt idx="4">
                  <c:v>社会保障和就业支出</c:v>
                </c:pt>
                <c:pt idx="5">
                  <c:v>卫生健康支出</c:v>
                </c:pt>
                <c:pt idx="9">
                  <c:v>住房保障支出</c:v>
                </c:pt>
              </c:strCache>
            </c:strRef>
          </c:cat>
          <c:val>
            <c:numRef>
              <c:f>Sheet1!$C$43:$C$53</c:f>
              <c:numCache>
                <c:formatCode>General</c:formatCode>
                <c:ptCount val="11"/>
                <c:pt idx="0">
                  <c:v>226.7</c:v>
                </c:pt>
                <c:pt idx="4">
                  <c:v>21.13</c:v>
                </c:pt>
                <c:pt idx="5">
                  <c:v>4.39</c:v>
                </c:pt>
                <c:pt idx="9">
                  <c:v>8.71</c:v>
                </c:pt>
              </c:numCache>
            </c:numRef>
          </c:val>
        </c:ser>
        <c:dLbls>
          <c:showLegendKey val="0"/>
          <c:showVal val="0"/>
          <c:showCatName val="0"/>
          <c:showSerName val="0"/>
          <c:showPercent val="0"/>
          <c:showBubbleSize val="0"/>
        </c:dLbls>
        <c:gapWidth val="150"/>
        <c:axId val="157951488"/>
        <c:axId val="157953024"/>
      </c:barChart>
      <c:catAx>
        <c:axId val="15795148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953024"/>
        <c:crosses val="autoZero"/>
        <c:auto val="1"/>
        <c:lblAlgn val="ctr"/>
        <c:lblOffset val="100"/>
        <c:noMultiLvlLbl val="0"/>
      </c:catAx>
      <c:valAx>
        <c:axId val="15795302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9514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9132a64-39af-4ff2-ae83-e87fe501dcea}"/>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年度决算支出结构图</a:t>
            </a:r>
            <a:endParaRPr lang="zh-CN" altLang="en-US"/>
          </a:p>
        </c:rich>
      </c:tx>
      <c:layout>
        <c:manualLayout>
          <c:xMode val="edge"/>
          <c:yMode val="edge"/>
          <c:x val="0.238712299951676"/>
          <c:y val="0.0178507675830061"/>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0.00%</c:formatCode>
                <c:ptCount val="4"/>
                <c:pt idx="0">
                  <c:v>0.8688</c:v>
                </c:pt>
                <c:pt idx="1">
                  <c:v>0.081</c:v>
                </c:pt>
                <c:pt idx="2">
                  <c:v>0.0168</c:v>
                </c:pt>
                <c:pt idx="3">
                  <c:v>0.0334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24f6aa9-1ff7-405f-a3c5-7ea8bbae348c}"/>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年度预算支出与决算支出对比图</a:t>
            </a:r>
            <a:endParaRPr lang="zh-CN" altLang="en-US"/>
          </a:p>
        </c:rich>
      </c:tx>
      <c:layout/>
      <c:overlay val="0"/>
    </c:title>
    <c:autoTitleDeleted val="0"/>
    <c:plotArea>
      <c:layout/>
      <c:barChart>
        <c:barDir val="col"/>
        <c:grouping val="clustered"/>
        <c:varyColors val="0"/>
        <c:ser>
          <c:idx val="0"/>
          <c:order val="0"/>
          <c:tx>
            <c:strRef>
              <c:f>Sheet1!$B$42</c:f>
              <c:strCache>
                <c:ptCount val="1"/>
                <c:pt idx="0">
                  <c:v>预算支出(万元)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Sheet1!$A$43:$A$46</c:f>
              <c:strCache>
                <c:ptCount val="4"/>
                <c:pt idx="0">
                  <c:v>一般公共服务支出</c:v>
                </c:pt>
                <c:pt idx="1">
                  <c:v>社会保障和就业支出</c:v>
                </c:pt>
                <c:pt idx="2">
                  <c:v>卫生健康支出</c:v>
                </c:pt>
                <c:pt idx="3">
                  <c:v>住房保障支出</c:v>
                </c:pt>
              </c:strCache>
            </c:strRef>
          </c:cat>
          <c:val>
            <c:numRef>
              <c:f>Sheet1!$B$43:$B$46</c:f>
              <c:numCache>
                <c:formatCode>General</c:formatCode>
                <c:ptCount val="4"/>
                <c:pt idx="0">
                  <c:v>235.73</c:v>
                </c:pt>
                <c:pt idx="1">
                  <c:v>17.34</c:v>
                </c:pt>
                <c:pt idx="2">
                  <c:v>5.46</c:v>
                </c:pt>
                <c:pt idx="3">
                  <c:v>8.71</c:v>
                </c:pt>
              </c:numCache>
            </c:numRef>
          </c:val>
        </c:ser>
        <c:ser>
          <c:idx val="1"/>
          <c:order val="1"/>
          <c:tx>
            <c:strRef>
              <c:f>Sheet1!$C$42</c:f>
              <c:strCache>
                <c:ptCount val="1"/>
                <c:pt idx="0">
                  <c:v>决算支出（万元）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Sheet1!$A$43:$A$46</c:f>
              <c:strCache>
                <c:ptCount val="4"/>
                <c:pt idx="0">
                  <c:v>一般公共服务支出</c:v>
                </c:pt>
                <c:pt idx="1">
                  <c:v>社会保障和就业支出</c:v>
                </c:pt>
                <c:pt idx="2">
                  <c:v>卫生健康支出</c:v>
                </c:pt>
                <c:pt idx="3">
                  <c:v>住房保障支出</c:v>
                </c:pt>
              </c:strCache>
            </c:strRef>
          </c:cat>
          <c:val>
            <c:numRef>
              <c:f>Sheet1!$C$43:$C$46</c:f>
              <c:numCache>
                <c:formatCode>General</c:formatCode>
                <c:ptCount val="4"/>
                <c:pt idx="0">
                  <c:v>226.7</c:v>
                </c:pt>
                <c:pt idx="1">
                  <c:v>21.13</c:v>
                </c:pt>
                <c:pt idx="2">
                  <c:v>4.39</c:v>
                </c:pt>
                <c:pt idx="3">
                  <c:v>8.71</c:v>
                </c:pt>
              </c:numCache>
            </c:numRef>
          </c:val>
        </c:ser>
        <c:dLbls>
          <c:showLegendKey val="0"/>
          <c:showVal val="0"/>
          <c:showCatName val="0"/>
          <c:showSerName val="0"/>
          <c:showPercent val="0"/>
          <c:showBubbleSize val="0"/>
        </c:dLbls>
        <c:gapWidth val="150"/>
        <c:axId val="158046080"/>
        <c:axId val="158047616"/>
      </c:barChart>
      <c:catAx>
        <c:axId val="1580460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8047616"/>
        <c:crosses val="autoZero"/>
        <c:auto val="1"/>
        <c:lblAlgn val="ctr"/>
        <c:lblOffset val="100"/>
        <c:noMultiLvlLbl val="0"/>
      </c:catAx>
      <c:valAx>
        <c:axId val="15804761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80460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24e8846-87f5-43ee-a929-8f52fbc11097}"/>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3949-2E5C-4485-A4E7-BB986F7E89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1943</Words>
  <Characters>2003</Characters>
  <Lines>100</Lines>
  <Paragraphs>28</Paragraphs>
  <TotalTime>3371</TotalTime>
  <ScaleCrop>false</ScaleCrop>
  <LinksUpToDate>false</LinksUpToDate>
  <CharactersWithSpaces>2101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　</cp:lastModifiedBy>
  <cp:lastPrinted>2020-11-26T08:04:00Z</cp:lastPrinted>
  <dcterms:modified xsi:type="dcterms:W3CDTF">2025-05-12T02:26:34Z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4D5ADC4A55F34EBCBDF62E1C6B252117_13</vt:lpwstr>
  </property>
  <property fmtid="{D5CDD505-2E9C-101B-9397-08002B2CF9AE}" pid="4" name="KSOTemplateDocerSaveRecord">
    <vt:lpwstr>eyJoZGlkIjoiMDY0Y2MxOWFjYmI4YTVkMWY4OWFiZTVjZmE5OGZlYzMiLCJ1c2VySWQiOiIxMzc1MDA5NzkyIn0=</vt:lpwstr>
  </property>
</Properties>
</file>