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pacing w:line="578" w:lineRule="exact"/>
        <w:ind/>
        <w:jc w:val="left"/>
        <w:rPr>
          <w:rFonts w:ascii="仿宋_GB2312" w:hAnsi="宋体" w:cs="宋体"/>
          <w:color w:val="000000"/>
          <w:sz w:val="32"/>
          <w:szCs w:val="32"/>
        </w:rPr>
      </w:pPr>
      <w:r>
        <w:rPr>
          <w:rFonts w:hint="eastAsia" w:ascii="仿宋_GB2312" w:hAnsi="宋体" w:cs="宋体"/>
          <w:color w:val="000000"/>
          <w:sz w:val="32"/>
          <w:szCs w:val="32"/>
        </w:rPr>
        <w:t xml:space="preserve">附件1</w:t>
      </w:r>
      <w:r>
        <w:rPr>
          <w:rFonts w:ascii="仿宋_GB2312" w:hAnsi="宋体" w:cs="宋体"/>
          <w:color w:val="000000"/>
          <w:sz w:val="32"/>
          <w:szCs w:val="32"/>
        </w:rPr>
      </w:r>
    </w:p>
    <w:p>
      <w:pPr>
        <w:pBdr/>
        <w:spacing w:line="360" w:lineRule="auto"/>
        <w:ind/>
        <w:jc w:val="center"/>
        <w:rPr>
          <w:rFonts w:ascii="宋体" w:hAnsi="宋体" w:eastAsia="宋体"/>
          <w:b/>
          <w:sz w:val="44"/>
          <w:szCs w:val="44"/>
        </w:rPr>
      </w:pPr>
      <w:r>
        <w:rPr>
          <w:rFonts w:hint="eastAsia" w:ascii="宋体" w:hAnsi="宋体" w:eastAsia="宋体"/>
          <w:b/>
          <w:sz w:val="44"/>
          <w:szCs w:val="44"/>
        </w:rPr>
        <w:t xml:space="preserve">保定市徐水区退役军人事务局</w:t>
      </w:r>
      <w:r>
        <w:rPr>
          <w:rFonts w:ascii="宋体" w:hAnsi="宋体" w:eastAsia="宋体"/>
          <w:b/>
          <w:sz w:val="44"/>
          <w:szCs w:val="44"/>
        </w:rPr>
      </w:r>
    </w:p>
    <w:p>
      <w:pPr>
        <w:pBdr/>
        <w:spacing w:line="360" w:lineRule="auto"/>
        <w:ind/>
        <w:jc w:val="center"/>
        <w:rPr>
          <w:rFonts w:ascii="宋体" w:hAnsi="宋体" w:eastAsia="宋体"/>
          <w:b/>
          <w:sz w:val="44"/>
          <w:szCs w:val="44"/>
        </w:rPr>
      </w:pPr>
      <w:r>
        <w:rPr>
          <w:rFonts w:ascii="宋体" w:hAnsi="宋体" w:eastAsia="宋体"/>
          <w:b/>
          <w:sz w:val="44"/>
          <w:szCs w:val="44"/>
        </w:rPr>
        <w:t xml:space="preserve">2021年</w:t>
      </w:r>
      <w:r>
        <w:rPr>
          <w:rFonts w:hint="eastAsia" w:ascii="宋体" w:hAnsi="宋体" w:eastAsia="宋体"/>
          <w:b/>
          <w:sz w:val="44"/>
          <w:szCs w:val="44"/>
          <w:lang w:eastAsia="zh-CN"/>
        </w:rPr>
        <w:t xml:space="preserve">单位</w:t>
      </w:r>
      <w:r>
        <w:rPr>
          <w:rFonts w:ascii="宋体" w:hAnsi="宋体" w:eastAsia="宋体"/>
          <w:b/>
          <w:sz w:val="44"/>
          <w:szCs w:val="44"/>
        </w:rPr>
        <w:t xml:space="preserve">预算公开说明</w:t>
      </w:r>
      <w:r>
        <w:rPr>
          <w:rFonts w:ascii="宋体" w:hAnsi="宋体" w:eastAsia="宋体"/>
          <w:b/>
          <w:sz w:val="44"/>
          <w:szCs w:val="44"/>
        </w:rPr>
      </w:r>
    </w:p>
    <w:p>
      <w:pPr>
        <w:pBdr/>
        <w:tabs>
          <w:tab w:val="left" w:leader="none" w:pos="5274"/>
        </w:tabs>
        <w:spacing w:line="360" w:lineRule="auto"/>
        <w:ind w:firstLine="640"/>
        <w:rPr>
          <w:rFonts w:ascii="仿宋" w:hAnsi="仿宋" w:eastAsia="仿宋"/>
          <w:sz w:val="32"/>
          <w:szCs w:val="32"/>
        </w:rPr>
      </w:pPr>
      <w:r>
        <w:rPr>
          <w:rFonts w:ascii="仿宋" w:hAnsi="仿宋" w:eastAsia="仿宋"/>
          <w:sz w:val="32"/>
          <w:szCs w:val="32"/>
        </w:rPr>
        <w:tab/>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按照《</w:t>
      </w:r>
      <w:r>
        <w:rPr>
          <w:rFonts w:hint="eastAsia" w:ascii="仿宋" w:hAnsi="仿宋" w:eastAsia="仿宋"/>
          <w:sz w:val="32"/>
          <w:szCs w:val="32"/>
          <w:lang w:val="en-US" w:eastAsia="zh-CN"/>
        </w:rPr>
        <w:t xml:space="preserve">中华人民共和国</w:t>
      </w:r>
      <w:r>
        <w:rPr>
          <w:rFonts w:hint="eastAsia" w:ascii="仿宋" w:hAnsi="仿宋" w:eastAsia="仿宋"/>
          <w:sz w:val="32"/>
          <w:szCs w:val="32"/>
        </w:rPr>
        <w:t xml:space="preserve">预算法》、《地方预决算公开操作规程》等文件规定，现将我</w:t>
      </w:r>
      <w:r>
        <w:rPr>
          <w:rFonts w:hint="eastAsia" w:ascii="仿宋" w:hAnsi="仿宋" w:eastAsia="仿宋"/>
          <w:sz w:val="32"/>
          <w:szCs w:val="32"/>
          <w:lang w:eastAsia="zh-CN"/>
        </w:rPr>
        <w:t xml:space="preserve">单位</w:t>
      </w:r>
      <w:r>
        <w:rPr>
          <w:rFonts w:hint="eastAsia" w:ascii="仿宋" w:hAnsi="仿宋" w:eastAsia="仿宋"/>
          <w:sz w:val="32"/>
          <w:szCs w:val="32"/>
        </w:rPr>
        <w:t xml:space="preserve">预算信息公开如下：</w:t>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第一部分</w:t>
      </w:r>
      <w:r>
        <w:rPr>
          <w:rFonts w:ascii="方正小标宋_GBK" w:eastAsia="方正小标宋_GBK"/>
          <w:sz w:val="44"/>
        </w:rPr>
        <w:t xml:space="preserve">:</w:t>
      </w:r>
      <w:r>
        <w:rPr>
          <w:rFonts w:hint="eastAsia" w:ascii="方正小标宋_GBK" w:eastAsia="方正小标宋_GBK"/>
          <w:sz w:val="44"/>
          <w:lang w:eastAsia="zh-CN"/>
        </w:rPr>
        <w:t xml:space="preserve">单位</w:t>
      </w:r>
      <w:r>
        <w:rPr>
          <w:rFonts w:ascii="方正小标宋_GBK" w:eastAsia="方正小标宋_GBK"/>
          <w:sz w:val="44"/>
        </w:rPr>
        <w:t xml:space="preserve">职责及机构设置情况</w:t>
      </w:r>
      <w:r>
        <w:rPr>
          <w:rFonts w:ascii="方正小标宋_GBK" w:eastAsia="方正小标宋_GBK"/>
          <w:sz w:val="44"/>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一、</w:t>
      </w:r>
      <w:r>
        <w:rPr>
          <w:rFonts w:hint="eastAsia" w:ascii="仿宋" w:hAnsi="仿宋" w:eastAsia="仿宋"/>
          <w:b/>
          <w:sz w:val="32"/>
          <w:szCs w:val="32"/>
          <w:lang w:eastAsia="zh-CN"/>
        </w:rPr>
        <w:t xml:space="preserve">单位</w:t>
      </w:r>
      <w:r>
        <w:rPr>
          <w:rFonts w:hint="eastAsia" w:ascii="仿宋" w:hAnsi="仿宋" w:eastAsia="仿宋"/>
          <w:b/>
          <w:sz w:val="32"/>
          <w:szCs w:val="32"/>
        </w:rPr>
        <w:t xml:space="preserve">职责</w:t>
      </w:r>
      <w:r>
        <w:rPr>
          <w:rFonts w:ascii="仿宋" w:hAnsi="仿宋" w:eastAsia="仿宋"/>
          <w:b/>
          <w:sz w:val="32"/>
          <w:szCs w:val="32"/>
        </w:rPr>
      </w:r>
    </w:p>
    <w:p>
      <w:pPr>
        <w:pBdr/>
        <w:spacing w:line="360" w:lineRule="auto"/>
        <w:ind w:firstLine="640"/>
        <w:jc w:val="left"/>
        <w:rPr>
          <w:rFonts w:ascii="仿宋_GB2312" w:hAnsi="宋体" w:eastAsia="仿宋_GB2312"/>
          <w:sz w:val="32"/>
          <w:szCs w:val="32"/>
        </w:rPr>
      </w:pPr>
      <w:r>
        <w:rPr>
          <w:rFonts w:hint="eastAsia" w:ascii="仿宋_GB2312" w:eastAsia="仿宋_GB2312"/>
          <w:sz w:val="32"/>
          <w:szCs w:val="32"/>
        </w:rPr>
        <w:t xml:space="preserve">根据《保定市徐水区退役军人事务局职能配置、内设机构和人员编制规定》， 保定市徐水区退役军人事务局的主要职责是：</w:t>
      </w:r>
      <w:r>
        <w:rPr>
          <w:rFonts w:ascii="仿宋_GB2312" w:hAnsi="宋体" w:eastAsia="仿宋_GB2312"/>
          <w:sz w:val="32"/>
          <w:szCs w:val="32"/>
        </w:rPr>
      </w:r>
    </w:p>
    <w:p>
      <w:pPr>
        <w:pBdr/>
        <w:spacing w:line="360" w:lineRule="auto"/>
        <w:ind w:firstLine="640"/>
        <w:jc w:val="left"/>
        <w:rPr>
          <w:rFonts w:ascii="仿宋_GB2312" w:eastAsia="仿宋_GB2312"/>
          <w:sz w:val="32"/>
          <w:szCs w:val="32"/>
        </w:rPr>
      </w:pPr>
      <w:r>
        <w:rPr>
          <w:rFonts w:hint="eastAsia" w:ascii="仿宋_GB2312" w:hAnsi="宋体" w:eastAsia="仿宋_GB2312" w:cs="宋体"/>
          <w:sz w:val="32"/>
          <w:szCs w:val="32"/>
        </w:rPr>
        <w:t xml:space="preserve">根据中共保定市徐水区委、保定市徐水区人民政府关于印发《保定市徐</w:t>
      </w:r>
      <w:r>
        <w:rPr>
          <w:rFonts w:hint="eastAsia" w:ascii="仿宋_GB2312" w:hAnsi="宋体" w:eastAsia="仿宋_GB2312" w:cs="宋体"/>
          <w:sz w:val="32"/>
          <w:szCs w:val="32"/>
        </w:rPr>
        <w:t xml:space="preserve">水区机构改革方案》的通知设立徐水区退役军人事务局，负责贯彻执行国家有关退役军人政策法规，落实双拥优抚等政策法规，组织指导拥军优属、优待、抚恤工作，承担英雄烈士保护工作，协调扶持随军随调家属就业创业，负责军队转业干部、复员干部、离退休干部、退役士兵、无军籍退休退职职工的移交安置和自主择业管理工作；指导协调退役军人就业创业、教育培训，组织落实军休人员待遇保障政策；落实退役军人思想政治政策法规，褒扬先进退役军人，开展权益维护和帮扶援助工作；拟定退役军人事业发展规划，负责资金管理、国有资产管理、内部审计、统计管理。</w:t>
      </w:r>
      <w:r>
        <w:rPr>
          <w:rFonts w:ascii="仿宋_GB2312" w:eastAsia="仿宋_GB2312"/>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二、机构设置</w:t>
      </w:r>
      <w:r>
        <w:rPr>
          <w:rFonts w:ascii="仿宋" w:hAnsi="仿宋" w:eastAsia="仿宋"/>
          <w:b/>
          <w:sz w:val="32"/>
          <w:szCs w:val="32"/>
        </w:rPr>
      </w:r>
    </w:p>
    <w:tbl>
      <w:tblPr>
        <w:tblStyle w:val="644"/>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992"/>
        <w:gridCol w:w="2692"/>
        <w:gridCol w:w="1701"/>
        <w:gridCol w:w="1418"/>
        <w:gridCol w:w="3260"/>
      </w:tblGrid>
      <w:tr>
        <w:trPr>
          <w:jc w:val="center"/>
          <w:trHeight w:val="454"/>
          <w:tblHeader/>
        </w:trPr>
        <w:tc>
          <w:tcPr>
            <w:shd w:val="clear" w:color="auto" w:fill="auto"/>
            <w:tcBorders>
              <w:top w:val="single" w:color="auto" w:sz="4" w:space="0"/>
              <w:left w:val="single" w:color="auto" w:sz="4" w:space="0"/>
              <w:bottom w:val="single" w:color="auto" w:sz="4" w:space="0"/>
            </w:tcBorders>
            <w:tcW w:w="992"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序号</w:t>
            </w:r>
            <w:r>
              <w:rPr>
                <w:rFonts w:ascii="仿宋_GB2312" w:hAnsi="仿宋" w:eastAsia="仿宋_GB2312" w:cs="宋体"/>
                <w:sz w:val="24"/>
                <w:szCs w:val="24"/>
              </w:rPr>
            </w:r>
          </w:p>
        </w:tc>
        <w:tc>
          <w:tcPr>
            <w:tcBorders>
              <w:bottom w:val="single" w:color="000000" w:sz="6" w:space="0"/>
            </w:tcBorders>
            <w:tcW w:w="2692"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单位名称</w:t>
            </w:r>
            <w:r>
              <w:rPr>
                <w:rFonts w:ascii="仿宋_GB2312" w:hAnsi="仿宋" w:eastAsia="仿宋_GB2312" w:cs="宋体"/>
                <w:sz w:val="24"/>
                <w:szCs w:val="24"/>
              </w:rPr>
            </w:r>
          </w:p>
        </w:tc>
        <w:tc>
          <w:tcPr>
            <w:tcBorders>
              <w:bottom w:val="single" w:color="000000" w:sz="6" w:space="0"/>
            </w:tcBorders>
            <w:tcW w:w="1701"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单位性质</w:t>
            </w:r>
            <w:r>
              <w:rPr>
                <w:rFonts w:ascii="仿宋_GB2312" w:hAnsi="仿宋" w:eastAsia="仿宋_GB2312" w:cs="宋体"/>
                <w:sz w:val="24"/>
                <w:szCs w:val="24"/>
              </w:rPr>
            </w:r>
          </w:p>
        </w:tc>
        <w:tc>
          <w:tcPr>
            <w:tcBorders>
              <w:bottom w:val="single" w:color="000000" w:sz="6" w:space="0"/>
            </w:tcBorders>
            <w:tcW w:w="1418"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单位规格</w:t>
            </w:r>
            <w:r>
              <w:rPr>
                <w:rFonts w:ascii="仿宋_GB2312" w:hAnsi="仿宋" w:eastAsia="仿宋_GB2312" w:cs="宋体"/>
                <w:sz w:val="24"/>
                <w:szCs w:val="24"/>
              </w:rPr>
            </w:r>
          </w:p>
        </w:tc>
        <w:tc>
          <w:tcPr>
            <w:tcBorders>
              <w:bottom w:val="single" w:color="000000" w:sz="6" w:space="0"/>
            </w:tcBorders>
            <w:tcW w:w="3260"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经费保障形式</w:t>
            </w:r>
            <w:r>
              <w:rPr>
                <w:rFonts w:ascii="仿宋_GB2312" w:hAnsi="仿宋" w:eastAsia="仿宋_GB2312" w:cs="宋体"/>
                <w:sz w:val="24"/>
                <w:szCs w:val="24"/>
              </w:rPr>
            </w:r>
          </w:p>
        </w:tc>
      </w:tr>
      <w:tr>
        <w:trPr>
          <w:jc w:val="center"/>
          <w:trHeight w:val="454"/>
        </w:trPr>
        <w:tc>
          <w:tcPr>
            <w:shd w:val="clear" w:color="auto" w:fill="auto"/>
            <w:tcBorders>
              <w:top w:val="single" w:color="auto" w:sz="4" w:space="0"/>
              <w:left w:val="single" w:color="auto" w:sz="4" w:space="0"/>
              <w:bottom w:val="single" w:color="auto" w:sz="4" w:space="0"/>
            </w:tcBorders>
            <w:tcW w:w="992"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1</w:t>
            </w:r>
            <w:r>
              <w:rPr>
                <w:rFonts w:ascii="仿宋_GB2312" w:hAnsi="仿宋" w:eastAsia="仿宋_GB2312"/>
                <w:bCs/>
                <w:sz w:val="24"/>
                <w:szCs w:val="24"/>
              </w:rPr>
            </w:r>
          </w:p>
        </w:tc>
        <w:tc>
          <w:tcPr>
            <w:tcBorders>
              <w:bottom w:val="single" w:color="auto" w:sz="4" w:space="0"/>
            </w:tcBorders>
            <w:tcW w:w="2692"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保定市徐水区退役军人事务局</w:t>
            </w:r>
            <w:r>
              <w:rPr>
                <w:rFonts w:ascii="仿宋_GB2312" w:hAnsi="仿宋" w:eastAsia="仿宋_GB2312"/>
                <w:bCs/>
                <w:sz w:val="24"/>
                <w:szCs w:val="24"/>
              </w:rPr>
            </w:r>
          </w:p>
        </w:tc>
        <w:tc>
          <w:tcPr>
            <w:tcBorders/>
            <w:tcW w:w="1701"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行政</w:t>
            </w:r>
            <w:r>
              <w:rPr>
                <w:rFonts w:ascii="仿宋_GB2312" w:hAnsi="仿宋" w:eastAsia="仿宋_GB2312"/>
                <w:bCs/>
                <w:sz w:val="24"/>
                <w:szCs w:val="24"/>
              </w:rPr>
            </w:r>
          </w:p>
        </w:tc>
        <w:tc>
          <w:tcPr>
            <w:tcBorders/>
            <w:tcW w:w="1418"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正科级</w:t>
            </w:r>
            <w:r>
              <w:rPr>
                <w:rFonts w:ascii="仿宋_GB2312" w:hAnsi="仿宋" w:eastAsia="仿宋_GB2312"/>
                <w:bCs/>
                <w:sz w:val="24"/>
                <w:szCs w:val="24"/>
              </w:rPr>
            </w:r>
          </w:p>
        </w:tc>
        <w:tc>
          <w:tcPr>
            <w:tcBorders/>
            <w:tcW w:w="3260"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财政拨款</w:t>
            </w:r>
            <w:r>
              <w:rPr>
                <w:rFonts w:ascii="仿宋_GB2312" w:hAnsi="仿宋" w:eastAsia="仿宋_GB2312"/>
                <w:bCs/>
                <w:sz w:val="24"/>
                <w:szCs w:val="24"/>
              </w:rPr>
            </w:r>
          </w:p>
        </w:tc>
      </w:tr>
    </w:tbl>
    <w:p>
      <w:pPr>
        <w:pBdr/>
        <w:spacing w:line="360" w:lineRule="auto"/>
        <w:ind/>
        <w:rPr>
          <w:rFonts w:ascii="仿宋" w:hAnsi="仿宋" w:eastAsia="仿宋"/>
          <w:b/>
          <w:sz w:val="32"/>
          <w:szCs w:val="32"/>
        </w:rPr>
      </w:pPr>
      <w:r>
        <w:rPr>
          <w:rFonts w:ascii="仿宋" w:hAnsi="仿宋" w:eastAsia="仿宋"/>
          <w:b/>
          <w:sz w:val="32"/>
          <w:szCs w:val="32"/>
        </w:rPr>
      </w:r>
      <w:r>
        <w:rPr>
          <w:rFonts w:ascii="仿宋" w:hAnsi="仿宋" w:eastAsia="仿宋"/>
          <w:b/>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第二部分：</w:t>
      </w:r>
      <w:r>
        <w:rPr>
          <w:rFonts w:hint="eastAsia" w:ascii="方正小标宋_GBK" w:eastAsia="方正小标宋_GBK"/>
          <w:sz w:val="44"/>
          <w:lang w:eastAsia="zh-CN"/>
        </w:rPr>
        <w:t xml:space="preserve">单位</w:t>
      </w:r>
      <w:r>
        <w:rPr>
          <w:rFonts w:hint="eastAsia" w:ascii="方正小标宋_GBK" w:eastAsia="方正小标宋_GBK"/>
          <w:sz w:val="44"/>
        </w:rPr>
        <w:t xml:space="preserve">预算安排的总体情况</w:t>
      </w:r>
      <w:r>
        <w:rPr>
          <w:rFonts w:ascii="方正小标宋_GBK" w:eastAsia="方正小标宋_GBK"/>
          <w:sz w:val="44"/>
        </w:rPr>
        <w:t xml:space="preserve"> </w:t>
      </w:r>
      <w:r>
        <w:rPr>
          <w:rFonts w:ascii="方正小标宋_GBK" w:eastAsia="方正小标宋_GBK"/>
          <w:sz w:val="44"/>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按照预算管理有关规定，目前我区</w:t>
      </w:r>
      <w:r>
        <w:rPr>
          <w:rFonts w:hint="eastAsia" w:ascii="仿宋" w:hAnsi="仿宋" w:eastAsia="仿宋"/>
          <w:sz w:val="32"/>
          <w:szCs w:val="32"/>
          <w:lang w:eastAsia="zh-CN"/>
        </w:rPr>
        <w:t xml:space="preserve">单位</w:t>
      </w:r>
      <w:r>
        <w:rPr>
          <w:rFonts w:hint="eastAsia" w:ascii="仿宋" w:hAnsi="仿宋" w:eastAsia="仿宋"/>
          <w:sz w:val="32"/>
          <w:szCs w:val="32"/>
        </w:rPr>
        <w:t xml:space="preserve">预算的编制实行综合预算制度，即全部收入和支出都反映</w:t>
      </w:r>
      <w:r>
        <w:rPr>
          <w:rFonts w:ascii="仿宋" w:hAnsi="仿宋" w:eastAsia="仿宋"/>
          <w:sz w:val="32"/>
          <w:szCs w:val="32"/>
        </w:rPr>
        <w:t xml:space="preserve">在</w:t>
      </w:r>
      <w:r>
        <w:rPr>
          <w:rFonts w:hint="eastAsia" w:ascii="仿宋" w:hAnsi="仿宋" w:eastAsia="仿宋"/>
          <w:sz w:val="32"/>
          <w:szCs w:val="32"/>
        </w:rPr>
        <w:t xml:space="preserve">预算中。我</w:t>
      </w:r>
      <w:r>
        <w:rPr>
          <w:rFonts w:hint="eastAsia" w:ascii="仿宋" w:hAnsi="仿宋" w:eastAsia="仿宋"/>
          <w:sz w:val="32"/>
          <w:szCs w:val="32"/>
          <w:lang w:eastAsia="zh-CN"/>
        </w:rPr>
        <w:t xml:space="preserve">单位</w:t>
      </w:r>
      <w:r>
        <w:rPr>
          <w:rFonts w:hint="eastAsia" w:ascii="仿宋" w:hAnsi="仿宋" w:eastAsia="仿宋"/>
          <w:sz w:val="32"/>
          <w:szCs w:val="32"/>
        </w:rPr>
        <w:t xml:space="preserve">及所属事业单位的收支包含在</w:t>
      </w:r>
      <w:r>
        <w:rPr>
          <w:rFonts w:hint="eastAsia" w:ascii="仿宋" w:hAnsi="仿宋" w:eastAsia="仿宋"/>
          <w:sz w:val="32"/>
          <w:szCs w:val="32"/>
          <w:lang w:eastAsia="zh-CN"/>
        </w:rPr>
        <w:t xml:space="preserve">单位</w:t>
      </w:r>
      <w:r>
        <w:rPr>
          <w:rFonts w:hint="eastAsia" w:ascii="仿宋" w:hAnsi="仿宋" w:eastAsia="仿宋"/>
          <w:sz w:val="32"/>
          <w:szCs w:val="32"/>
        </w:rPr>
        <w:t xml:space="preserve">预算中。</w:t>
      </w:r>
      <w:r>
        <w:rPr>
          <w:rFonts w:ascii="仿宋" w:hAnsi="仿宋" w:eastAsia="仿宋"/>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一、收入说明</w:t>
      </w:r>
      <w:r>
        <w:rPr>
          <w:rFonts w:ascii="仿宋" w:hAnsi="仿宋" w:eastAsia="仿宋"/>
          <w:b/>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2021年预算收入为</w:t>
      </w:r>
      <w:r>
        <w:rPr>
          <w:rFonts w:hint="eastAsia" w:ascii="仿宋" w:hAnsi="仿宋" w:eastAsia="仿宋"/>
          <w:sz w:val="32"/>
          <w:szCs w:val="32"/>
        </w:rPr>
        <w:t xml:space="preserve">6</w:t>
      </w:r>
      <w:r>
        <w:rPr>
          <w:rFonts w:hint="eastAsia" w:ascii="仿宋" w:hAnsi="仿宋" w:eastAsia="仿宋"/>
          <w:sz w:val="32"/>
          <w:szCs w:val="32"/>
          <w:lang w:val="en-US" w:eastAsia="zh-CN"/>
        </w:rPr>
        <w:t xml:space="preserve">126.789</w:t>
      </w:r>
      <w:r>
        <w:rPr>
          <w:rFonts w:ascii="仿宋" w:hAnsi="仿宋" w:eastAsia="仿宋"/>
          <w:sz w:val="32"/>
          <w:szCs w:val="32"/>
        </w:rPr>
        <w:t xml:space="preserve">万元,其中：一般公共预算收入</w:t>
      </w:r>
      <w:r>
        <w:rPr>
          <w:rFonts w:hint="eastAsia" w:ascii="仿宋" w:hAnsi="仿宋" w:eastAsia="仿宋"/>
          <w:sz w:val="32"/>
          <w:szCs w:val="32"/>
        </w:rPr>
        <w:t xml:space="preserve">6</w:t>
      </w:r>
      <w:r>
        <w:rPr>
          <w:rFonts w:hint="eastAsia" w:ascii="仿宋" w:hAnsi="仿宋" w:eastAsia="仿宋"/>
          <w:sz w:val="32"/>
          <w:szCs w:val="32"/>
          <w:lang w:val="en-US" w:eastAsia="zh-CN"/>
        </w:rPr>
        <w:t xml:space="preserve">126.789</w:t>
      </w:r>
      <w:r>
        <w:rPr>
          <w:rFonts w:ascii="仿宋" w:hAnsi="仿宋" w:eastAsia="仿宋"/>
          <w:sz w:val="32"/>
          <w:szCs w:val="32"/>
        </w:rPr>
        <w:t xml:space="preserve">万元，基金预算收入</w:t>
      </w:r>
      <w:r>
        <w:rPr>
          <w:rFonts w:hint="eastAsia" w:ascii="仿宋" w:hAnsi="仿宋" w:eastAsia="仿宋"/>
          <w:sz w:val="32"/>
          <w:szCs w:val="32"/>
        </w:rPr>
        <w:t xml:space="preserve">0</w:t>
      </w:r>
      <w:r>
        <w:rPr>
          <w:rFonts w:ascii="仿宋" w:hAnsi="仿宋" w:eastAsia="仿宋"/>
          <w:sz w:val="32"/>
          <w:szCs w:val="32"/>
        </w:rPr>
        <w:t xml:space="preserve">万元，财政专户收入</w:t>
      </w:r>
      <w:r>
        <w:rPr>
          <w:rFonts w:hint="eastAsia" w:ascii="仿宋" w:hAnsi="仿宋" w:eastAsia="仿宋"/>
          <w:sz w:val="32"/>
          <w:szCs w:val="32"/>
        </w:rPr>
        <w:t xml:space="preserve">0</w:t>
      </w:r>
      <w:r>
        <w:rPr>
          <w:rFonts w:ascii="仿宋" w:hAnsi="仿宋" w:eastAsia="仿宋"/>
          <w:sz w:val="32"/>
          <w:szCs w:val="32"/>
        </w:rPr>
        <w:t xml:space="preserve">万元，其他来源收入</w:t>
      </w:r>
      <w:r>
        <w:rPr>
          <w:rFonts w:hint="eastAsia" w:ascii="仿宋" w:hAnsi="仿宋" w:eastAsia="仿宋"/>
          <w:sz w:val="32"/>
          <w:szCs w:val="32"/>
        </w:rPr>
        <w:t xml:space="preserve">0</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二、支出说明</w:t>
      </w:r>
      <w:r>
        <w:rPr>
          <w:rFonts w:ascii="仿宋" w:hAnsi="仿宋" w:eastAsia="仿宋"/>
          <w:b/>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2021年</w:t>
      </w:r>
      <w:r>
        <w:rPr>
          <w:rFonts w:hint="eastAsia" w:ascii="仿宋" w:hAnsi="仿宋" w:eastAsia="仿宋"/>
          <w:sz w:val="32"/>
          <w:szCs w:val="32"/>
          <w:lang w:eastAsia="zh-CN"/>
        </w:rPr>
        <w:t xml:space="preserve">单位</w:t>
      </w:r>
      <w:r>
        <w:rPr>
          <w:rFonts w:ascii="仿宋" w:hAnsi="仿宋" w:eastAsia="仿宋"/>
          <w:sz w:val="32"/>
          <w:szCs w:val="32"/>
        </w:rPr>
        <w:t xml:space="preserve">支出预算：</w:t>
      </w:r>
      <w:r>
        <w:rPr>
          <w:rFonts w:hint="eastAsia" w:ascii="仿宋" w:hAnsi="仿宋" w:eastAsia="仿宋"/>
          <w:sz w:val="32"/>
          <w:szCs w:val="32"/>
          <w:lang w:val="en-US" w:eastAsia="zh-CN"/>
        </w:rPr>
        <w:t xml:space="preserve">6126.789</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基本支出</w:t>
      </w:r>
      <w:r>
        <w:rPr>
          <w:rFonts w:hint="eastAsia" w:ascii="仿宋" w:hAnsi="仿宋" w:eastAsia="仿宋"/>
          <w:sz w:val="32"/>
          <w:szCs w:val="32"/>
          <w:lang w:val="en-US" w:eastAsia="zh-CN"/>
        </w:rPr>
        <w:t xml:space="preserve">223.84</w:t>
      </w:r>
      <w:r>
        <w:rPr>
          <w:rFonts w:hint="eastAsia"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 xml:space="preserve">214.72</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 xml:space="preserve">9</w:t>
      </w:r>
      <w:r>
        <w:rPr>
          <w:rFonts w:hint="eastAsia" w:ascii="仿宋" w:hAnsi="仿宋" w:eastAsia="仿宋"/>
          <w:sz w:val="32"/>
          <w:szCs w:val="32"/>
        </w:rPr>
        <w:t xml:space="preserve">.12</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项目支出</w:t>
      </w:r>
      <w:r>
        <w:rPr>
          <w:rFonts w:ascii="仿宋" w:hAnsi="仿宋" w:eastAsia="仿宋"/>
          <w:sz w:val="32"/>
          <w:szCs w:val="32"/>
        </w:rPr>
        <w:t xml:space="preserve"> </w:t>
      </w:r>
      <w:r>
        <w:rPr>
          <w:rFonts w:hint="eastAsia" w:ascii="仿宋" w:hAnsi="仿宋" w:eastAsia="仿宋"/>
          <w:sz w:val="32"/>
          <w:szCs w:val="32"/>
          <w:lang w:val="en-US" w:eastAsia="zh-CN"/>
        </w:rPr>
        <w:t xml:space="preserve">5902.949</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 xml:space="preserve">5902.949</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三、比上年增减情况</w:t>
      </w:r>
      <w:r>
        <w:rPr>
          <w:rFonts w:ascii="仿宋" w:hAnsi="仿宋" w:eastAsia="仿宋"/>
          <w:b/>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本年度预算收支安排6</w:t>
      </w:r>
      <w:r>
        <w:rPr>
          <w:rFonts w:hint="eastAsia" w:ascii="仿宋" w:hAnsi="仿宋" w:eastAsia="仿宋"/>
          <w:sz w:val="32"/>
          <w:szCs w:val="32"/>
          <w:lang w:val="en-US" w:eastAsia="zh-CN"/>
        </w:rPr>
        <w:t xml:space="preserve">126.789</w:t>
      </w:r>
      <w:r>
        <w:rPr>
          <w:rFonts w:hint="eastAsia" w:ascii="仿宋" w:hAnsi="仿宋" w:eastAsia="仿宋"/>
          <w:sz w:val="32"/>
          <w:szCs w:val="32"/>
        </w:rPr>
        <w:t xml:space="preserve">万元，较上年增加1440.21</w:t>
      </w:r>
      <w:r>
        <w:rPr>
          <w:rFonts w:ascii="仿宋" w:hAnsi="仿宋" w:eastAsia="仿宋"/>
          <w:sz w:val="32"/>
          <w:szCs w:val="32"/>
        </w:rPr>
        <w:t xml:space="preserve">万元。其中:基本支出减少</w:t>
      </w:r>
      <w:r>
        <w:rPr>
          <w:rFonts w:hint="eastAsia" w:ascii="仿宋" w:hAnsi="仿宋" w:eastAsia="仿宋"/>
          <w:sz w:val="32"/>
          <w:szCs w:val="32"/>
        </w:rPr>
        <w:t xml:space="preserve">18.9</w:t>
      </w:r>
      <w:r>
        <w:rPr>
          <w:rFonts w:ascii="仿宋" w:hAnsi="仿宋" w:eastAsia="仿宋"/>
          <w:sz w:val="32"/>
          <w:szCs w:val="32"/>
        </w:rPr>
        <w:t xml:space="preserve">万元，主要原因是</w:t>
      </w:r>
      <w:r>
        <w:rPr>
          <w:rFonts w:hint="eastAsia" w:ascii="仿宋" w:hAnsi="仿宋" w:eastAsia="仿宋"/>
          <w:sz w:val="32"/>
          <w:szCs w:val="32"/>
        </w:rPr>
        <w:t xml:space="preserve">办公综合定额标准及公务用车运行维护经费标准降低</w:t>
      </w:r>
      <w:r>
        <w:rPr>
          <w:rFonts w:ascii="仿宋" w:hAnsi="仿宋" w:eastAsia="仿宋"/>
          <w:sz w:val="32"/>
          <w:szCs w:val="32"/>
        </w:rPr>
        <w:t xml:space="preserve">；项目支出增加</w:t>
      </w:r>
      <w:r>
        <w:rPr>
          <w:rFonts w:hint="eastAsia" w:ascii="仿宋" w:hAnsi="仿宋" w:eastAsia="仿宋"/>
          <w:sz w:val="32"/>
          <w:szCs w:val="32"/>
        </w:rPr>
        <w:t xml:space="preserve">1421.31</w:t>
      </w:r>
      <w:r>
        <w:rPr>
          <w:rFonts w:ascii="仿宋" w:hAnsi="仿宋" w:eastAsia="仿宋"/>
          <w:sz w:val="32"/>
          <w:szCs w:val="32"/>
        </w:rPr>
        <w:t xml:space="preserve">万元，主要原因是</w:t>
      </w:r>
      <w:r>
        <w:rPr>
          <w:rFonts w:hint="eastAsia" w:ascii="仿宋" w:hAnsi="仿宋" w:eastAsia="仿宋"/>
          <w:sz w:val="32"/>
          <w:szCs w:val="32"/>
        </w:rPr>
        <w:t xml:space="preserve">新增信访问题及解决部分退役士兵岗位、待遇资金预算、退役军人服务中心及相关办公场所改扩建项目及全区退役军人管理服务机构有关经费预算</w:t>
      </w:r>
      <w:r>
        <w:rPr>
          <w:rFonts w:ascii="仿宋" w:hAnsi="仿宋" w:eastAsia="仿宋"/>
          <w:sz w:val="32"/>
          <w:szCs w:val="32"/>
        </w:rPr>
        <w:t xml:space="preserve">。</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第三部分：机关运行经费安排情况</w:t>
      </w:r>
      <w:r>
        <w:rPr>
          <w:rFonts w:ascii="方正小标宋_GBK" w:eastAsia="方正小标宋_GBK"/>
          <w:sz w:val="44"/>
        </w:rPr>
      </w:r>
    </w:p>
    <w:p>
      <w:pPr>
        <w:pBdr/>
        <w:spacing w:line="360" w:lineRule="auto"/>
        <w:ind w:firstLine="640"/>
        <w:rPr>
          <w:rFonts w:ascii="仿宋" w:hAnsi="仿宋" w:eastAsia="仿宋"/>
          <w:b/>
          <w:sz w:val="32"/>
          <w:szCs w:val="32"/>
        </w:rPr>
      </w:pPr>
      <w:r>
        <w:rPr>
          <w:rFonts w:ascii="仿宋" w:hAnsi="仿宋" w:eastAsia="仿宋"/>
          <w:sz w:val="32"/>
          <w:szCs w:val="32"/>
        </w:rPr>
        <w:t xml:space="preserve">2021年我</w:t>
      </w:r>
      <w:r>
        <w:rPr>
          <w:rFonts w:hint="eastAsia" w:ascii="仿宋" w:hAnsi="仿宋" w:eastAsia="仿宋"/>
          <w:sz w:val="32"/>
          <w:szCs w:val="32"/>
          <w:lang w:eastAsia="zh-CN"/>
        </w:rPr>
        <w:t xml:space="preserve">单位</w:t>
      </w:r>
      <w:r>
        <w:rPr>
          <w:rFonts w:ascii="仿宋" w:hAnsi="仿宋" w:eastAsia="仿宋"/>
          <w:sz w:val="32"/>
          <w:szCs w:val="32"/>
        </w:rPr>
        <w:t xml:space="preserve">机关运行经费安排</w:t>
      </w:r>
      <w:r>
        <w:rPr>
          <w:rFonts w:hint="eastAsia" w:ascii="仿宋" w:hAnsi="仿宋" w:eastAsia="仿宋"/>
          <w:sz w:val="32"/>
          <w:szCs w:val="32"/>
          <w:lang w:val="en-US" w:eastAsia="zh-CN"/>
        </w:rPr>
        <w:t xml:space="preserve">9.12</w:t>
      </w:r>
      <w:r>
        <w:rPr>
          <w:rFonts w:ascii="仿宋" w:hAnsi="仿宋" w:eastAsia="仿宋"/>
          <w:sz w:val="32"/>
          <w:szCs w:val="32"/>
        </w:rPr>
        <w:t xml:space="preserve">万元，其中办公费</w:t>
      </w:r>
      <w:r>
        <w:rPr>
          <w:rFonts w:hint="eastAsia" w:ascii="仿宋" w:hAnsi="仿宋" w:eastAsia="仿宋"/>
          <w:sz w:val="32"/>
          <w:szCs w:val="32"/>
          <w:lang w:val="en-US" w:eastAsia="zh-CN"/>
        </w:rPr>
        <w:t xml:space="preserve">4</w:t>
      </w:r>
      <w:r>
        <w:rPr>
          <w:rFonts w:ascii="仿宋" w:hAnsi="仿宋" w:eastAsia="仿宋"/>
          <w:sz w:val="32"/>
          <w:szCs w:val="32"/>
        </w:rPr>
        <w:t xml:space="preserve">万元，邮电费</w:t>
      </w:r>
      <w:r>
        <w:rPr>
          <w:rFonts w:hint="eastAsia" w:ascii="仿宋" w:hAnsi="仿宋" w:eastAsia="仿宋"/>
          <w:sz w:val="32"/>
          <w:szCs w:val="32"/>
          <w:lang w:val="en-US" w:eastAsia="zh-CN"/>
        </w:rPr>
        <w:t xml:space="preserve">2</w:t>
      </w:r>
      <w:r>
        <w:rPr>
          <w:rFonts w:ascii="仿宋" w:hAnsi="仿宋" w:eastAsia="仿宋"/>
          <w:sz w:val="32"/>
          <w:szCs w:val="32"/>
        </w:rPr>
        <w:t xml:space="preserve">万元，工会经费</w:t>
      </w:r>
      <w:r>
        <w:rPr>
          <w:rFonts w:hint="eastAsia" w:ascii="仿宋" w:hAnsi="仿宋" w:eastAsia="仿宋"/>
          <w:sz w:val="32"/>
          <w:szCs w:val="32"/>
          <w:lang w:val="en-US" w:eastAsia="zh-CN"/>
        </w:rPr>
        <w:t xml:space="preserve">1万元</w:t>
      </w:r>
      <w:r>
        <w:rPr>
          <w:rFonts w:ascii="仿宋" w:hAnsi="仿宋" w:eastAsia="仿宋"/>
          <w:sz w:val="32"/>
          <w:szCs w:val="32"/>
        </w:rPr>
        <w:t xml:space="preserve">、福利费</w:t>
      </w:r>
      <w:r>
        <w:rPr>
          <w:rFonts w:hint="eastAsia" w:ascii="仿宋" w:hAnsi="仿宋" w:eastAsia="仿宋"/>
          <w:sz w:val="32"/>
          <w:szCs w:val="32"/>
          <w:lang w:val="en-US" w:eastAsia="zh-CN"/>
        </w:rPr>
        <w:t xml:space="preserve">1.72</w:t>
      </w:r>
      <w:r>
        <w:rPr>
          <w:rFonts w:ascii="仿宋" w:hAnsi="仿宋" w:eastAsia="仿宋"/>
          <w:sz w:val="32"/>
          <w:szCs w:val="32"/>
        </w:rPr>
        <w:t xml:space="preserve">万元</w:t>
      </w:r>
      <w:r>
        <w:rPr>
          <w:rFonts w:hint="eastAsia" w:ascii="仿宋" w:hAnsi="仿宋" w:eastAsia="仿宋"/>
          <w:sz w:val="32"/>
          <w:szCs w:val="32"/>
          <w:lang w:val="en-US" w:eastAsia="zh-CN"/>
        </w:rPr>
        <w:t xml:space="preserve">，其他商品和服务</w:t>
      </w:r>
      <w:r>
        <w:rPr>
          <w:rFonts w:ascii="仿宋" w:hAnsi="仿宋" w:eastAsia="仿宋"/>
          <w:sz w:val="32"/>
          <w:szCs w:val="32"/>
        </w:rPr>
        <w:t xml:space="preserve">支出</w:t>
      </w:r>
      <w:r>
        <w:rPr>
          <w:rFonts w:hint="eastAsia" w:ascii="仿宋" w:hAnsi="仿宋" w:eastAsia="仿宋"/>
          <w:sz w:val="32"/>
          <w:szCs w:val="32"/>
        </w:rPr>
        <w:t xml:space="preserve">0.</w:t>
      </w:r>
      <w:r>
        <w:rPr>
          <w:rFonts w:hint="eastAsia" w:ascii="仿宋" w:hAnsi="仿宋" w:eastAsia="仿宋"/>
          <w:sz w:val="32"/>
          <w:szCs w:val="32"/>
          <w:lang w:val="en-US" w:eastAsia="zh-CN"/>
        </w:rPr>
        <w:t xml:space="preserve">4</w:t>
      </w:r>
      <w:r>
        <w:rPr>
          <w:rFonts w:ascii="仿宋" w:hAnsi="仿宋" w:eastAsia="仿宋"/>
          <w:sz w:val="32"/>
          <w:szCs w:val="32"/>
        </w:rPr>
        <w:t xml:space="preserve">万元。</w:t>
      </w:r>
      <w:r>
        <w:rPr>
          <w:rFonts w:ascii="仿宋" w:hAnsi="仿宋" w:eastAsia="仿宋"/>
          <w:b/>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第四部分：财政拨款“三公”经费预算情况及增减变化原因</w:t>
      </w:r>
      <w:r>
        <w:rPr>
          <w:rFonts w:ascii="方正小标宋_GBK" w:eastAsia="方正小标宋_GBK"/>
          <w:sz w:val="44"/>
        </w:rPr>
      </w:r>
    </w:p>
    <w:tbl>
      <w:tblPr>
        <w:tblStyle w:val="644"/>
        <w:tblW w:w="5000" w:type="pct"/>
        <w:tblInd w:w="0" w:type="dxa"/>
        <w:tblBorders/>
        <w:tblLayout w:type="autofit"/>
        <w:tblCellMar>
          <w:left w:w="108" w:type="dxa"/>
          <w:top w:w="0" w:type="dxa"/>
          <w:right w:w="108" w:type="dxa"/>
          <w:bottom w:w="0" w:type="dxa"/>
        </w:tblCellMar>
        <w:tblLook w:val="04A0" w:firstRow="1" w:lastRow="0" w:firstColumn="1" w:lastColumn="0" w:noHBand="0" w:noVBand="1"/>
      </w:tblPr>
      <w:tblGrid>
        <w:gridCol w:w="9515"/>
      </w:tblGrid>
      <w:tr>
        <w:trPr>
          <w:trHeight w:val="405"/>
        </w:trPr>
        <w:tc>
          <w:tcPr>
            <w:shd w:val="clear" w:color="auto" w:fill="auto"/>
            <w:tcBorders>
              <w:top w:val="none" w:color="000000" w:sz="4" w:space="0"/>
              <w:left w:val="none" w:color="000000" w:sz="4" w:space="0"/>
              <w:bottom w:val="none" w:color="000000" w:sz="4" w:space="0"/>
              <w:right w:val="none" w:color="000000" w:sz="4" w:space="0"/>
            </w:tcBorders>
            <w:tcW w:w="5000" w:type="pct"/>
            <w:vAlign w:val="center"/>
            <w:textDirection w:val="lrTb"/>
            <w:noWrap/>
          </w:tcPr>
          <w:tbl>
            <w:tblPr>
              <w:tblStyle w:val="644"/>
              <w:tblW w:w="0" w:type="auto"/>
              <w:jc w:val="center"/>
              <w:tblBorders/>
              <w:tblLayout w:type="autofit"/>
              <w:tblCellMar>
                <w:left w:w="108" w:type="dxa"/>
                <w:top w:w="0" w:type="dxa"/>
                <w:right w:w="108" w:type="dxa"/>
                <w:bottom w:w="0" w:type="dxa"/>
              </w:tblCellMar>
              <w:tblLook w:val="04A0" w:firstRow="1" w:lastRow="0" w:firstColumn="1" w:lastColumn="0" w:noHBand="0" w:noVBand="1"/>
            </w:tblPr>
            <w:tblGrid>
              <w:gridCol w:w="2163"/>
              <w:gridCol w:w="1276"/>
              <w:gridCol w:w="1418"/>
              <w:gridCol w:w="836"/>
              <w:gridCol w:w="2397"/>
            </w:tblGrid>
            <w:tr>
              <w:trPr>
                <w:jc w:val="center"/>
                <w:trHeight w:val="405"/>
              </w:trPr>
              <w:tc>
                <w:tcPr>
                  <w:gridSpan w:val="5"/>
                  <w:tcBorders>
                    <w:top w:val="none" w:color="000000" w:sz="4" w:space="0"/>
                    <w:left w:val="none" w:color="000000" w:sz="4" w:space="0"/>
                    <w:bottom w:val="none" w:color="000000" w:sz="4" w:space="0"/>
                    <w:right w:val="none" w:color="000000" w:sz="4" w:space="0"/>
                  </w:tcBorders>
                  <w:tcW w:w="8090" w:type="dxa"/>
                  <w:vAlign w:val="center"/>
                  <w:textDirection w:val="lrTb"/>
                  <w:noWrap w:val="false"/>
                </w:tcPr>
                <w:p>
                  <w:pPr>
                    <w:pBdr/>
                    <w:spacing w:line="360" w:lineRule="auto"/>
                    <w:ind/>
                    <w:rPr>
                      <w:rFonts w:ascii="黑体" w:hAnsi="黑体" w:eastAsia="黑体" w:cs="宋体"/>
                      <w:sz w:val="32"/>
                      <w:szCs w:val="32"/>
                    </w:rPr>
                  </w:pPr>
                  <w:r>
                    <w:rPr>
                      <w:rFonts w:ascii="黑体" w:hAnsi="黑体" w:eastAsia="黑体" w:cs="宋体"/>
                      <w:sz w:val="32"/>
                      <w:szCs w:val="32"/>
                    </w:rPr>
                  </w:r>
                  <w:r>
                    <w:rPr>
                      <w:rFonts w:ascii="黑体" w:hAnsi="黑体" w:eastAsia="黑体" w:cs="宋体"/>
                      <w:sz w:val="32"/>
                      <w:szCs w:val="32"/>
                    </w:rPr>
                  </w:r>
                </w:p>
              </w:tc>
            </w:tr>
            <w:tr>
              <w:trPr>
                <w:jc w:val="center"/>
                <w:trHeight w:val="221"/>
              </w:trPr>
              <w:tc>
                <w:tcPr>
                  <w:tcBorders>
                    <w:top w:val="none" w:color="000000" w:sz="4" w:space="0"/>
                    <w:left w:val="none" w:color="000000" w:sz="4" w:space="0"/>
                    <w:bottom w:val="none" w:color="000000" w:sz="4" w:space="0"/>
                    <w:right w:val="none" w:color="000000" w:sz="4" w:space="0"/>
                  </w:tcBorders>
                  <w:tcW w:w="2163"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27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83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2397" w:type="dxa"/>
                  <w:vAlign w:val="center"/>
                  <w:textDirection w:val="lrTb"/>
                  <w:noWrap w:val="false"/>
                </w:tcPr>
                <w:p>
                  <w:pPr>
                    <w:widowControl w:val="true"/>
                    <w:pBdr/>
                    <w:spacing/>
                    <w:ind/>
                    <w:jc w:val="right"/>
                    <w:rPr>
                      <w:rFonts w:ascii="宋体" w:hAnsi="宋体" w:cs="宋体"/>
                      <w:sz w:val="24"/>
                      <w:szCs w:val="24"/>
                    </w:rPr>
                  </w:pPr>
                  <w:r>
                    <w:rPr>
                      <w:rFonts w:hint="eastAsia" w:ascii="宋体" w:hAnsi="宋体" w:cs="宋体"/>
                      <w:sz w:val="24"/>
                      <w:szCs w:val="24"/>
                    </w:rPr>
                    <w:t xml:space="preserve">单位：万元</w:t>
                  </w:r>
                  <w:r>
                    <w:rPr>
                      <w:rFonts w:ascii="宋体" w:hAnsi="宋体" w:cs="宋体"/>
                      <w:sz w:val="24"/>
                      <w:szCs w:val="24"/>
                    </w:rPr>
                  </w:r>
                </w:p>
              </w:tc>
            </w:tr>
            <w:tr>
              <w:trPr>
                <w:jc w:val="center"/>
                <w:trHeight w:val="285"/>
              </w:trPr>
              <w:tc>
                <w:tcPr>
                  <w:tcBorders>
                    <w:top w:val="single" w:color="auto"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b/>
                      <w:sz w:val="24"/>
                      <w:szCs w:val="24"/>
                    </w:rPr>
                  </w:pPr>
                  <w:r>
                    <w:rPr>
                      <w:rFonts w:hint="eastAsia" w:ascii="仿宋_GB2312" w:hAnsi="宋体" w:eastAsia="仿宋_GB2312" w:cs="宋体"/>
                      <w:b/>
                      <w:sz w:val="24"/>
                      <w:szCs w:val="24"/>
                    </w:rPr>
                    <w:t xml:space="preserve">项目名称</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b/>
                      <w:sz w:val="24"/>
                      <w:szCs w:val="24"/>
                    </w:rPr>
                  </w:pPr>
                  <w:r>
                    <w:rPr>
                      <w:rFonts w:ascii="仿宋_GB2312" w:hAnsi="宋体" w:eastAsia="仿宋_GB2312" w:cs="宋体"/>
                      <w:b/>
                      <w:sz w:val="24"/>
                      <w:szCs w:val="24"/>
                    </w:rPr>
                    <w:t xml:space="preserve">2020</w:t>
                  </w:r>
                  <w:r>
                    <w:rPr>
                      <w:rFonts w:hint="eastAsia" w:ascii="仿宋_GB2312" w:hAnsi="宋体" w:eastAsia="仿宋_GB2312" w:cs="宋体"/>
                      <w:b/>
                      <w:sz w:val="24"/>
                      <w:szCs w:val="24"/>
                    </w:rPr>
                    <w:t xml:space="preserve">年度预算</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b/>
                      <w:sz w:val="24"/>
                      <w:szCs w:val="24"/>
                    </w:rPr>
                  </w:pPr>
                  <w:r>
                    <w:rPr>
                      <w:rFonts w:ascii="仿宋_GB2312" w:hAnsi="宋体" w:eastAsia="仿宋_GB2312" w:cs="宋体"/>
                      <w:b/>
                      <w:sz w:val="24"/>
                      <w:szCs w:val="24"/>
                    </w:rPr>
                    <w:t xml:space="preserve">2021</w:t>
                  </w:r>
                  <w:r>
                    <w:rPr>
                      <w:rFonts w:hint="eastAsia" w:ascii="仿宋_GB2312" w:hAnsi="宋体" w:eastAsia="仿宋_GB2312" w:cs="宋体"/>
                      <w:b/>
                      <w:sz w:val="24"/>
                      <w:szCs w:val="24"/>
                    </w:rPr>
                    <w:t xml:space="preserve">年度预算</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b/>
                      <w:sz w:val="24"/>
                      <w:szCs w:val="24"/>
                    </w:rPr>
                  </w:pPr>
                  <w:r>
                    <w:rPr>
                      <w:rFonts w:hint="eastAsia" w:ascii="仿宋_GB2312" w:hAnsi="宋体" w:eastAsia="仿宋_GB2312" w:cs="宋体"/>
                      <w:b/>
                      <w:sz w:val="24"/>
                      <w:szCs w:val="24"/>
                    </w:rPr>
                    <w:t xml:space="preserve">增减金额</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center"/>
                    <w:rPr>
                      <w:rFonts w:ascii="仿宋_GB2312" w:hAnsi="宋体" w:eastAsia="仿宋_GB2312" w:cs="宋体"/>
                      <w:b/>
                      <w:sz w:val="24"/>
                      <w:szCs w:val="24"/>
                    </w:rPr>
                  </w:pPr>
                  <w:r>
                    <w:rPr>
                      <w:rFonts w:hint="eastAsia" w:ascii="仿宋_GB2312" w:hAnsi="宋体" w:eastAsia="仿宋_GB2312" w:cs="宋体"/>
                      <w:b/>
                      <w:sz w:val="24"/>
                      <w:szCs w:val="24"/>
                    </w:rPr>
                    <w:t xml:space="preserve">变化原因</w:t>
                  </w:r>
                  <w:r>
                    <w:rPr>
                      <w:rFonts w:ascii="仿宋_GB2312" w:hAnsi="宋体" w:eastAsia="仿宋_GB2312" w:cs="宋体"/>
                      <w:b/>
                      <w:sz w:val="24"/>
                      <w:szCs w:val="24"/>
                    </w:rPr>
                  </w:r>
                </w:p>
              </w:tc>
            </w:tr>
            <w:tr>
              <w:trPr>
                <w:jc w:val="center"/>
                <w:trHeight w:val="285"/>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因公出国经费</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无变化</w:t>
                  </w:r>
                  <w:r>
                    <w:rPr>
                      <w:rFonts w:ascii="仿宋_GB2312" w:hAnsi="宋体" w:eastAsia="仿宋_GB2312" w:cs="宋体"/>
                      <w:sz w:val="24"/>
                      <w:szCs w:val="24"/>
                    </w:rPr>
                  </w:r>
                </w:p>
              </w:tc>
            </w:tr>
            <w:tr>
              <w:trPr>
                <w:jc w:val="center"/>
                <w:trHeight w:val="285"/>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公务用车购置经费</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无变化</w:t>
                  </w:r>
                  <w:r>
                    <w:rPr>
                      <w:rFonts w:ascii="仿宋_GB2312" w:hAnsi="宋体" w:eastAsia="仿宋_GB2312" w:cs="宋体"/>
                      <w:sz w:val="24"/>
                      <w:szCs w:val="24"/>
                    </w:rPr>
                  </w:r>
                </w:p>
              </w:tc>
            </w:tr>
            <w:tr>
              <w:trPr>
                <w:jc w:val="center"/>
                <w:trHeight w:val="570"/>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公务用车运行经费</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val="en-US" w:eastAsia="zh-CN"/>
                    </w:rPr>
                    <w:t xml:space="preserve">0</w:t>
                  </w:r>
                  <w:r>
                    <w:rPr>
                      <w:rFonts w:hint="eastAsia" w:ascii="仿宋_GB2312" w:hAnsi="宋体" w:eastAsia="仿宋_GB2312" w:cs="宋体"/>
                      <w:color w:val="auto"/>
                      <w:sz w:val="24"/>
                      <w:szCs w:val="24"/>
                      <w:lang w:eastAsia="zh-CN"/>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val="en-US" w:eastAsia="zh-CN"/>
                    </w:rPr>
                    <w:t xml:space="preserve">0</w:t>
                  </w:r>
                  <w:r>
                    <w:rPr>
                      <w:rFonts w:hint="eastAsia" w:ascii="仿宋_GB2312" w:hAnsi="宋体" w:eastAsia="仿宋_GB2312" w:cs="宋体"/>
                      <w:color w:val="auto"/>
                      <w:sz w:val="24"/>
                      <w:szCs w:val="24"/>
                      <w:lang w:eastAsia="zh-CN"/>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lang w:val="en-US" w:eastAsia="zh-CN"/>
                    </w:rPr>
                    <w:t xml:space="preserve">0</w:t>
                  </w:r>
                  <w:r>
                    <w:rPr>
                      <w:rFonts w:hint="eastAsia"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 xml:space="preserve">无变化</w:t>
                  </w:r>
                  <w:r>
                    <w:rPr>
                      <w:rFonts w:hint="default" w:ascii="仿宋_GB2312" w:hAnsi="宋体" w:eastAsia="仿宋_GB2312" w:cs="宋体"/>
                      <w:sz w:val="24"/>
                      <w:szCs w:val="24"/>
                      <w:lang w:val="en-US" w:eastAsia="zh-CN"/>
                    </w:rPr>
                  </w:r>
                </w:p>
              </w:tc>
            </w:tr>
            <w:tr>
              <w:trPr>
                <w:jc w:val="center"/>
                <w:trHeight w:val="855"/>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公务接待费支出</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val="en-US" w:eastAsia="zh-CN"/>
                    </w:rPr>
                    <w:t xml:space="preserve">0</w:t>
                  </w:r>
                  <w:r>
                    <w:rPr>
                      <w:rFonts w:hint="eastAsia" w:ascii="仿宋_GB2312" w:hAnsi="宋体" w:eastAsia="仿宋_GB2312" w:cs="宋体"/>
                      <w:color w:val="auto"/>
                      <w:sz w:val="24"/>
                      <w:szCs w:val="24"/>
                      <w:lang w:eastAsia="zh-CN"/>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val="en-US" w:eastAsia="zh-CN"/>
                    </w:rPr>
                    <w:t xml:space="preserve">0</w:t>
                  </w:r>
                  <w:r>
                    <w:rPr>
                      <w:rFonts w:hint="eastAsia" w:ascii="仿宋_GB2312" w:hAnsi="宋体" w:eastAsia="仿宋_GB2312" w:cs="宋体"/>
                      <w:color w:val="auto"/>
                      <w:sz w:val="24"/>
                      <w:szCs w:val="24"/>
                      <w:lang w:eastAsia="zh-CN"/>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 xml:space="preserve">无变化</w:t>
                  </w:r>
                  <w:r>
                    <w:rPr>
                      <w:rFonts w:hint="default" w:ascii="仿宋_GB2312" w:hAnsi="宋体" w:eastAsia="仿宋_GB2312" w:cs="宋体"/>
                      <w:sz w:val="24"/>
                      <w:szCs w:val="24"/>
                      <w:lang w:val="en-US" w:eastAsia="zh-CN"/>
                    </w:rPr>
                  </w:r>
                </w:p>
              </w:tc>
            </w:tr>
            <w:tr>
              <w:trPr>
                <w:jc w:val="center"/>
                <w:trHeight w:val="1140"/>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合计</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val="en-US" w:eastAsia="zh-CN"/>
                    </w:rPr>
                    <w:t xml:space="preserve">0</w:t>
                  </w:r>
                  <w:r>
                    <w:rPr>
                      <w:rFonts w:hint="eastAsia" w:ascii="仿宋_GB2312" w:hAnsi="宋体" w:eastAsia="仿宋_GB2312" w:cs="宋体"/>
                      <w:color w:val="auto"/>
                      <w:sz w:val="24"/>
                      <w:szCs w:val="24"/>
                      <w:lang w:eastAsia="zh-CN"/>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val="en-US" w:eastAsia="zh-CN"/>
                    </w:rPr>
                    <w:t xml:space="preserve">0</w:t>
                  </w:r>
                  <w:r>
                    <w:rPr>
                      <w:rFonts w:hint="eastAsia" w:ascii="仿宋_GB2312" w:hAnsi="宋体" w:eastAsia="仿宋_GB2312" w:cs="宋体"/>
                      <w:color w:val="auto"/>
                      <w:sz w:val="24"/>
                      <w:szCs w:val="24"/>
                      <w:lang w:eastAsia="zh-CN"/>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hint="default" w:ascii="仿宋_GB2312" w:hAnsi="宋体" w:eastAsia="仿宋_GB2312" w:cs="宋体"/>
                      <w:color w:val="auto"/>
                      <w:sz w:val="24"/>
                      <w:szCs w:val="24"/>
                      <w:lang w:val="en-US"/>
                    </w:rPr>
                  </w:pPr>
                  <w:r>
                    <w:rPr>
                      <w:rFonts w:hint="eastAsia" w:ascii="仿宋_GB2312" w:hAnsi="宋体" w:eastAsia="仿宋_GB2312" w:cs="宋体"/>
                      <w:color w:val="auto"/>
                      <w:sz w:val="24"/>
                      <w:szCs w:val="24"/>
                      <w:lang w:val="en-US" w:eastAsia="zh-CN"/>
                    </w:rPr>
                    <w:t xml:space="preserve">0</w:t>
                  </w:r>
                  <w:r>
                    <w:rPr>
                      <w:rFonts w:hint="default" w:ascii="仿宋_GB2312" w:hAnsi="宋体" w:eastAsia="仿宋_GB2312" w:cs="宋体"/>
                      <w:color w:val="auto"/>
                      <w:sz w:val="24"/>
                      <w:szCs w:val="24"/>
                      <w:lang w:val="en-US"/>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 xml:space="preserve">无变化</w:t>
                  </w:r>
                  <w:r>
                    <w:rPr>
                      <w:rFonts w:hint="default" w:ascii="仿宋_GB2312" w:hAnsi="宋体" w:eastAsia="仿宋_GB2312" w:cs="宋体"/>
                      <w:sz w:val="24"/>
                      <w:szCs w:val="24"/>
                      <w:lang w:val="en-US" w:eastAsia="zh-CN"/>
                    </w:rPr>
                  </w:r>
                </w:p>
              </w:tc>
            </w:tr>
            <w:tr>
              <w:trPr>
                <w:jc w:val="center"/>
                <w:trHeight w:val="285"/>
              </w:trPr>
              <w:tc>
                <w:tcPr>
                  <w:tcBorders>
                    <w:top w:val="none" w:color="000000" w:sz="4" w:space="0"/>
                    <w:left w:val="none" w:color="000000" w:sz="4" w:space="0"/>
                    <w:bottom w:val="none" w:color="000000" w:sz="4" w:space="0"/>
                    <w:right w:val="none" w:color="000000" w:sz="4" w:space="0"/>
                  </w:tcBorders>
                  <w:tcW w:w="2163"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27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83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2397"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r>
          </w:tbl>
          <w:p>
            <w:pPr>
              <w:widowControl w:val="true"/>
              <w:pBdr/>
              <w:spacing w:line="520" w:lineRule="exact"/>
              <w:ind w:right="480"/>
              <w:rPr>
                <w:rFonts w:ascii="仿宋" w:hAnsi="仿宋" w:eastAsia="仿宋" w:cs="宋体"/>
                <w:sz w:val="24"/>
                <w:szCs w:val="24"/>
              </w:rPr>
            </w:pPr>
            <w:r>
              <w:rPr>
                <w:rFonts w:ascii="仿宋" w:hAnsi="仿宋" w:eastAsia="仿宋" w:cs="宋体"/>
                <w:sz w:val="24"/>
                <w:szCs w:val="24"/>
              </w:rPr>
            </w:r>
            <w:r>
              <w:rPr>
                <w:rFonts w:ascii="仿宋" w:hAnsi="仿宋" w:eastAsia="仿宋" w:cs="宋体"/>
                <w:sz w:val="24"/>
                <w:szCs w:val="24"/>
              </w:rPr>
            </w:r>
          </w:p>
        </w:tc>
      </w:tr>
    </w:tbl>
    <w:p>
      <w:pPr>
        <w:pBdr/>
        <w:spacing/>
        <w:ind/>
        <w:jc w:val="center"/>
        <w:outlineLvl w:val="0"/>
        <w:rPr>
          <w:rFonts w:ascii="方正小标宋_GBK" w:eastAsia="方正小标宋_GBK"/>
          <w:sz w:val="44"/>
        </w:rPr>
      </w:pPr>
      <w:r>
        <w:rPr>
          <w:rFonts w:hint="eastAsia" w:ascii="方正小标宋_GBK" w:eastAsia="方正小标宋_GBK"/>
          <w:sz w:val="44"/>
        </w:rPr>
        <w:t xml:space="preserve">第五部分：预算绩效信息</w:t>
      </w:r>
      <w:r>
        <w:rPr>
          <w:rFonts w:ascii="方正小标宋_GBK" w:eastAsia="方正小标宋_GBK"/>
          <w:sz w:val="44"/>
        </w:rPr>
      </w:r>
    </w:p>
    <w:p>
      <w:pPr>
        <w:pBdr/>
        <w:spacing w:line="360" w:lineRule="auto"/>
        <w:ind/>
        <w:jc w:val="center"/>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ind w:firstLine="880"/>
        <w:jc w:val="left"/>
        <w:outlineLvl w:val="1"/>
        <w:rPr>
          <w:rFonts w:ascii="方正小标宋_GBK" w:eastAsia="方正小标宋_GBK"/>
          <w:sz w:val="44"/>
        </w:rPr>
      </w:pPr>
      <w:r>
        <w:rPr>
          <w:rFonts w:hint="eastAsia" w:ascii="方正小标宋_GBK" w:eastAsia="方正小标宋_GBK"/>
          <w:sz w:val="44"/>
          <w:lang w:eastAsia="zh-CN"/>
        </w:rPr>
        <w:t xml:space="preserve">单位</w:t>
      </w:r>
      <w:r>
        <w:rPr>
          <w:rFonts w:hint="eastAsia" w:ascii="方正小标宋_GBK" w:eastAsia="方正小标宋_GBK"/>
          <w:sz w:val="44"/>
        </w:rPr>
        <w:t xml:space="preserve">整体</w:t>
      </w:r>
      <w:r>
        <w:rPr>
          <w:rFonts w:ascii="方正小标宋_GBK" w:eastAsia="方正小标宋_GBK"/>
          <w:sz w:val="44"/>
        </w:rPr>
        <w:t xml:space="preserve">绩效目标</w:t>
      </w:r>
      <w:bookmarkStart w:id="0" w:name="_Toc69732925"/>
      <w:r/>
      <w:r>
        <w:rPr>
          <w:rFonts w:ascii="方正小标宋_GBK" w:eastAsia="方正小标宋_GBK"/>
          <w:sz w:val="44"/>
        </w:rPr>
      </w:r>
    </w:p>
    <w:p>
      <w:pPr>
        <w:pBdr/>
        <w:spacing/>
        <w:ind w:firstLine="560"/>
        <w:jc w:val="left"/>
        <w:outlineLvl w:val="1"/>
        <w:rPr>
          <w:rFonts w:ascii="Times New Roman" w:hAnsi="宋体" w:eastAsia="宋体"/>
          <w:sz w:val="28"/>
        </w:rPr>
      </w:pPr>
      <w:r>
        <w:rPr>
          <w:rFonts w:hint="eastAsia" w:ascii="方正黑体_GBK" w:eastAsia="方正黑体_GBK"/>
          <w:sz w:val="28"/>
        </w:rPr>
        <w:t xml:space="preserve">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r>
        <w:rPr>
          <w:rFonts w:ascii="Times New Roman" w:hAnsi="宋体" w:eastAsia="宋体"/>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以习近平新时代中国特色社会主义思想为指导，深入贯彻党的十九届四中全会和省委九届九次全会精神，坚持以退役军人为中心，坚持改革创新，以构建科学规范的组织管理体系、工作运行体系、政策制度为主线，综合施策、持续发力，增强广大退役军人和其他优抚对象获得感、幸福感，奋力开创新时代退役军人管理服务工作新局面。</w:t>
      </w:r>
      <w:r>
        <w:rPr>
          <w:rFonts w:ascii="Times New Roman" w:eastAsia="方正仿宋_GBK"/>
          <w:sz w:val="28"/>
        </w:rPr>
      </w:r>
    </w:p>
    <w:p>
      <w:pPr>
        <w:pBdr/>
        <w:spacing w:line="500" w:lineRule="exact"/>
        <w:ind w:firstLine="560"/>
        <w:jc w:val="left"/>
        <w:rPr>
          <w:rFonts w:ascii="Times New Roman" w:eastAsia="方正仿宋_GBK"/>
          <w:sz w:val="28"/>
        </w:rPr>
      </w:pPr>
      <w:r>
        <w:rPr>
          <w:rFonts w:ascii="Times New Roman" w:eastAsia="方正仿宋_GBK"/>
          <w:sz w:val="28"/>
        </w:rPr>
      </w:r>
      <w:r>
        <w:rPr>
          <w:rFonts w:ascii="Times New Roman" w:eastAsia="方正仿宋_GBK"/>
          <w:sz w:val="28"/>
        </w:rPr>
      </w:r>
    </w:p>
    <w:p>
      <w:pPr>
        <w:pBdr/>
        <w:spacing w:line="500" w:lineRule="exact"/>
        <w:ind w:firstLine="560"/>
        <w:jc w:val="left"/>
        <w:outlineLvl w:val="1"/>
        <w:rPr>
          <w:rFonts w:ascii="Times New Roman" w:hAnsi="宋体" w:eastAsia="宋体"/>
          <w:sz w:val="28"/>
        </w:rPr>
      </w:pPr>
      <w:r/>
      <w:bookmarkStart w:id="1" w:name="_Toc69732926"/>
      <w:r>
        <w:rPr>
          <w:rFonts w:ascii="方正黑体_GBK" w:eastAsia="方正黑体_GBK"/>
          <w:sz w:val="28"/>
        </w:rPr>
        <w:t xml:space="preserve">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r>
        <w:rPr>
          <w:rFonts w:ascii="Times New Roman" w:hAnsi="宋体" w:eastAsia="宋体"/>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（一）做好退役人员接收安置工作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深化退役安置工作改革，落实自主就业退役士兵一次性经济补助，落实局内离退休人员政治和生活待遇，加大退役士兵职业教育和技能培训力度，促进退役军人实现高质量稳定就业，解决退役军人后顾之忧。</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绩效指标：把安置工作作为支持国防和军队建设、保障国家长治久安的一项重要任务强力推进。</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（二）拥军优属和优待抚恤工作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绩效目标：按规定向全区伤残军人、伤残国家机关工作人员、烈士遗属、因公牺牲军人遗属、在乡复员军人、带病回乡退伍军人、参</w:t>
      </w:r>
      <w:r>
        <w:rPr>
          <w:rFonts w:hint="eastAsia" w:ascii="Times New Roman" w:hAnsi="宋体" w:eastAsia="方正仿宋_GBK" w:cs="宋体"/>
          <w:sz w:val="28"/>
        </w:rPr>
        <w:t xml:space="preserve">战</w:t>
      </w:r>
      <w:r>
        <w:rPr>
          <w:rFonts w:hint="eastAsia" w:ascii="Times New Roman" w:hAnsi="微软雅黑" w:eastAsia="方正仿宋_GBK" w:cs="微软雅黑"/>
          <w:sz w:val="28"/>
        </w:rPr>
        <w:t xml:space="preserve">参试退役人员、</w:t>
      </w:r>
      <w:r>
        <w:rPr>
          <w:rFonts w:ascii="Times New Roman" w:eastAsia="方正仿宋_GBK"/>
          <w:sz w:val="28"/>
        </w:rPr>
        <w:t xml:space="preserve">60</w:t>
      </w:r>
      <w:r>
        <w:rPr>
          <w:rFonts w:hint="eastAsia" w:ascii="Times New Roman" w:hAnsi="微软雅黑" w:eastAsia="方正仿宋_GBK" w:cs="微软雅黑"/>
          <w:sz w:val="28"/>
        </w:rPr>
        <w:t xml:space="preserve">周岁烈士子女、</w:t>
      </w:r>
      <w:r>
        <w:rPr>
          <w:rFonts w:ascii="Times New Roman" w:eastAsia="方正仿宋_GBK"/>
          <w:sz w:val="28"/>
        </w:rPr>
        <w:t xml:space="preserve">60</w:t>
      </w:r>
      <w:r>
        <w:rPr>
          <w:rFonts w:hint="eastAsia" w:ascii="Times New Roman" w:hAnsi="微软雅黑" w:eastAsia="方正仿宋_GBK" w:cs="微软雅黑"/>
          <w:sz w:val="28"/>
        </w:rPr>
        <w:t xml:space="preserve">周岁退役籍士兵等优抚对象发放抚恤补助和医疗补助，为全区义务兵家庭发放优待金。</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绩效指标：补助资金按标准并足额及时发放到优抚对象手中，有效保障优抚对象基本生活。</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（三）做好优抚事业单位建设保护工作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绩效目标：提升烈士陵园等纪念设施保护管理水平，充分发挥烈士纪念设施</w:t>
      </w:r>
      <w:r>
        <w:rPr>
          <w:rFonts w:ascii="Times New Roman" w:eastAsia="方正仿宋_GBK"/>
          <w:sz w:val="28"/>
        </w:rPr>
        <w:t xml:space="preserve">“</w:t>
      </w:r>
      <w:r>
        <w:rPr>
          <w:rFonts w:hint="eastAsia" w:ascii="Times New Roman" w:hAnsi="微软雅黑" w:eastAsia="方正仿宋_GBK" w:cs="微软雅黑"/>
          <w:sz w:val="28"/>
        </w:rPr>
        <w:t xml:space="preserve">褒扬烈士、教育群众</w:t>
      </w:r>
      <w:r>
        <w:rPr>
          <w:rFonts w:ascii="Times New Roman" w:eastAsia="方正仿宋_GBK"/>
          <w:sz w:val="28"/>
        </w:rPr>
        <w:t xml:space="preserve">”</w:t>
      </w:r>
      <w:r>
        <w:rPr>
          <w:rFonts w:hint="eastAsia" w:ascii="Times New Roman" w:hAnsi="微软雅黑" w:eastAsia="方正仿宋_GBK" w:cs="微软雅黑"/>
          <w:sz w:val="28"/>
        </w:rPr>
        <w:t xml:space="preserve">等功能。保障</w:t>
      </w:r>
      <w:r>
        <w:rPr>
          <w:rFonts w:hint="eastAsia" w:ascii="Times New Roman" w:hAnsi="宋体" w:eastAsia="方正仿宋_GBK" w:cs="宋体"/>
          <w:sz w:val="28"/>
        </w:rPr>
        <w:t xml:space="preserve">区</w:t>
      </w:r>
      <w:r>
        <w:rPr>
          <w:rFonts w:hint="eastAsia" w:ascii="Times New Roman" w:hAnsi="微软雅黑" w:eastAsia="方正仿宋_GBK" w:cs="微软雅黑"/>
          <w:sz w:val="28"/>
        </w:rPr>
        <w:t xml:space="preserve">光荣院冬季取暖，使集中供养人员充分享受优质服务。</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w:t>
      </w:r>
      <w:r>
        <w:rPr>
          <w:rFonts w:hint="eastAsia" w:ascii="Times New Roman" w:hAnsi="宋体" w:eastAsia="方正仿宋_GBK" w:cs="宋体"/>
          <w:sz w:val="28"/>
        </w:rPr>
        <w:t xml:space="preserve">指</w:t>
      </w:r>
      <w:r>
        <w:rPr>
          <w:rFonts w:hint="eastAsia" w:ascii="Times New Roman" w:hAnsi="微软雅黑" w:eastAsia="方正仿宋_GBK" w:cs="微软雅黑"/>
          <w:sz w:val="28"/>
        </w:rPr>
        <w:t xml:space="preserve">标：</w:t>
      </w:r>
      <w:r>
        <w:rPr>
          <w:rFonts w:hint="eastAsia" w:ascii="Times New Roman" w:hAnsi="宋体" w:eastAsia="方正仿宋_GBK" w:cs="宋体"/>
          <w:sz w:val="28"/>
        </w:rPr>
        <w:t xml:space="preserve">充分体现了对革命烈士的崇高敬意；抽样调查入住光荣院优抚对象对入住环境及生活护理方面满意度达</w:t>
      </w:r>
      <w:r>
        <w:rPr>
          <w:rFonts w:ascii="Times New Roman" w:eastAsia="方正仿宋_GBK"/>
          <w:sz w:val="28"/>
        </w:rPr>
        <w:t xml:space="preserve">95%</w:t>
      </w:r>
      <w:r>
        <w:rPr>
          <w:rFonts w:hint="eastAsia" w:ascii="Times New Roman" w:hAnsi="宋体" w:eastAsia="方正仿宋_GBK" w:cs="宋体"/>
          <w:sz w:val="28"/>
        </w:rPr>
        <w:t xml:space="preserve">以上。</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（四）做好军转干部思想政治及权益维护工作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绩效目标：落实中央关于军转干部待遇政策，努力提高群体满意度和社会大局稳定程度。</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w:t>
      </w:r>
      <w:r>
        <w:rPr>
          <w:rFonts w:hint="eastAsia" w:ascii="Times New Roman" w:hAnsi="宋体" w:eastAsia="方正仿宋_GBK" w:cs="宋体"/>
          <w:sz w:val="28"/>
        </w:rPr>
        <w:t xml:space="preserve">指</w:t>
      </w:r>
      <w:r>
        <w:rPr>
          <w:rFonts w:hint="eastAsia" w:ascii="Times New Roman" w:hAnsi="微软雅黑" w:eastAsia="方正仿宋_GBK" w:cs="微软雅黑"/>
          <w:sz w:val="28"/>
        </w:rPr>
        <w:t xml:space="preserve">标：</w:t>
      </w:r>
      <w:r>
        <w:rPr>
          <w:rFonts w:hint="eastAsia" w:ascii="Times New Roman" w:hAnsi="宋体" w:eastAsia="方正仿宋_GBK" w:cs="宋体"/>
          <w:sz w:val="28"/>
        </w:rPr>
        <w:t xml:space="preserve">保障军转干部的合法权益</w:t>
      </w:r>
      <w:r>
        <w:rPr>
          <w:rFonts w:hint="eastAsia" w:ascii="Times New Roman" w:hAnsi="微软雅黑" w:eastAsia="方正仿宋_GBK" w:cs="微软雅黑"/>
          <w:sz w:val="28"/>
        </w:rPr>
        <w:t xml:space="preserve">，</w:t>
      </w:r>
      <w:r>
        <w:rPr>
          <w:rFonts w:hint="eastAsia" w:ascii="Times New Roman" w:hAnsi="宋体" w:eastAsia="方正仿宋_GBK" w:cs="宋体"/>
          <w:sz w:val="28"/>
        </w:rPr>
        <w:t xml:space="preserve">按标准及时足额发放各项补助。</w:t>
      </w:r>
      <w:r>
        <w:rPr>
          <w:rFonts w:ascii="Times New Roman" w:eastAsia="方正仿宋_GBK"/>
          <w:sz w:val="28"/>
        </w:rPr>
      </w:r>
    </w:p>
    <w:p>
      <w:pPr>
        <w:pBdr/>
        <w:spacing w:line="500" w:lineRule="exact"/>
        <w:ind w:firstLine="560"/>
        <w:jc w:val="left"/>
        <w:rPr>
          <w:rFonts w:ascii="Times New Roman" w:eastAsia="方正仿宋_GBK"/>
          <w:sz w:val="28"/>
        </w:rPr>
      </w:pPr>
      <w:r>
        <w:rPr>
          <w:rFonts w:ascii="Times New Roman" w:eastAsia="方正仿宋_GBK"/>
          <w:sz w:val="28"/>
        </w:rPr>
      </w:r>
      <w:r>
        <w:rPr>
          <w:rFonts w:ascii="Times New Roman" w:eastAsia="方正仿宋_GBK"/>
          <w:sz w:val="28"/>
        </w:rPr>
      </w:r>
    </w:p>
    <w:p>
      <w:pPr>
        <w:pBdr/>
        <w:spacing w:line="500" w:lineRule="exact"/>
        <w:ind w:firstLine="560"/>
        <w:jc w:val="left"/>
        <w:outlineLvl w:val="1"/>
        <w:rPr>
          <w:rFonts w:ascii="Times New Roman" w:hAnsi="宋体" w:eastAsia="宋体"/>
          <w:sz w:val="28"/>
        </w:rPr>
      </w:pPr>
      <w:r/>
      <w:bookmarkStart w:id="2" w:name="_Toc69732927"/>
      <w:r>
        <w:rPr>
          <w:rFonts w:ascii="方正黑体_GBK" w:eastAsia="方正黑体_GBK"/>
          <w:sz w:val="28"/>
        </w:rPr>
        <w:t xml:space="preserve">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r>
        <w:rPr>
          <w:rFonts w:ascii="Times New Roman" w:hAnsi="宋体" w:eastAsia="宋体"/>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(一)加强组织领导。建立健全退役军人事务</w:t>
      </w:r>
      <w:r>
        <w:rPr>
          <w:rFonts w:hint="eastAsia" w:ascii="Times New Roman" w:hAnsi="宋体" w:eastAsia="方正仿宋_GBK" w:cs="宋体"/>
          <w:sz w:val="28"/>
          <w:lang w:eastAsia="zh-CN"/>
        </w:rPr>
        <w:t xml:space="preserve">单位</w:t>
      </w:r>
      <w:r>
        <w:rPr>
          <w:rFonts w:hint="eastAsia" w:ascii="Times New Roman" w:hAnsi="宋体" w:eastAsia="方正仿宋_GBK" w:cs="宋体"/>
          <w:sz w:val="28"/>
        </w:rPr>
        <w:t xml:space="preserve">预算绩效管理路径和制度体系，不断完善工作机制和工作流程，将事前评估、目标管理、运行监控、绩效评价有情各项改革措施，有效融入预算管理的全过程、各环节。围绕年度总体绩效目标，细化工作方案，明确</w:t>
      </w:r>
      <w:r>
        <w:rPr>
          <w:rFonts w:ascii="Times New Roman" w:eastAsia="方正仿宋_GBK"/>
          <w:sz w:val="28"/>
        </w:rPr>
        <w:t xml:space="preserve"> </w:t>
      </w:r>
      <w:r>
        <w:rPr>
          <w:rFonts w:hint="eastAsia" w:ascii="Times New Roman" w:hAnsi="宋体" w:eastAsia="方正仿宋_GBK" w:cs="宋体"/>
          <w:sz w:val="28"/>
        </w:rPr>
        <w:t xml:space="preserve">责任主体，确保如期完成。</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(二)狠抓任务落实</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充分调动各股室的积极性和主动性，由项目实施</w:t>
      </w:r>
      <w:r>
        <w:rPr>
          <w:rFonts w:hint="eastAsia" w:ascii="Times New Roman" w:hAnsi="宋体" w:eastAsia="方正仿宋_GBK" w:cs="宋体"/>
          <w:sz w:val="28"/>
          <w:lang w:eastAsia="zh-CN"/>
        </w:rPr>
        <w:t xml:space="preserve">单位</w:t>
      </w:r>
      <w:r>
        <w:rPr>
          <w:rFonts w:hint="eastAsia" w:ascii="Times New Roman" w:hAnsi="宋体" w:eastAsia="方正仿宋_GBK" w:cs="宋体"/>
          <w:sz w:val="28"/>
        </w:rPr>
        <w:t xml:space="preserve">科学制定项目内容的中期、终期绩效目标。</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(三)强化预算执行</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强化预算执行的刚性约束，及时启动项目和支付资金，加快履行政府采购手续，优化</w:t>
      </w:r>
      <w:r>
        <w:rPr>
          <w:rFonts w:hint="eastAsia" w:ascii="Times New Roman" w:hAnsi="宋体" w:eastAsia="方正仿宋_GBK" w:cs="宋体"/>
          <w:sz w:val="28"/>
          <w:lang w:eastAsia="zh-CN"/>
        </w:rPr>
        <w:t xml:space="preserve">单位</w:t>
      </w:r>
      <w:r>
        <w:rPr>
          <w:rFonts w:hint="eastAsia" w:ascii="Times New Roman" w:hAnsi="宋体" w:eastAsia="方正仿宋_GBK" w:cs="宋体"/>
          <w:sz w:val="28"/>
        </w:rPr>
        <w:t xml:space="preserve">预算支出结构，做到按照时间节点完成支出任务，进一步加快转移支付资金下达进度，督促各业务股室加快执行进度，规范财政资金使用和管理，强化内部控制制度建设，更好的发挥资金使用效益。</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(四)健全评价机制</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结合第三方力量，成立专门的评价工作小组，制定科学评价办法，对项目资金支出的经济性、效率性以及绩效目标实现程度进行全方位评价，及时发现实施中存在的问题，并研究解决对策。</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四、用好行政绩效</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按照预算绩效目标和绩效指标，对专项资金管理设定明确的内部绩效管理目标指标，明确责任分工，细化支出节点，量化评价标准，切实提高资金使用效益。</w:t>
      </w:r>
      <w:r>
        <w:rPr>
          <w:rFonts w:ascii="Times New Roman" w:eastAsia="方正仿宋_GBK"/>
          <w:sz w:val="28"/>
        </w:rPr>
      </w:r>
    </w:p>
    <w:p>
      <w:pPr>
        <w:pBdr/>
        <w:spacing w:line="500" w:lineRule="exact"/>
        <w:ind w:firstLine="560"/>
        <w:jc w:val="left"/>
        <w:rPr>
          <w:rFonts w:ascii="Times New Roman" w:eastAsia="方正仿宋_GBK"/>
          <w:sz w:val="28"/>
        </w:rPr>
      </w:pPr>
      <w:r>
        <w:rPr>
          <w:rFonts w:ascii="Times New Roman" w:eastAsia="方正仿宋_GBK"/>
          <w:sz w:val="28"/>
        </w:rPr>
      </w:r>
      <w:r>
        <w:rPr>
          <w:rFonts w:ascii="Times New Roman" w:eastAsia="方正仿宋_GBK"/>
          <w:sz w:val="28"/>
        </w:rPr>
      </w:r>
    </w:p>
    <w:p>
      <w:pPr>
        <w:pBdr/>
        <w:spacing/>
        <w:ind/>
        <w:jc w:val="center"/>
        <w:rPr>
          <w:rFonts w:ascii="Times New Roman" w:hAnsi="宋体" w:eastAsia="宋体"/>
        </w:rPr>
      </w:pPr>
      <w:r>
        <w:rPr>
          <w:rFonts w:ascii="方正书宋_GBK" w:eastAsia="方正书宋_GBK"/>
        </w:rPr>
        <w:t xml:space="preserve"> </w:t>
      </w:r>
      <w:r>
        <w:rPr>
          <w:rFonts w:hint="eastAsia" w:ascii="方正小标宋_GBK" w:eastAsia="方正小标宋_GBK"/>
          <w:sz w:val="44"/>
        </w:rPr>
        <w:t xml:space="preserve">预算项目绩效目标</w:t>
      </w:r>
      <w:bookmarkStart w:id="3" w:name="_Toc69732928"/>
      <w:r/>
      <w:r>
        <w:rPr>
          <w:rFonts w:ascii="Times New Roman" w:hAnsi="宋体" w:eastAsia="宋体"/>
        </w:rPr>
      </w:r>
    </w:p>
    <w:p>
      <w:pPr>
        <w:pBdr/>
        <w:spacing/>
        <w:ind/>
        <w:jc w:val="left"/>
        <w:outlineLvl w:val="3"/>
        <w:rPr>
          <w:rFonts w:ascii="Times New Roman" w:hAnsi="宋体" w:eastAsia="宋体"/>
          <w:b/>
          <w:sz w:val="28"/>
        </w:rPr>
      </w:pPr>
      <w:r>
        <w:rPr>
          <w:rFonts w:ascii="方正仿宋_GBK" w:eastAsia="方正仿宋_GBK"/>
          <w:b/>
          <w:sz w:val="28"/>
        </w:rPr>
        <w:t xml:space="preserve">1.优抚资金区级配套专项项目经费绩效目标表</w:t>
      </w:r>
      <w:bookmarkEnd w:id="3"/>
      <w:r>
        <w:rPr>
          <w:rFonts w:ascii="方正仿宋_GBK" w:eastAsia="方正仿宋_GBK"/>
          <w:b/>
          <w:sz w:val="28"/>
        </w:rPr>
        <w:fldChar w:fldCharType="begin"/>
      </w:r>
      <w:r>
        <w:rPr>
          <w:rFonts w:ascii="方正仿宋_GBK" w:eastAsia="方正仿宋_GBK"/>
          <w:b/>
          <w:sz w:val="28"/>
        </w:rPr>
        <w:instrText xml:space="preserve"> TC 1、优抚资金区级配套专项项目经费绩效目标表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130625210MCWD4NHLUGFF</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优抚资金区级配套专项项目经费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4177753.00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4177753.00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残疾军人、烈属及带病退伍回乡退伍军人及抗日战争时期的在乡复</w:t>
            </w:r>
            <w:r>
              <w:rPr>
                <w:rFonts w:hint="eastAsia" w:ascii="方正书宋_GBK" w:eastAsia="方正书宋_GBK"/>
                <w:lang w:val="en-US" w:eastAsia="zh-CN"/>
              </w:rPr>
              <w:t xml:space="preserve">员</w:t>
            </w:r>
            <w:r>
              <w:rPr>
                <w:rFonts w:ascii="方正书宋_GBK" w:eastAsia="方正书宋_GBK"/>
              </w:rPr>
              <w:t xml:space="preserve">军人、参战涉核和原8023部队退役人员等优抚对象进行生活补助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bookmarkStart w:id="37" w:name="_GoBack"/>
            <w:r/>
            <w:bookmarkEnd w:id="37"/>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3.保障优抚对象的权益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ind/>
        <w:jc w:val="left"/>
        <w:outlineLvl w:val="3"/>
        <w:rPr>
          <w:rFonts w:ascii="Times New Roman" w:hAnsi="宋体" w:eastAsia="宋体"/>
          <w:b/>
          <w:sz w:val="28"/>
        </w:rPr>
      </w:pPr>
      <w:r/>
      <w:bookmarkStart w:id="4" w:name="_Toc69732929"/>
      <w:r>
        <w:rPr>
          <w:rFonts w:ascii="方正仿宋_GBK" w:eastAsia="方正仿宋_GBK"/>
          <w:b/>
          <w:sz w:val="28"/>
        </w:rPr>
        <w:t xml:space="preserve">2.光荣院入住优抚对象专项经费绩效目标表</w:t>
      </w:r>
      <w:bookmarkEnd w:id="4"/>
      <w:r>
        <w:rPr>
          <w:rFonts w:ascii="方正仿宋_GBK" w:eastAsia="方正仿宋_GBK"/>
          <w:b/>
          <w:sz w:val="28"/>
        </w:rPr>
        <w:fldChar w:fldCharType="begin"/>
      </w:r>
      <w:r>
        <w:rPr>
          <w:rFonts w:ascii="方正仿宋_GBK" w:eastAsia="方正仿宋_GBK"/>
          <w:b/>
          <w:sz w:val="28"/>
        </w:rPr>
        <w:instrText xml:space="preserve"> TC 2、光荣院入住优抚对象专项经费绩效目标表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130625210T5MQ57ACF2QW</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光荣院入住优抚对象专项经费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191150.00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191150.00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支付光荣院集中供养孤老和有特殊困难优抚对象的生活补助，保障其基本生活。</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3.保障优抚对象的合法权益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5" w:name="_Toc69732930"/>
      <w:r>
        <w:rPr>
          <w:rFonts w:ascii="方正仿宋_GBK" w:eastAsia="方正仿宋_GBK"/>
          <w:b/>
          <w:sz w:val="28"/>
        </w:rPr>
        <w:t xml:space="preserve">3.公祭活动专项经费绩效目标表</w:t>
      </w:r>
      <w:bookmarkEnd w:id="5"/>
      <w:r>
        <w:rPr>
          <w:rFonts w:ascii="方正仿宋_GBK" w:eastAsia="方正仿宋_GBK"/>
          <w:b/>
          <w:sz w:val="28"/>
        </w:rPr>
        <w:fldChar w:fldCharType="begin"/>
      </w:r>
      <w:r>
        <w:rPr>
          <w:rFonts w:ascii="方正仿宋_GBK" w:eastAsia="方正仿宋_GBK"/>
          <w:b/>
          <w:sz w:val="28"/>
        </w:rPr>
        <w:instrText xml:space="preserve"> TC 3、公祭活动专项经费绩效目标表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130625211LQKWXDON6TSI</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公祭活动专项经费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为保障清明节、烈士纪念日纪念活动顺利开展，做好前期各项保障工作及全面卫生清理。</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2.表达对烈士的崇高敬意</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3.保障我局顺利开展工作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资金成本</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资金成本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6" w:name="_Toc69732931"/>
      <w:r>
        <w:rPr>
          <w:rFonts w:ascii="方正仿宋_GBK" w:eastAsia="方正仿宋_GBK"/>
          <w:b/>
          <w:sz w:val="28"/>
        </w:rPr>
        <w:t xml:space="preserve">4.军队退役人员公益性岗位补助项目经费绩效目标表</w:t>
      </w:r>
      <w:bookmarkEnd w:id="6"/>
      <w:r>
        <w:rPr>
          <w:rFonts w:ascii="方正仿宋_GBK" w:eastAsia="方正仿宋_GBK"/>
          <w:b/>
          <w:sz w:val="28"/>
        </w:rPr>
        <w:fldChar w:fldCharType="begin"/>
      </w:r>
      <w:r>
        <w:rPr>
          <w:rFonts w:ascii="方正仿宋_GBK" w:eastAsia="方正仿宋_GBK"/>
          <w:b/>
          <w:sz w:val="28"/>
        </w:rPr>
        <w:instrText xml:space="preserve"> TC 4、军队退役人员公益性岗位补助项目经费绩效目标表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130625211PWRP7TZV4927</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军队退役人员公益性岗位补助项目经费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1465626.00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1465626.00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对于就业困难，有就业诉求的安置后下岗解除劳动合同和自谋职业退役士兵，积极促进再就业。</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3.维护稳定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7" w:name="_Toc69732932"/>
      <w:r>
        <w:rPr>
          <w:rFonts w:ascii="方正仿宋_GBK" w:eastAsia="方正仿宋_GBK"/>
          <w:b/>
          <w:sz w:val="28"/>
        </w:rPr>
        <w:t xml:space="preserve">5.驻京值班人员所需资金绩效目标表</w:t>
      </w:r>
      <w:bookmarkEnd w:id="7"/>
      <w:r>
        <w:rPr>
          <w:rFonts w:ascii="方正仿宋_GBK" w:eastAsia="方正仿宋_GBK"/>
          <w:b/>
          <w:sz w:val="28"/>
        </w:rPr>
        <w:fldChar w:fldCharType="begin"/>
      </w:r>
      <w:r>
        <w:rPr>
          <w:rFonts w:ascii="方正仿宋_GBK" w:eastAsia="方正仿宋_GBK"/>
          <w:b/>
          <w:sz w:val="28"/>
        </w:rPr>
        <w:instrText xml:space="preserve"> TC 5、驻京值班人员所需资金绩效目标表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130625211QYGT4404C5IP</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驻京值班人员所需资金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350000.00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350000.00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支付驻京人员值班费。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3.维护稳定。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能够保障人员日常工作效率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根据工作安排</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8" w:name="_Toc69732933"/>
      <w:r>
        <w:rPr>
          <w:rFonts w:ascii="方正仿宋_GBK" w:eastAsia="方正仿宋_GBK"/>
          <w:b/>
          <w:sz w:val="28"/>
        </w:rPr>
        <w:t xml:space="preserve">6.信访问题及解决部分退役士兵岗位、待遇资金绩效目标表</w:t>
      </w:r>
      <w:bookmarkEnd w:id="8"/>
      <w:r>
        <w:rPr>
          <w:rFonts w:ascii="方正仿宋_GBK" w:eastAsia="方正仿宋_GBK"/>
          <w:b/>
          <w:sz w:val="28"/>
        </w:rPr>
        <w:fldChar w:fldCharType="begin"/>
      </w:r>
      <w:r>
        <w:rPr>
          <w:rFonts w:ascii="方正仿宋_GBK" w:eastAsia="方正仿宋_GBK"/>
          <w:b/>
          <w:sz w:val="28"/>
        </w:rPr>
        <w:instrText xml:space="preserve"> TC 6、信访问题及解决部分退役士兵岗位、待遇资金绩效目标表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130625212U8XKWTGCCMID</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信访问题及解决部分退役士兵岗位、待遇资金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6437262.00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6437262.00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妥善解决信访遗留问题</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2.把信访工作作为支出国家国防军队建设、保持国家长治久安的一项重要任务强力推进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4.维护社会稳定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执行率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按成本预算执行</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9" w:name="_Toc69732934"/>
      <w:r>
        <w:rPr>
          <w:rFonts w:ascii="方正仿宋_GBK" w:eastAsia="方正仿宋_GBK"/>
          <w:b/>
          <w:sz w:val="28"/>
        </w:rPr>
        <w:t xml:space="preserve">7.“八一”慰问经费绩效目标表</w:t>
      </w:r>
      <w:bookmarkEnd w:id="9"/>
      <w:r>
        <w:rPr>
          <w:rFonts w:ascii="方正仿宋_GBK" w:eastAsia="方正仿宋_GBK"/>
          <w:b/>
          <w:sz w:val="28"/>
        </w:rPr>
        <w:fldChar w:fldCharType="begin"/>
      </w:r>
      <w:r>
        <w:rPr>
          <w:rFonts w:ascii="方正仿宋_GBK" w:eastAsia="方正仿宋_GBK"/>
          <w:b/>
          <w:sz w:val="28"/>
        </w:rPr>
        <w:instrText xml:space="preserve"> TC 7、\“八一\”慰问经费绩效目标表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13062521305TZ9WKKSZY2</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hint="cs" w:ascii="方正书宋_GBK" w:eastAsia="方正书宋_GBK"/>
              </w:rPr>
              <w:t xml:space="preserve">“</w:t>
            </w:r>
            <w:r>
              <w:rPr>
                <w:rFonts w:ascii="方正书宋_GBK" w:eastAsia="方正书宋_GBK"/>
              </w:rPr>
              <w:t xml:space="preserve">八一”慰问经费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539600.00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539600.00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八一对重点优抚对象及驻军进行慰问</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3.维护稳定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0" w:name="_Toc69732935"/>
      <w:r>
        <w:rPr>
          <w:rFonts w:ascii="方正仿宋_GBK" w:eastAsia="方正仿宋_GBK"/>
          <w:b/>
          <w:sz w:val="28"/>
        </w:rPr>
        <w:t xml:space="preserve">8.退役士兵再就业人员专项经费绩效目标表</w:t>
      </w:r>
      <w:bookmarkEnd w:id="10"/>
      <w:r>
        <w:rPr>
          <w:rFonts w:ascii="方正仿宋_GBK" w:eastAsia="方正仿宋_GBK"/>
          <w:b/>
          <w:sz w:val="28"/>
        </w:rPr>
        <w:fldChar w:fldCharType="begin"/>
      </w:r>
      <w:r>
        <w:rPr>
          <w:rFonts w:ascii="方正仿宋_GBK" w:eastAsia="方正仿宋_GBK"/>
          <w:b/>
          <w:sz w:val="28"/>
        </w:rPr>
        <w:instrText xml:space="preserve"> TC 8、退役士兵再就业人员专项经费绩效目标表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130625214059ZNAZSKIT7</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退役士兵再就业人员专项经费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1104376.00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1104376.00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退役士兵在就业人员工资及保险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3.保障军人的合法权益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发放标准准确率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人均发放标准准确率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1" w:name="_Toc69732936"/>
      <w:r>
        <w:rPr>
          <w:rFonts w:ascii="方正仿宋_GBK" w:eastAsia="方正仿宋_GBK"/>
          <w:b/>
          <w:sz w:val="28"/>
        </w:rPr>
        <w:t xml:space="preserve">9.烈士陵园管理人员劳务费专项经费绩效目标表</w:t>
      </w:r>
      <w:bookmarkEnd w:id="11"/>
      <w:r>
        <w:rPr>
          <w:rFonts w:ascii="方正仿宋_GBK" w:eastAsia="方正仿宋_GBK"/>
          <w:b/>
          <w:sz w:val="28"/>
        </w:rPr>
        <w:fldChar w:fldCharType="begin"/>
      </w:r>
      <w:r>
        <w:rPr>
          <w:rFonts w:ascii="方正仿宋_GBK" w:eastAsia="方正仿宋_GBK"/>
          <w:b/>
          <w:sz w:val="28"/>
        </w:rPr>
        <w:instrText xml:space="preserve"> TC 9、烈士陵园管理人员劳务费专项经费绩效目标表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1306252144K0X0WY5RQPE</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烈士陵园管理人员劳务费专项经费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烈士陵园管理人员劳务费专项经费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20.00%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40.00%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66.00%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3.表达对烈士的崇高敬意</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2" w:name="_Toc69732937"/>
      <w:r>
        <w:rPr>
          <w:rFonts w:ascii="方正仿宋_GBK" w:eastAsia="方正仿宋_GBK"/>
          <w:b/>
          <w:sz w:val="28"/>
        </w:rPr>
        <w:t xml:space="preserve">10.下达2021年省级财政退役安置补助经费预算绩效目标表</w:t>
      </w:r>
      <w:bookmarkEnd w:id="12"/>
      <w:r>
        <w:rPr>
          <w:rFonts w:ascii="方正仿宋_GBK" w:eastAsia="方正仿宋_GBK"/>
          <w:b/>
          <w:sz w:val="28"/>
        </w:rPr>
        <w:fldChar w:fldCharType="begin"/>
      </w:r>
      <w:r>
        <w:rPr>
          <w:rFonts w:ascii="方正仿宋_GBK" w:eastAsia="方正仿宋_GBK"/>
          <w:b/>
          <w:sz w:val="28"/>
        </w:rPr>
        <w:instrText xml:space="preserve"> TC 10、下达2021年省级财政退役安置补助经费预算绩效目标表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130625214R1I176GNNEK9</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下达2021年省级财政退役安置补助经费预算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1523800.00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1523800.00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支付自主就业退役士兵一次性经济补助及自主就业退役士兵职业教育和技能培训费。支付军休干部及家属遗属医疗生活补助资金及无军籍职工津补贴资金。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3.保障局机关正常运转</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3" w:name="_Toc69732938"/>
      <w:r>
        <w:rPr>
          <w:rFonts w:ascii="方正仿宋_GBK" w:eastAsia="方正仿宋_GBK"/>
          <w:b/>
          <w:sz w:val="28"/>
        </w:rPr>
        <w:t xml:space="preserve">11.企业军转干部解困资金绩效目标表</w:t>
      </w:r>
      <w:bookmarkEnd w:id="13"/>
      <w:r>
        <w:rPr>
          <w:rFonts w:ascii="方正仿宋_GBK" w:eastAsia="方正仿宋_GBK"/>
          <w:b/>
          <w:sz w:val="28"/>
        </w:rPr>
        <w:fldChar w:fldCharType="begin"/>
      </w:r>
      <w:r>
        <w:rPr>
          <w:rFonts w:ascii="方正仿宋_GBK" w:eastAsia="方正仿宋_GBK"/>
          <w:b/>
          <w:sz w:val="28"/>
        </w:rPr>
        <w:instrText xml:space="preserve"> TC 11、企业军转干部解困资金绩效目标表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130625214SSATU6LYSZCV</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企业军转干部解困资金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1043550.00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1043550.00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企业军转干部生活困难补助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3.保障军转干部的权益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4" w:name="_Toc69732939"/>
      <w:r>
        <w:rPr>
          <w:rFonts w:ascii="方正仿宋_GBK" w:eastAsia="方正仿宋_GBK"/>
          <w:b/>
          <w:sz w:val="28"/>
        </w:rPr>
        <w:t xml:space="preserve">12.部分退役士兵社会保险补缴专项经费绩效目标表</w:t>
      </w:r>
      <w:bookmarkEnd w:id="14"/>
      <w:r>
        <w:rPr>
          <w:rFonts w:ascii="方正仿宋_GBK" w:eastAsia="方正仿宋_GBK"/>
          <w:b/>
          <w:sz w:val="28"/>
        </w:rPr>
        <w:fldChar w:fldCharType="begin"/>
      </w:r>
      <w:r>
        <w:rPr>
          <w:rFonts w:ascii="方正仿宋_GBK" w:eastAsia="方正仿宋_GBK"/>
          <w:b/>
          <w:sz w:val="28"/>
        </w:rPr>
        <w:instrText xml:space="preserve"> TC 12、部分退役士兵社会保险补缴专项经费绩效目标表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130625215W3GN48EQ120B</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部分退役士兵社会保险补缴专项经费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345000.00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345000.00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退役军人社会保险补缴</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5" w:name="_Toc69732940"/>
      <w:r>
        <w:rPr>
          <w:rFonts w:ascii="方正仿宋_GBK" w:eastAsia="方正仿宋_GBK"/>
          <w:b/>
          <w:sz w:val="28"/>
        </w:rPr>
        <w:t xml:space="preserve">13.提前下达2021年市级财政自主就业退役士兵一次性经济补助资金绩效目标表</w:t>
      </w:r>
      <w:bookmarkEnd w:id="15"/>
      <w:r>
        <w:rPr>
          <w:rFonts w:ascii="方正仿宋_GBK" w:eastAsia="方正仿宋_GBK"/>
          <w:b/>
          <w:sz w:val="28"/>
        </w:rPr>
        <w:fldChar w:fldCharType="begin"/>
      </w:r>
      <w:r>
        <w:rPr>
          <w:rFonts w:ascii="方正仿宋_GBK" w:eastAsia="方正仿宋_GBK"/>
          <w:b/>
          <w:sz w:val="28"/>
        </w:rPr>
        <w:instrText xml:space="preserve"> TC 13、提前下达2021年市级财政自主就业退役士兵一次性经济补助资金绩效目标表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1306252166G5WAGKVHIDQ</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提前下达2021年市级财政自主就业退役士兵一次性经济补助资金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3900000.00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3900000.00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自主就业退役士兵一次性经济补助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3.把安置工作作为支出国家国防军队建设、保持国家长治久安的一项重要任务强力推进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6" w:name="_Toc69732941"/>
      <w:r>
        <w:rPr>
          <w:rFonts w:ascii="方正仿宋_GBK" w:eastAsia="方正仿宋_GBK"/>
          <w:b/>
          <w:sz w:val="28"/>
        </w:rPr>
        <w:t xml:space="preserve">14.提前下达2021年省级财政优抚对象补助经费预算（义务兵家庭优待金）绩效目标表</w:t>
      </w:r>
      <w:bookmarkEnd w:id="16"/>
      <w:r>
        <w:rPr>
          <w:rFonts w:ascii="方正仿宋_GBK" w:eastAsia="方正仿宋_GBK"/>
          <w:b/>
          <w:sz w:val="28"/>
        </w:rPr>
        <w:fldChar w:fldCharType="begin"/>
      </w:r>
      <w:r>
        <w:rPr>
          <w:rFonts w:ascii="方正仿宋_GBK" w:eastAsia="方正仿宋_GBK"/>
          <w:b/>
          <w:sz w:val="28"/>
        </w:rPr>
        <w:instrText xml:space="preserve"> TC 14、提前下达2021年省级财政优抚对象补助经费预算（义务兵家庭优待金）绩效目标表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130625216G4GTOSBDKTVQ</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提前下达2021年省级财政优抚对象补助经费预算（义务兵家庭优待金）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1610000.00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1610000.00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义务兵家庭优待金。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7" w:name="_Toc69732942"/>
      <w:r>
        <w:rPr>
          <w:rFonts w:ascii="方正仿宋_GBK" w:eastAsia="方正仿宋_GBK"/>
          <w:b/>
          <w:sz w:val="28"/>
        </w:rPr>
        <w:t xml:space="preserve">15.移交政府军队离退休人员经费绩效目标表</w:t>
      </w:r>
      <w:bookmarkEnd w:id="17"/>
      <w:r>
        <w:rPr>
          <w:rFonts w:ascii="方正仿宋_GBK" w:eastAsia="方正仿宋_GBK"/>
          <w:b/>
          <w:sz w:val="28"/>
        </w:rPr>
        <w:fldChar w:fldCharType="begin"/>
      </w:r>
      <w:r>
        <w:rPr>
          <w:rFonts w:ascii="方正仿宋_GBK" w:eastAsia="方正仿宋_GBK"/>
          <w:b/>
          <w:sz w:val="28"/>
        </w:rPr>
        <w:instrText xml:space="preserve"> TC 15、移交政府军队离退休人员经费绩效目标表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130625217BL6KZVY4D5LI</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移交政府军队离退休人员经费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1289660.00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1289660.00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支付军队离退休人员离退休费，取暖费等。</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3.保障退役安置人员的权益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8" w:name="_Toc69732943"/>
      <w:r>
        <w:rPr>
          <w:rFonts w:ascii="方正仿宋_GBK" w:eastAsia="方正仿宋_GBK"/>
          <w:b/>
          <w:sz w:val="28"/>
        </w:rPr>
        <w:t xml:space="preserve">16.慰问企业军转干部经费绩效目标表</w:t>
      </w:r>
      <w:bookmarkEnd w:id="18"/>
      <w:r>
        <w:rPr>
          <w:rFonts w:ascii="方正仿宋_GBK" w:eastAsia="方正仿宋_GBK"/>
          <w:b/>
          <w:sz w:val="28"/>
        </w:rPr>
        <w:fldChar w:fldCharType="begin"/>
      </w:r>
      <w:r>
        <w:rPr>
          <w:rFonts w:ascii="方正仿宋_GBK" w:eastAsia="方正仿宋_GBK"/>
          <w:b/>
          <w:sz w:val="28"/>
        </w:rPr>
        <w:instrText xml:space="preserve"> TC 16、慰问企业军转干部经费绩效目标表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130625217F81INX7PA9X1</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慰问企业军转干部经费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60300.00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60300.00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企业军转干困难生活补助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3.保障军转干合法权益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9" w:name="_Toc69732945"/>
      <w:r>
        <w:rPr>
          <w:rFonts w:ascii="方正仿宋_GBK" w:eastAsia="方正仿宋_GBK"/>
          <w:b/>
          <w:sz w:val="28"/>
        </w:rPr>
        <w:t xml:space="preserve">1</w:t>
      </w:r>
      <w:r>
        <w:rPr>
          <w:rFonts w:hint="eastAsia" w:ascii="方正仿宋_GBK" w:eastAsia="方正仿宋_GBK"/>
          <w:b/>
          <w:sz w:val="28"/>
          <w:lang w:val="en-US" w:eastAsia="zh-CN"/>
        </w:rPr>
        <w:t xml:space="preserve">7</w:t>
      </w:r>
      <w:r>
        <w:rPr>
          <w:rFonts w:ascii="方正仿宋_GBK" w:eastAsia="方正仿宋_GBK"/>
          <w:b/>
          <w:sz w:val="28"/>
        </w:rPr>
        <w:t xml:space="preserve">.提前下达2021年中央财政优抚对象补助经费预算绩效目标表</w:t>
      </w:r>
      <w:bookmarkEnd w:id="19"/>
      <w:r>
        <w:rPr>
          <w:rFonts w:ascii="方正仿宋_GBK" w:eastAsia="方正仿宋_GBK"/>
          <w:b/>
          <w:sz w:val="28"/>
        </w:rPr>
        <w:fldChar w:fldCharType="begin"/>
      </w:r>
      <w:r>
        <w:rPr>
          <w:rFonts w:ascii="方正仿宋_GBK" w:eastAsia="方正仿宋_GBK"/>
          <w:b/>
          <w:sz w:val="28"/>
        </w:rPr>
        <w:instrText xml:space="preserve"> TC 18、提前下达2021年中央财政优抚对象补助经费预算绩效目标表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1306252199IHPQ6CZA0NU</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提前下达2021年中央财政优抚对象补助经费预算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19460000.00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19460000.00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优抚抚恤金及生活补助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0" w:name="_Toc69732946"/>
      <w:r>
        <w:rPr>
          <w:rFonts w:ascii="方正仿宋_GBK" w:eastAsia="方正仿宋_GBK"/>
          <w:b/>
          <w:sz w:val="28"/>
        </w:rPr>
        <w:t xml:space="preserve">1</w:t>
      </w:r>
      <w:r>
        <w:rPr>
          <w:rFonts w:hint="eastAsia" w:ascii="方正仿宋_GBK" w:eastAsia="方正仿宋_GBK"/>
          <w:b/>
          <w:sz w:val="28"/>
          <w:lang w:val="en-US" w:eastAsia="zh-CN"/>
        </w:rPr>
        <w:t xml:space="preserve">8</w:t>
      </w:r>
      <w:r>
        <w:rPr>
          <w:rFonts w:ascii="方正仿宋_GBK" w:eastAsia="方正仿宋_GBK"/>
          <w:b/>
          <w:sz w:val="28"/>
        </w:rPr>
        <w:t xml:space="preserve">.义务兵家属优待金专项项目经费绩效目标表</w:t>
      </w:r>
      <w:bookmarkEnd w:id="20"/>
      <w:r>
        <w:rPr>
          <w:rFonts w:ascii="方正仿宋_GBK" w:eastAsia="方正仿宋_GBK"/>
          <w:b/>
          <w:sz w:val="28"/>
        </w:rPr>
        <w:fldChar w:fldCharType="begin"/>
      </w:r>
      <w:r>
        <w:rPr>
          <w:rFonts w:ascii="方正仿宋_GBK" w:eastAsia="方正仿宋_GBK"/>
          <w:b/>
          <w:sz w:val="28"/>
        </w:rPr>
        <w:instrText xml:space="preserve"> TC 19、义务兵家属优待金专项项目经费绩效目标表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13062521AFWE4TDLP8TSL</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义务兵家属优待金专项项目经费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4255641.00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4255641.00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义务兵服役期间给予其家庭优待。</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3.号召适龄青年积极入党</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1" w:name="_Toc69732947"/>
      <w:r>
        <w:rPr>
          <w:rFonts w:hint="eastAsia" w:ascii="方正仿宋_GBK" w:eastAsia="方正仿宋_GBK"/>
          <w:b/>
          <w:sz w:val="28"/>
          <w:lang w:val="en-US" w:eastAsia="zh-CN"/>
        </w:rPr>
        <w:t xml:space="preserve">19</w:t>
      </w:r>
      <w:r>
        <w:rPr>
          <w:rFonts w:ascii="方正仿宋_GBK" w:eastAsia="方正仿宋_GBK"/>
          <w:b/>
          <w:sz w:val="28"/>
        </w:rPr>
        <w:t xml:space="preserve">.保洁专项经费绩效目标表</w:t>
      </w:r>
      <w:bookmarkEnd w:id="21"/>
      <w:r>
        <w:rPr>
          <w:rFonts w:ascii="方正仿宋_GBK" w:eastAsia="方正仿宋_GBK"/>
          <w:b/>
          <w:sz w:val="28"/>
        </w:rPr>
        <w:fldChar w:fldCharType="begin"/>
      </w:r>
      <w:r>
        <w:rPr>
          <w:rFonts w:ascii="方正仿宋_GBK" w:eastAsia="方正仿宋_GBK"/>
          <w:b/>
          <w:sz w:val="28"/>
        </w:rPr>
        <w:instrText xml:space="preserve"> TC 20、保洁专项经费绩效目标表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13062521B6ZTR9MWMH7TD</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保洁专项经费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38400.00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38400.00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更好的服务于退役军人</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2.把退役军人事务工作作为支出国家国防军队建设、保持国家长治久安的一项重要任务强力推进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3.更好的服务于退役军人</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2" w:name="_Toc69732948"/>
      <w:r>
        <w:rPr>
          <w:rFonts w:ascii="方正仿宋_GBK" w:eastAsia="方正仿宋_GBK"/>
          <w:b/>
          <w:sz w:val="28"/>
        </w:rPr>
        <w:t xml:space="preserve">2</w:t>
      </w:r>
      <w:r>
        <w:rPr>
          <w:rFonts w:hint="eastAsia" w:ascii="方正仿宋_GBK" w:eastAsia="方正仿宋_GBK"/>
          <w:b/>
          <w:sz w:val="28"/>
          <w:lang w:val="en-US" w:eastAsia="zh-CN"/>
        </w:rPr>
        <w:t xml:space="preserve">0</w:t>
      </w:r>
      <w:r>
        <w:rPr>
          <w:rFonts w:ascii="方正仿宋_GBK" w:eastAsia="方正仿宋_GBK"/>
          <w:b/>
          <w:sz w:val="28"/>
        </w:rPr>
        <w:t xml:space="preserve">.提前下达2021年市级财政优抚对象补助资金绩效目标表</w:t>
      </w:r>
      <w:bookmarkEnd w:id="22"/>
      <w:r>
        <w:rPr>
          <w:rFonts w:ascii="方正仿宋_GBK" w:eastAsia="方正仿宋_GBK"/>
          <w:b/>
          <w:sz w:val="28"/>
        </w:rPr>
        <w:fldChar w:fldCharType="begin"/>
      </w:r>
      <w:r>
        <w:rPr>
          <w:rFonts w:ascii="方正仿宋_GBK" w:eastAsia="方正仿宋_GBK"/>
          <w:b/>
          <w:sz w:val="28"/>
        </w:rPr>
        <w:instrText xml:space="preserve"> TC 21、提前下达2021年市级财政优抚对象补助资金绩效目标表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13062521BV0XA6BXKA3VZ</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提前下达2021年市级财政优抚对象补助资金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3776000.00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3776000.00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支付义务兵优待金，在乡复原、退伍军人生活补助，涉核人员体检费。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3" w:name="_Toc69732949"/>
      <w:r>
        <w:rPr>
          <w:rFonts w:ascii="方正仿宋_GBK" w:eastAsia="方正仿宋_GBK"/>
          <w:b/>
          <w:sz w:val="28"/>
        </w:rPr>
        <w:t xml:space="preserve">2</w:t>
      </w:r>
      <w:r>
        <w:rPr>
          <w:rFonts w:hint="eastAsia" w:ascii="方正仿宋_GBK" w:eastAsia="方正仿宋_GBK"/>
          <w:b/>
          <w:sz w:val="28"/>
          <w:lang w:val="en-US" w:eastAsia="zh-CN"/>
        </w:rPr>
        <w:t xml:space="preserve">1</w:t>
      </w:r>
      <w:r>
        <w:rPr>
          <w:rFonts w:ascii="方正仿宋_GBK" w:eastAsia="方正仿宋_GBK"/>
          <w:b/>
          <w:sz w:val="28"/>
        </w:rPr>
        <w:t xml:space="preserve">.退役军人事务服务中心及相关办公场所改建费用绩效目标表</w:t>
      </w:r>
      <w:bookmarkEnd w:id="23"/>
      <w:r>
        <w:rPr>
          <w:rFonts w:ascii="方正仿宋_GBK" w:eastAsia="方正仿宋_GBK"/>
          <w:b/>
          <w:sz w:val="28"/>
        </w:rPr>
        <w:fldChar w:fldCharType="begin"/>
      </w:r>
      <w:r>
        <w:rPr>
          <w:rFonts w:ascii="方正仿宋_GBK" w:eastAsia="方正仿宋_GBK"/>
          <w:b/>
          <w:sz w:val="28"/>
        </w:rPr>
        <w:instrText xml:space="preserve"> TC 22、退役军人事务服务中心及相关办公场所改建费用绩效目标表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13062521C3KM112P463I3</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退役军人事务服务中心及相关办公场所改建费用</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提高办公条件，完善退役军人服务中心功能。</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2.把退役军人事务工作作为支出国家国防军队建设、保持国家长治久安的一项重要任务强力推进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3.更好的服务退役军人</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验收合格率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工程质量按照规定验收</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年度财政投入水平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工程建设水平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4" w:name="_Toc69732950"/>
      <w:r>
        <w:rPr>
          <w:rFonts w:ascii="方正仿宋_GBK" w:eastAsia="方正仿宋_GBK"/>
          <w:b/>
          <w:sz w:val="28"/>
        </w:rPr>
        <w:t xml:space="preserve">2</w:t>
      </w:r>
      <w:r>
        <w:rPr>
          <w:rFonts w:hint="eastAsia" w:ascii="方正仿宋_GBK" w:eastAsia="方正仿宋_GBK"/>
          <w:b/>
          <w:sz w:val="28"/>
          <w:lang w:val="en-US" w:eastAsia="zh-CN"/>
        </w:rPr>
        <w:t xml:space="preserve">2</w:t>
      </w:r>
      <w:r>
        <w:rPr>
          <w:rFonts w:ascii="方正仿宋_GBK" w:eastAsia="方正仿宋_GBK"/>
          <w:b/>
          <w:sz w:val="28"/>
        </w:rPr>
        <w:t xml:space="preserve">.符合政府安排工作条件退役士兵待安排工作期间基本保险接续专项经费绩效目标表</w:t>
      </w:r>
      <w:bookmarkEnd w:id="24"/>
      <w:r>
        <w:rPr>
          <w:rFonts w:ascii="方正仿宋_GBK" w:eastAsia="方正仿宋_GBK"/>
          <w:b/>
          <w:sz w:val="28"/>
        </w:rPr>
        <w:fldChar w:fldCharType="begin"/>
      </w:r>
      <w:r>
        <w:rPr>
          <w:rFonts w:ascii="方正仿宋_GBK" w:eastAsia="方正仿宋_GBK"/>
          <w:b/>
          <w:sz w:val="28"/>
        </w:rPr>
        <w:instrText xml:space="preserve"> TC 23、符合政府安排工作条件退役士兵待安排工作期间基本保险接续专项经费绩效目标表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13062521FDFVFSYKUX831</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符合政府安排工作条件退役士兵待安排工作期间基本保险接续专项经费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169200.00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169200.00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用于待安排工作期间基本保险接续</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能够保障退役军人事务工作效率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5" w:name="_Toc69732951"/>
      <w:r>
        <w:rPr>
          <w:rFonts w:ascii="方正仿宋_GBK" w:eastAsia="方正仿宋_GBK"/>
          <w:b/>
          <w:sz w:val="28"/>
        </w:rPr>
        <w:t xml:space="preserve">2</w:t>
      </w:r>
      <w:r>
        <w:rPr>
          <w:rFonts w:hint="eastAsia" w:ascii="方正仿宋_GBK" w:eastAsia="方正仿宋_GBK"/>
          <w:b/>
          <w:sz w:val="28"/>
          <w:lang w:val="en-US" w:eastAsia="zh-CN"/>
        </w:rPr>
        <w:t xml:space="preserve">3</w:t>
      </w:r>
      <w:r>
        <w:rPr>
          <w:rFonts w:ascii="方正仿宋_GBK" w:eastAsia="方正仿宋_GBK"/>
          <w:b/>
          <w:sz w:val="28"/>
        </w:rPr>
        <w:t xml:space="preserve">.光荣院人员服务费绩效目标表</w:t>
      </w:r>
      <w:bookmarkEnd w:id="25"/>
      <w:r>
        <w:rPr>
          <w:rFonts w:ascii="方正仿宋_GBK" w:eastAsia="方正仿宋_GBK"/>
          <w:b/>
          <w:sz w:val="28"/>
        </w:rPr>
        <w:fldChar w:fldCharType="begin"/>
      </w:r>
      <w:r>
        <w:rPr>
          <w:rFonts w:ascii="方正仿宋_GBK" w:eastAsia="方正仿宋_GBK"/>
          <w:b/>
          <w:sz w:val="28"/>
        </w:rPr>
        <w:instrText xml:space="preserve"> TC 24、光荣院人员服务费绩效目标表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13062521FMY933UIU2QQG</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光荣院人员服务费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122557.68</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122557.68</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光荣院人员服务费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1.保障人员工资、经费支出</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2.确保本单位日常工作正常运转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3.确保人员保险及时缴纳</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实发人数比率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实发人数占应发人数比率</w:t>
            </w:r>
            <w:r>
              <w:rPr>
                <w:rFonts w:ascii="方正书宋_GBK" w:eastAsia="方正书宋_GBK"/>
              </w:rPr>
            </w:r>
          </w:p>
        </w:tc>
        <w:tc>
          <w:tcPr>
            <w:shd w:val="clear" w:color="auto" w:fill="auto"/>
            <w:tcBorders/>
            <w:tcW w:w="1276" w:type="dxa"/>
            <w:textDirection w:val="lrTb"/>
            <w:noWrap w:val="false"/>
          </w:tcPr>
          <w:p>
            <w:pPr>
              <w:pBdr/>
              <w:spacing/>
              <w:ind/>
              <w:rPr/>
            </w:pPr>
            <w:r>
              <w:rPr>
                <w:rFonts w:ascii="方正书宋_GBK" w:eastAsia="方正书宋_GBK"/>
              </w:rPr>
              <w:t xml:space="preserve">100百分比</w:t>
            </w: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考核完成率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考核工作完成占计划完成数</w:t>
            </w:r>
            <w:r>
              <w:rPr>
                <w:rFonts w:ascii="方正书宋_GBK" w:eastAsia="方正书宋_GBK"/>
              </w:rPr>
            </w:r>
          </w:p>
        </w:tc>
        <w:tc>
          <w:tcPr>
            <w:shd w:val="clear" w:color="auto" w:fill="auto"/>
            <w:tcBorders/>
            <w:tcW w:w="1276" w:type="dxa"/>
            <w:textDirection w:val="lrTb"/>
            <w:noWrap w:val="false"/>
          </w:tcPr>
          <w:p>
            <w:pPr>
              <w:pBdr/>
              <w:spacing/>
              <w:ind/>
              <w:rPr/>
            </w:pPr>
            <w:r>
              <w:rPr>
                <w:rFonts w:ascii="方正书宋_GBK" w:eastAsia="方正书宋_GBK"/>
              </w:rPr>
              <w:t xml:space="preserve">100百分比</w:t>
            </w: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支付及时率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按时支付人员工资及时率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预算控制数</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不超年初预算数</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保证工作正常进行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能够保障人员日常工作效率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6" w:name="_Toc69732952"/>
      <w:r>
        <w:rPr>
          <w:rFonts w:ascii="方正仿宋_GBK" w:eastAsia="方正仿宋_GBK"/>
          <w:b/>
          <w:sz w:val="28"/>
        </w:rPr>
        <w:t xml:space="preserve">2</w:t>
      </w:r>
      <w:r>
        <w:rPr>
          <w:rFonts w:hint="eastAsia" w:ascii="方正仿宋_GBK" w:eastAsia="方正仿宋_GBK"/>
          <w:b/>
          <w:sz w:val="28"/>
          <w:lang w:val="en-US" w:eastAsia="zh-CN"/>
        </w:rPr>
        <w:t xml:space="preserve">4</w:t>
      </w:r>
      <w:r>
        <w:rPr>
          <w:rFonts w:ascii="方正仿宋_GBK" w:eastAsia="方正仿宋_GBK"/>
          <w:b/>
          <w:sz w:val="28"/>
        </w:rPr>
        <w:t xml:space="preserve">.退役士兵自谋、自主就业及生活补助项目经费绩效目标表</w:t>
      </w:r>
      <w:bookmarkEnd w:id="26"/>
      <w:r>
        <w:rPr>
          <w:rFonts w:ascii="方正仿宋_GBK" w:eastAsia="方正仿宋_GBK"/>
          <w:b/>
          <w:sz w:val="28"/>
        </w:rPr>
        <w:fldChar w:fldCharType="begin"/>
      </w:r>
      <w:r>
        <w:rPr>
          <w:rFonts w:ascii="方正仿宋_GBK" w:eastAsia="方正仿宋_GBK"/>
          <w:b/>
          <w:sz w:val="28"/>
        </w:rPr>
        <w:instrText xml:space="preserve"> TC 25、退役士兵自谋、自主就业及生活补助项目经费绩效目标表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13062521G8GMTV7ACU01D</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退役士兵自谋、自主就业及生活补助项目经费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2301600.00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2301600.00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退役士兵自谋、自主生活补助金。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ind/>
        <w:jc w:val="left"/>
        <w:outlineLvl w:val="3"/>
        <w:rPr>
          <w:rFonts w:ascii="Times New Roman" w:hAnsi="宋体" w:eastAsia="宋体"/>
          <w:b/>
          <w:sz w:val="28"/>
        </w:rPr>
      </w:pPr>
      <w:r/>
      <w:bookmarkStart w:id="27" w:name="_Toc69732954"/>
      <w:r>
        <w:rPr>
          <w:rFonts w:ascii="方正仿宋_GBK" w:eastAsia="方正仿宋_GBK"/>
          <w:b/>
          <w:sz w:val="28"/>
        </w:rPr>
        <w:t xml:space="preserve">2</w:t>
      </w:r>
      <w:r>
        <w:rPr>
          <w:rFonts w:hint="eastAsia" w:ascii="方正仿宋_GBK" w:eastAsia="方正仿宋_GBK"/>
          <w:b/>
          <w:sz w:val="28"/>
          <w:lang w:val="en-US" w:eastAsia="zh-CN"/>
        </w:rPr>
        <w:t xml:space="preserve">5</w:t>
      </w:r>
      <w:r>
        <w:rPr>
          <w:rFonts w:ascii="方正仿宋_GBK" w:eastAsia="方正仿宋_GBK"/>
          <w:b/>
          <w:sz w:val="28"/>
        </w:rPr>
        <w:t xml:space="preserve">.退役士兵职业教育、技能培训和适应性培训项目经费绩效目标表</w:t>
      </w:r>
      <w:bookmarkEnd w:id="27"/>
      <w:r>
        <w:rPr>
          <w:rFonts w:ascii="方正仿宋_GBK" w:eastAsia="方正仿宋_GBK"/>
          <w:b/>
          <w:sz w:val="28"/>
        </w:rPr>
        <w:fldChar w:fldCharType="begin"/>
      </w:r>
      <w:r>
        <w:rPr>
          <w:rFonts w:ascii="方正仿宋_GBK" w:eastAsia="方正仿宋_GBK"/>
          <w:b/>
          <w:sz w:val="28"/>
        </w:rPr>
        <w:instrText xml:space="preserve"> TC 27、退役士兵职业教育、技能培训和适应性培训项目经费绩效目标表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13062521IGBESQR6KOE3D</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退役士兵职业教育、技能培训和适应性培训项目经费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142000.00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142000.00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退役士兵职业教育、技能培训和适应性培训</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8" w:name="_Toc69732955"/>
      <w:r>
        <w:rPr>
          <w:rFonts w:ascii="方正仿宋_GBK" w:eastAsia="方正仿宋_GBK"/>
          <w:b/>
          <w:sz w:val="28"/>
        </w:rPr>
        <w:t xml:space="preserve">2</w:t>
      </w:r>
      <w:r>
        <w:rPr>
          <w:rFonts w:hint="eastAsia" w:ascii="方正仿宋_GBK" w:eastAsia="方正仿宋_GBK"/>
          <w:b/>
          <w:sz w:val="28"/>
          <w:lang w:val="en-US" w:eastAsia="zh-CN"/>
        </w:rPr>
        <w:t xml:space="preserve">6</w:t>
      </w:r>
      <w:r>
        <w:rPr>
          <w:rFonts w:ascii="方正仿宋_GBK" w:eastAsia="方正仿宋_GBK"/>
          <w:b/>
          <w:sz w:val="28"/>
        </w:rPr>
        <w:t xml:space="preserve">.鹤园老年公寓服务费绩效目标表</w:t>
      </w:r>
      <w:bookmarkEnd w:id="28"/>
      <w:r>
        <w:rPr>
          <w:rFonts w:ascii="方正仿宋_GBK" w:eastAsia="方正仿宋_GBK"/>
          <w:b/>
          <w:sz w:val="28"/>
        </w:rPr>
        <w:fldChar w:fldCharType="begin"/>
      </w:r>
      <w:r>
        <w:rPr>
          <w:rFonts w:ascii="方正仿宋_GBK" w:eastAsia="方正仿宋_GBK"/>
          <w:b/>
          <w:sz w:val="28"/>
        </w:rPr>
        <w:instrText xml:space="preserve"> TC 28、鹤园老年公寓服务费绩效目标表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13062521K699LM0R9P7R5</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鹤园老年公寓服务费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65880.00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65880.00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鹤园老年公寓服务费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3.保障优抚对象的权益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29" w:name="_Toc69732956"/>
      <w:r>
        <w:rPr>
          <w:rFonts w:ascii="方正仿宋_GBK" w:eastAsia="方正仿宋_GBK"/>
          <w:b/>
          <w:sz w:val="28"/>
        </w:rPr>
        <w:t xml:space="preserve">2</w:t>
      </w:r>
      <w:r>
        <w:rPr>
          <w:rFonts w:hint="eastAsia" w:ascii="方正仿宋_GBK" w:eastAsia="方正仿宋_GBK"/>
          <w:b/>
          <w:sz w:val="28"/>
          <w:lang w:val="en-US" w:eastAsia="zh-CN"/>
        </w:rPr>
        <w:t xml:space="preserve">7</w:t>
      </w:r>
      <w:r>
        <w:rPr>
          <w:rFonts w:ascii="方正仿宋_GBK" w:eastAsia="方正仿宋_GBK"/>
          <w:b/>
          <w:sz w:val="28"/>
        </w:rPr>
        <w:t xml:space="preserve">.退役军人综合事务工作经费绩效目标表</w:t>
      </w:r>
      <w:bookmarkEnd w:id="29"/>
      <w:r>
        <w:rPr>
          <w:rFonts w:ascii="方正仿宋_GBK" w:eastAsia="方正仿宋_GBK"/>
          <w:b/>
          <w:sz w:val="28"/>
        </w:rPr>
        <w:fldChar w:fldCharType="begin"/>
      </w:r>
      <w:r>
        <w:rPr>
          <w:rFonts w:ascii="方正仿宋_GBK" w:eastAsia="方正仿宋_GBK"/>
          <w:b/>
          <w:sz w:val="28"/>
        </w:rPr>
        <w:instrText xml:space="preserve"> TC 29、退役军人综合事务工作经费绩效目标表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13062521LYCWG8GC8V97V</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退役军人综合事务工作经费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161200.00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161200.00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保障局机关正常运转</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3.保证人员正常开展工作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资金成本</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资金成本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能够保障人员日常工作效率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0" w:name="_Toc69732957"/>
      <w:r>
        <w:rPr>
          <w:rFonts w:hint="eastAsia" w:ascii="方正仿宋_GBK" w:eastAsia="方正仿宋_GBK"/>
          <w:b/>
          <w:sz w:val="28"/>
          <w:lang w:val="en-US" w:eastAsia="zh-CN"/>
        </w:rPr>
        <w:t xml:space="preserve">28</w:t>
      </w:r>
      <w:r>
        <w:rPr>
          <w:rFonts w:ascii="方正仿宋_GBK" w:eastAsia="方正仿宋_GBK"/>
          <w:b/>
          <w:sz w:val="28"/>
        </w:rPr>
        <w:t xml:space="preserve">.提前下达2021年中央财政退役安置补助经费预算绩效目标表</w:t>
      </w:r>
      <w:bookmarkEnd w:id="30"/>
      <w:r>
        <w:rPr>
          <w:rFonts w:ascii="方正仿宋_GBK" w:eastAsia="方正仿宋_GBK"/>
          <w:b/>
          <w:sz w:val="28"/>
        </w:rPr>
        <w:fldChar w:fldCharType="begin"/>
      </w:r>
      <w:r>
        <w:rPr>
          <w:rFonts w:ascii="方正仿宋_GBK" w:eastAsia="方正仿宋_GBK"/>
          <w:b/>
          <w:sz w:val="28"/>
        </w:rPr>
        <w:instrText xml:space="preserve"> TC 30、提前下达2021年中央财政退役安置补助经费预算绩效目标表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13062521M93X4PB6Y9P2M</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提前下达2021年中央财政退役安置补助经费预算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4310000.00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4310000.00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军休人员机构经费，解决部分退役士兵社会保险问题所需经费。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3.把安置工作作为支出国家国防军队建设、保持国家长治久安的一项重要任务强力推进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1" w:name="_Toc69732958"/>
      <w:r>
        <w:rPr>
          <w:rFonts w:hint="eastAsia" w:ascii="方正仿宋_GBK" w:eastAsia="方正仿宋_GBK"/>
          <w:b/>
          <w:sz w:val="28"/>
          <w:lang w:val="en-US" w:eastAsia="zh-CN"/>
        </w:rPr>
        <w:t xml:space="preserve">29</w:t>
      </w:r>
      <w:r>
        <w:rPr>
          <w:rFonts w:ascii="方正仿宋_GBK" w:eastAsia="方正仿宋_GBK"/>
          <w:b/>
          <w:sz w:val="28"/>
        </w:rPr>
        <w:t xml:space="preserve">.提前下达2021年优抚事业单位省级补助资金预算绩效目标表</w:t>
      </w:r>
      <w:bookmarkEnd w:id="31"/>
      <w:r>
        <w:rPr>
          <w:rFonts w:ascii="方正仿宋_GBK" w:eastAsia="方正仿宋_GBK"/>
          <w:b/>
          <w:sz w:val="28"/>
        </w:rPr>
        <w:fldChar w:fldCharType="begin"/>
      </w:r>
      <w:r>
        <w:rPr>
          <w:rFonts w:ascii="方正仿宋_GBK" w:eastAsia="方正仿宋_GBK"/>
          <w:b/>
          <w:sz w:val="28"/>
        </w:rPr>
        <w:instrText xml:space="preserve"> TC 31、提前下达2021年优抚事业单位省级补助资金预算绩效目标表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13062521NB51EVT5E0700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提前下达2021年优抚事业单位省级补助资金预算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120000.00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优抚事业单位支出</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2" w:name="_Toc69732959"/>
      <w:r>
        <w:rPr>
          <w:rFonts w:ascii="方正仿宋_GBK" w:eastAsia="方正仿宋_GBK"/>
          <w:b/>
          <w:sz w:val="28"/>
        </w:rPr>
        <w:t xml:space="preserve">3</w:t>
      </w:r>
      <w:r>
        <w:rPr>
          <w:rFonts w:hint="eastAsia" w:ascii="方正仿宋_GBK" w:eastAsia="方正仿宋_GBK"/>
          <w:b/>
          <w:sz w:val="28"/>
          <w:lang w:val="en-US" w:eastAsia="zh-CN"/>
        </w:rPr>
        <w:t xml:space="preserve">0</w:t>
      </w:r>
      <w:r>
        <w:rPr>
          <w:rFonts w:ascii="方正仿宋_GBK" w:eastAsia="方正仿宋_GBK"/>
          <w:b/>
          <w:sz w:val="28"/>
        </w:rPr>
        <w:t xml:space="preserve">.下达2021年省级财政优抚对象补助经费预算绩效目标表</w:t>
      </w:r>
      <w:bookmarkEnd w:id="32"/>
      <w:r>
        <w:rPr>
          <w:rFonts w:ascii="方正仿宋_GBK" w:eastAsia="方正仿宋_GBK"/>
          <w:b/>
          <w:sz w:val="28"/>
        </w:rPr>
        <w:fldChar w:fldCharType="begin"/>
      </w:r>
      <w:r>
        <w:rPr>
          <w:rFonts w:ascii="方正仿宋_GBK" w:eastAsia="方正仿宋_GBK"/>
          <w:b/>
          <w:sz w:val="28"/>
        </w:rPr>
        <w:instrText xml:space="preserve"> TC 32、下达2021年省级财政优抚对象补助经费预算绩效目标表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13062521OQI2C1TPYT9WY</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下达2021年省级财政优抚对象补助经费预算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450000.00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450000.00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优抚抚恤金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3" w:name="_Toc69732960"/>
      <w:r>
        <w:rPr>
          <w:rFonts w:ascii="方正仿宋_GBK" w:eastAsia="方正仿宋_GBK"/>
          <w:b/>
          <w:sz w:val="28"/>
        </w:rPr>
        <w:t xml:space="preserve">3</w:t>
      </w:r>
      <w:r>
        <w:rPr>
          <w:rFonts w:hint="eastAsia" w:ascii="方正仿宋_GBK" w:eastAsia="方正仿宋_GBK"/>
          <w:b/>
          <w:sz w:val="28"/>
          <w:lang w:val="en-US" w:eastAsia="zh-CN"/>
        </w:rPr>
        <w:t xml:space="preserve">1</w:t>
      </w:r>
      <w:r>
        <w:rPr>
          <w:rFonts w:ascii="方正仿宋_GBK" w:eastAsia="方正仿宋_GBK"/>
          <w:b/>
          <w:sz w:val="28"/>
        </w:rPr>
        <w:t xml:space="preserve">.享受国家定期抚恤补助对象年度确认工作经费绩效目标表</w:t>
      </w:r>
      <w:bookmarkEnd w:id="33"/>
      <w:r>
        <w:rPr>
          <w:rFonts w:ascii="方正仿宋_GBK" w:eastAsia="方正仿宋_GBK"/>
          <w:b/>
          <w:sz w:val="28"/>
        </w:rPr>
        <w:fldChar w:fldCharType="begin"/>
      </w:r>
      <w:r>
        <w:rPr>
          <w:rFonts w:ascii="方正仿宋_GBK" w:eastAsia="方正仿宋_GBK"/>
          <w:b/>
          <w:sz w:val="28"/>
        </w:rPr>
        <w:instrText xml:space="preserve"> TC 33、享受国家定期抚恤补助对象年度确认工作经费绩效目标表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13062521P6K8AX0B50TB8</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享受国家定期抚恤补助对象年度确认工作经费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享受国家定期抚恤补助优抚对象年度确认工作所需经费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3.保障优抚对象的合法权益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资金使用</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各项资金使用合理规范，不超额度使用资金。</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ind/>
        <w:jc w:val="left"/>
        <w:outlineLvl w:val="3"/>
        <w:rPr>
          <w:rFonts w:ascii="Times New Roman" w:hAnsi="宋体" w:eastAsia="宋体"/>
          <w:b/>
          <w:sz w:val="28"/>
        </w:rPr>
      </w:pPr>
      <w:r/>
      <w:bookmarkStart w:id="34" w:name="_Toc69732963"/>
      <w:r>
        <w:rPr>
          <w:rFonts w:ascii="方正仿宋_GBK" w:eastAsia="方正仿宋_GBK"/>
          <w:b/>
          <w:sz w:val="28"/>
        </w:rPr>
        <w:t xml:space="preserve">3</w:t>
      </w:r>
      <w:r>
        <w:rPr>
          <w:rFonts w:hint="eastAsia" w:ascii="方正仿宋_GBK" w:eastAsia="方正仿宋_GBK"/>
          <w:b/>
          <w:sz w:val="28"/>
          <w:lang w:val="en-US" w:eastAsia="zh-CN"/>
        </w:rPr>
        <w:t xml:space="preserve">2</w:t>
      </w:r>
      <w:r>
        <w:rPr>
          <w:rFonts w:ascii="方正仿宋_GBK" w:eastAsia="方正仿宋_GBK"/>
          <w:b/>
          <w:sz w:val="28"/>
        </w:rPr>
        <w:t xml:space="preserve">.公益岗管理人员专项工作经费绩效目标表</w:t>
      </w:r>
      <w:bookmarkEnd w:id="34"/>
      <w:r>
        <w:rPr>
          <w:rFonts w:ascii="方正仿宋_GBK" w:eastAsia="方正仿宋_GBK"/>
          <w:b/>
          <w:sz w:val="28"/>
        </w:rPr>
        <w:fldChar w:fldCharType="begin"/>
      </w:r>
      <w:r>
        <w:rPr>
          <w:rFonts w:ascii="方正仿宋_GBK" w:eastAsia="方正仿宋_GBK"/>
          <w:b/>
          <w:sz w:val="28"/>
        </w:rPr>
        <w:instrText xml:space="preserve"> TC 36、公益岗管理人员专项工作经费绩效目标表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13062521UQZG4BHDHNYFS</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公益岗管理人员专项工作经费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妥善处理公益性岗位人员保险缴纳等工作</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3.保障公益性岗位人员的合法权益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line="300" w:lineRule="exact"/>
        <w:ind/>
        <w:jc w:val="left"/>
        <w:rPr/>
      </w:pPr>
      <w:r/>
      <w:r/>
    </w:p>
    <w:p>
      <w:pPr>
        <w:pBdr/>
        <w:spacing w:line="300" w:lineRule="exact"/>
        <w:ind/>
        <w:jc w:val="left"/>
        <w:rPr/>
      </w:pPr>
      <w:r/>
      <w:r/>
    </w:p>
    <w:p>
      <w:pPr>
        <w:pBdr/>
        <w:spacing w:line="300" w:lineRule="exact"/>
        <w:ind/>
        <w:jc w:val="left"/>
        <w:r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35" w:name="_Toc69732968"/>
      <w:r>
        <w:rPr>
          <w:rFonts w:hint="eastAsia" w:ascii="方正仿宋_GBK" w:eastAsia="方正仿宋_GBK"/>
          <w:b/>
          <w:sz w:val="28"/>
          <w:lang w:val="en-US" w:eastAsia="zh-CN"/>
        </w:rPr>
        <w:t xml:space="preserve">33</w:t>
      </w:r>
      <w:r>
        <w:rPr>
          <w:rFonts w:ascii="方正仿宋_GBK" w:eastAsia="方正仿宋_GBK"/>
          <w:b/>
          <w:sz w:val="28"/>
        </w:rPr>
        <w:t xml:space="preserve">.“春节”慰问经费绩效目标表</w:t>
      </w:r>
      <w:bookmarkEnd w:id="35"/>
      <w:r>
        <w:rPr>
          <w:rFonts w:ascii="方正仿宋_GBK" w:eastAsia="方正仿宋_GBK"/>
          <w:b/>
          <w:sz w:val="28"/>
        </w:rPr>
        <w:fldChar w:fldCharType="begin"/>
      </w:r>
      <w:r>
        <w:rPr>
          <w:rFonts w:ascii="方正仿宋_GBK" w:eastAsia="方正仿宋_GBK"/>
          <w:b/>
          <w:sz w:val="28"/>
        </w:rPr>
        <w:instrText xml:space="preserve"> TC 41、\“春节\”慰问经费绩效目标表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13062521Z9E3SNWWH3XLM</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hint="cs" w:ascii="方正书宋_GBK" w:eastAsia="方正书宋_GBK"/>
              </w:rPr>
              <w:t xml:space="preserve">“</w:t>
            </w:r>
            <w:r>
              <w:rPr>
                <w:rFonts w:ascii="方正书宋_GBK" w:eastAsia="方正书宋_GBK"/>
              </w:rPr>
              <w:t xml:space="preserve">春节”慰问经费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622720.00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622720.00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春节对重点优抚对象及驻军进行慰问，如慰问人武部、预备役营、消防中队、光荣院等，发放慰问信、春联以及立功受奖奖励金发放。</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3.保障军人的合法权益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jc w:val="center"/>
        <w:outlineLvl w:val="0"/>
        <w:rPr>
          <w:rFonts w:ascii="方正书宋_GBK" w:eastAsia="方正书宋_GBK"/>
        </w:rPr>
      </w:pPr>
      <w:r>
        <w:rPr>
          <w:rFonts w:ascii="方正书宋_GBK" w:eastAsia="方正书宋_GBK"/>
        </w:rPr>
      </w:r>
      <w:r>
        <w:rPr>
          <w:rFonts w:ascii="方正书宋_GBK" w:eastAsia="方正书宋_GBK"/>
        </w:rPr>
      </w:r>
    </w:p>
    <w:p>
      <w:pPr>
        <w:pBdr/>
        <w:spacing w:line="360" w:lineRule="auto"/>
        <w:ind w:firstLine="64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line="360" w:lineRule="auto"/>
        <w:ind w:firstLine="640"/>
        <w:rPr>
          <w:rFonts w:ascii="仿宋" w:hAnsi="仿宋" w:eastAsia="仿宋"/>
          <w:sz w:val="32"/>
          <w:szCs w:val="32"/>
        </w:rPr>
        <w:sectPr>
          <w:footnotePr/>
          <w:endnotePr/>
          <w:type w:val="nextPage"/>
          <w:pgSz w:h="16839" w:orient="landscape" w:w="11907"/>
          <w:pgMar w:top="1984" w:right="1304" w:bottom="1134" w:left="1304" w:header="851" w:footer="992" w:gutter="0"/>
          <w:cols w:num="1" w:sep="0" w:space="425" w:equalWidth="1"/>
        </w:sectPr>
      </w:pPr>
      <w:r>
        <w:rPr>
          <w:rFonts w:ascii="仿宋" w:hAnsi="仿宋" w:eastAsia="仿宋"/>
          <w:sz w:val="32"/>
          <w:szCs w:val="32"/>
        </w:rPr>
      </w:r>
      <w:r>
        <w:rPr>
          <w:rFonts w:ascii="仿宋" w:hAnsi="仿宋" w:eastAsia="仿宋"/>
          <w:sz w:val="32"/>
          <w:szCs w:val="32"/>
        </w:rPr>
      </w:r>
    </w:p>
    <w:p>
      <w:pPr>
        <w:pBdr/>
        <w:spacing/>
        <w:ind/>
        <w:rPr/>
      </w:pPr>
      <w: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第六部分：政府采购预算情况</w:t>
      </w:r>
      <w:r>
        <w:rPr>
          <w:rFonts w:ascii="方正小标宋_GBK" w:eastAsia="方正小标宋_GBK"/>
          <w:sz w:val="44"/>
        </w:rPr>
      </w:r>
    </w:p>
    <w:p>
      <w:pPr>
        <w:pBdr/>
        <w:spacing w:line="360" w:lineRule="auto"/>
        <w:ind w:firstLine="640"/>
        <w:rPr>
          <w:rFonts w:ascii="仿宋" w:hAnsi="仿宋" w:eastAsia="仿宋"/>
          <w:sz w:val="32"/>
          <w:szCs w:val="32"/>
        </w:rPr>
      </w:pPr>
      <w:r>
        <w:rPr>
          <w:rFonts w:ascii="仿宋" w:hAnsi="仿宋" w:eastAsia="仿宋"/>
          <w:sz w:val="32"/>
          <w:szCs w:val="32"/>
        </w:rPr>
        <w:t xml:space="preserve">2021年，我</w:t>
      </w:r>
      <w:r>
        <w:rPr>
          <w:rFonts w:hint="eastAsia" w:ascii="仿宋" w:hAnsi="仿宋" w:eastAsia="仿宋"/>
          <w:sz w:val="32"/>
          <w:szCs w:val="32"/>
          <w:lang w:eastAsia="zh-CN"/>
        </w:rPr>
        <w:t xml:space="preserve">单位</w:t>
      </w:r>
      <w:r>
        <w:rPr>
          <w:rFonts w:ascii="仿宋" w:hAnsi="仿宋" w:eastAsia="仿宋"/>
          <w:sz w:val="32"/>
          <w:szCs w:val="32"/>
        </w:rPr>
        <w:t xml:space="preserve">无政府采购预算，空表列示。</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附</w:t>
      </w:r>
      <w:r>
        <w:rPr>
          <w:rFonts w:hint="eastAsia" w:ascii="仿宋" w:hAnsi="仿宋" w:eastAsia="仿宋"/>
          <w:sz w:val="32"/>
          <w:szCs w:val="32"/>
          <w:lang w:eastAsia="zh-CN"/>
        </w:rPr>
        <w:t xml:space="preserve">单位</w:t>
      </w:r>
      <w:r>
        <w:rPr>
          <w:rFonts w:hint="eastAsia" w:ascii="仿宋" w:hAnsi="仿宋" w:eastAsia="仿宋"/>
          <w:sz w:val="32"/>
          <w:szCs w:val="32"/>
        </w:rPr>
        <w:t xml:space="preserve">政府采购预算表空表。</w:t>
      </w:r>
      <w:r>
        <w:rPr>
          <w:rFonts w:ascii="仿宋" w:hAnsi="仿宋" w:eastAsia="仿宋"/>
          <w:sz w:val="32"/>
          <w:szCs w:val="32"/>
        </w:rPr>
      </w:r>
    </w:p>
    <w:p>
      <w:pPr>
        <w:pBdr/>
        <w:spacing w:line="360" w:lineRule="auto"/>
        <w:ind/>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outlineLvl w:val="1"/>
        <w:rPr>
          <w:rFonts w:ascii="Times New Roman" w:hAnsi="宋体" w:eastAsia="宋体"/>
          <w:sz w:val="32"/>
        </w:rPr>
      </w:pPr>
      <w:r/>
      <w:bookmarkStart w:id="36" w:name="_Toc69809617"/>
      <w:r>
        <w:rPr>
          <w:rFonts w:hint="eastAsia" w:ascii="方正小标宋_GBK" w:eastAsia="方正小标宋_GBK"/>
          <w:sz w:val="32"/>
          <w:lang w:eastAsia="zh-CN"/>
        </w:rPr>
        <w:t xml:space="preserve">单位</w:t>
      </w:r>
      <w:r>
        <w:rPr>
          <w:rFonts w:ascii="方正小标宋_GBK" w:eastAsia="方正小标宋_GBK"/>
          <w:sz w:val="32"/>
        </w:rPr>
        <w:t xml:space="preserve">政府采购预算</w:t>
      </w:r>
      <w:bookmarkEnd w:id="36"/>
      <w:r/>
      <w:r>
        <w:rPr>
          <w:rFonts w:ascii="Times New Roman" w:hAnsi="宋体" w:eastAsia="宋体"/>
          <w:sz w:val="32"/>
        </w:rPr>
      </w:r>
    </w:p>
    <w:tbl>
      <w:tblPr>
        <w:tblStyle w:val="644"/>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984"/>
        <w:gridCol w:w="1134"/>
        <w:gridCol w:w="1531"/>
        <w:gridCol w:w="1531"/>
        <w:gridCol w:w="709"/>
        <w:gridCol w:w="907"/>
        <w:gridCol w:w="907"/>
        <w:gridCol w:w="1134"/>
        <w:gridCol w:w="1134"/>
        <w:gridCol w:w="1134"/>
        <w:gridCol w:w="1134"/>
        <w:gridCol w:w="1134"/>
        <w:gridCol w:w="1134"/>
      </w:tblGrid>
      <w:tr>
        <w:trPr>
          <w:cantSplit/>
          <w:jc w:val="center"/>
          <w:tblHeader/>
        </w:trPr>
        <w:tc>
          <w:tcPr>
            <w:gridSpan w:val="7"/>
            <w:shd w:val="clear" w:color="auto" w:fill="auto"/>
            <w:tcBorders>
              <w:top w:val="single" w:color="ffffff" w:sz="6" w:space="0"/>
              <w:left w:val="single" w:color="ffffff" w:sz="6" w:space="0"/>
              <w:right w:val="single" w:color="ffffff" w:sz="6" w:space="0"/>
            </w:tcBorders>
            <w:tcW w:w="8703" w:type="dxa"/>
            <w:vAlign w:val="center"/>
            <w:textDirection w:val="lrTb"/>
            <w:noWrap w:val="false"/>
          </w:tcPr>
          <w:p>
            <w:pPr>
              <w:pBdr/>
              <w:spacing w:line="300" w:lineRule="exact"/>
              <w:ind/>
              <w:jc w:val="left"/>
              <w:rPr>
                <w:rFonts w:ascii="方正小标宋_GBK" w:eastAsia="方正小标宋_GBK"/>
                <w:sz w:val="24"/>
              </w:rPr>
            </w:pPr>
            <w:r>
              <w:rPr>
                <w:rFonts w:hint="eastAsia" w:ascii="方正小标宋_GBK" w:eastAsia="方正小标宋_GBK"/>
                <w:sz w:val="24"/>
                <w:lang w:val="en-US" w:eastAsia="zh-CN"/>
              </w:rPr>
              <w:t xml:space="preserve">退役军人事务</w:t>
            </w:r>
            <w:r>
              <w:rPr>
                <w:rFonts w:ascii="方正小标宋_GBK" w:eastAsia="方正小标宋_GBK"/>
                <w:sz w:val="24"/>
              </w:rPr>
              <w:t xml:space="preserve">局</w:t>
            </w:r>
            <w:r>
              <w:rPr>
                <w:rFonts w:ascii="方正小标宋_GBK" w:eastAsia="方正小标宋_GBK"/>
                <w:sz w:val="24"/>
              </w:rPr>
            </w:r>
          </w:p>
        </w:tc>
        <w:tc>
          <w:tcPr>
            <w:gridSpan w:val="6"/>
            <w:shd w:val="clear" w:color="auto" w:fill="auto"/>
            <w:tcBorders>
              <w:top w:val="single" w:color="ffffff" w:sz="6" w:space="0"/>
              <w:left w:val="single" w:color="ffffff" w:sz="6" w:space="0"/>
              <w:right w:val="single" w:color="ffffff" w:sz="6" w:space="0"/>
            </w:tcBorders>
            <w:tcW w:w="6804" w:type="dxa"/>
            <w:vAlign w:val="center"/>
            <w:textDirection w:val="lrTb"/>
            <w:noWrap w:val="false"/>
          </w:tcPr>
          <w:p>
            <w:pPr>
              <w:pBdr/>
              <w:spacing w:line="300" w:lineRule="exact"/>
              <w:ind/>
              <w:jc w:val="right"/>
              <w:rPr>
                <w:rFonts w:ascii="方正书宋_GBK" w:eastAsia="方正书宋_GBK"/>
                <w:sz w:val="24"/>
              </w:rPr>
            </w:pPr>
            <w:r>
              <w:rPr>
                <w:rFonts w:ascii="方正书宋_GBK" w:eastAsia="方正书宋_GBK"/>
                <w:sz w:val="24"/>
              </w:rPr>
              <w:t xml:space="preserve">单位：</w:t>
            </w:r>
            <w:r>
              <w:rPr>
                <w:rFonts w:hint="eastAsia" w:ascii="方正书宋_GBK" w:eastAsia="方正书宋_GBK"/>
                <w:sz w:val="24"/>
              </w:rPr>
              <w:t xml:space="preserve">万</w:t>
            </w:r>
            <w:r>
              <w:rPr>
                <w:rFonts w:ascii="方正书宋_GBK" w:eastAsia="方正书宋_GBK"/>
                <w:sz w:val="24"/>
              </w:rPr>
              <w:t xml:space="preserve">元</w:t>
            </w:r>
            <w:r>
              <w:rPr>
                <w:rFonts w:ascii="方正书宋_GBK" w:eastAsia="方正书宋_GBK"/>
                <w:sz w:val="24"/>
              </w:rPr>
            </w:r>
          </w:p>
        </w:tc>
      </w:tr>
      <w:tr>
        <w:trPr>
          <w:cantSplit/>
          <w:jc w:val="center"/>
          <w:tblHeader/>
        </w:trPr>
        <w:tc>
          <w:tcPr>
            <w:gridSpan w:val="2"/>
            <w:shd w:val="clear" w:color="auto" w:fill="auto"/>
            <w:tcBorders/>
            <w:tcW w:w="3118"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政府采购项目来源</w:t>
            </w:r>
            <w:r>
              <w:rPr>
                <w:rFonts w:ascii="方正书宋_GBK" w:eastAsia="方正书宋_GBK"/>
                <w:b/>
              </w:rPr>
            </w:r>
          </w:p>
        </w:tc>
        <w:tc>
          <w:tcPr>
            <w:shd w:val="clear" w:color="auto" w:fill="auto"/>
            <w:tcBorders/>
            <w:tcW w:w="1531"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采购物品名称</w:t>
            </w:r>
            <w:r>
              <w:rPr>
                <w:rFonts w:ascii="方正书宋_GBK" w:eastAsia="方正书宋_GBK"/>
                <w:b/>
              </w:rPr>
            </w:r>
          </w:p>
        </w:tc>
        <w:tc>
          <w:tcPr>
            <w:shd w:val="clear" w:color="auto" w:fill="auto"/>
            <w:tcBorders/>
            <w:tcW w:w="1531"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政府采购目录序号</w:t>
            </w:r>
            <w:r>
              <w:rPr>
                <w:rFonts w:ascii="方正书宋_GBK" w:eastAsia="方正书宋_GBK"/>
                <w:b/>
              </w:rPr>
            </w:r>
          </w:p>
        </w:tc>
        <w:tc>
          <w:tcPr>
            <w:shd w:val="clear" w:color="auto" w:fill="auto"/>
            <w:tcBorders/>
            <w:tcW w:w="709"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计量  单位</w:t>
            </w:r>
            <w:r>
              <w:rPr>
                <w:rFonts w:ascii="方正书宋_GBK" w:eastAsia="方正书宋_GBK"/>
                <w:b/>
              </w:rPr>
            </w:r>
          </w:p>
        </w:tc>
        <w:tc>
          <w:tcPr>
            <w:shd w:val="clear" w:color="auto" w:fill="auto"/>
            <w:tcBorders/>
            <w:tcW w:w="907"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数量</w:t>
            </w:r>
            <w:r>
              <w:rPr>
                <w:rFonts w:ascii="方正书宋_GBK" w:eastAsia="方正书宋_GBK"/>
                <w:b/>
              </w:rPr>
            </w:r>
          </w:p>
        </w:tc>
        <w:tc>
          <w:tcPr>
            <w:shd w:val="clear" w:color="auto" w:fill="auto"/>
            <w:tcBorders/>
            <w:tcW w:w="907"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单价</w:t>
            </w:r>
            <w:r>
              <w:rPr>
                <w:rFonts w:ascii="方正书宋_GBK" w:eastAsia="方正书宋_GBK"/>
                <w:b/>
              </w:rPr>
            </w:r>
          </w:p>
        </w:tc>
        <w:tc>
          <w:tcPr>
            <w:gridSpan w:val="6"/>
            <w:shd w:val="clear" w:color="auto" w:fill="auto"/>
            <w:tcBorders/>
            <w:tcW w:w="68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政府采购金额（当年</w:t>
            </w:r>
            <w:r>
              <w:rPr>
                <w:rFonts w:hint="eastAsia" w:ascii="方正书宋_GBK" w:eastAsia="方正书宋_GBK"/>
                <w:b/>
                <w:lang w:eastAsia="zh-CN"/>
              </w:rPr>
              <w:t xml:space="preserve">单位</w:t>
            </w:r>
            <w:r>
              <w:rPr>
                <w:rFonts w:ascii="方正书宋_GBK" w:eastAsia="方正书宋_GBK"/>
                <w:b/>
              </w:rPr>
              <w:t xml:space="preserve">预算安排资金）</w:t>
            </w:r>
            <w:r>
              <w:rPr>
                <w:rFonts w:ascii="方正书宋_GBK" w:eastAsia="方正书宋_GBK"/>
                <w:b/>
              </w:rPr>
            </w:r>
          </w:p>
        </w:tc>
      </w:tr>
      <w:tr>
        <w:trPr>
          <w:cantSplit/>
          <w:jc w:val="center"/>
          <w:tblHeader/>
        </w:trPr>
        <w:tc>
          <w:tcPr>
            <w:shd w:val="clear" w:color="auto" w:fill="auto"/>
            <w:tcBorders/>
            <w:tcW w:w="198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预算资金</w:t>
            </w:r>
            <w:r>
              <w:rPr>
                <w:rFonts w:ascii="方正书宋_GBK" w:eastAsia="方正书宋_GBK"/>
                <w:b/>
              </w:rPr>
            </w:r>
          </w:p>
        </w:tc>
        <w:tc>
          <w:tcPr>
            <w:shd w:val="clear" w:color="auto" w:fill="auto"/>
            <w:tcBorders/>
            <w:tcW w:w="1531"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1531"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709"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907"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907"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合计</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一般公共预算拨款</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基金预算拨款</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国有资本经营预算拨款</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财政专户核拨</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单位资金</w:t>
            </w:r>
            <w:r>
              <w:rPr>
                <w:rFonts w:ascii="方正书宋_GBK" w:eastAsia="方正书宋_GBK"/>
                <w:b/>
              </w:rPr>
            </w:r>
          </w:p>
        </w:tc>
      </w:tr>
      <w:tr>
        <w:trPr>
          <w:cantSplit/>
          <w:jc w:val="center"/>
        </w:trPr>
        <w:tc>
          <w:tcPr>
            <w:shd w:val="clear" w:color="auto" w:fill="auto"/>
            <w:tcBorders/>
            <w:tcW w:w="198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合  计</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709"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r>
      <w:tr>
        <w:trPr>
          <w:cantSplit/>
          <w:jc w:val="center"/>
        </w:trPr>
        <w:tc>
          <w:tcPr>
            <w:shd w:val="clear" w:color="auto" w:fill="auto"/>
            <w:tcBorders/>
            <w:tcW w:w="1984"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709"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r>
      <w:tr>
        <w:trPr>
          <w:cantSplit/>
          <w:jc w:val="center"/>
        </w:trPr>
        <w:tc>
          <w:tcPr>
            <w:shd w:val="clear" w:color="auto" w:fill="auto"/>
            <w:tcBorders/>
            <w:tcW w:w="198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709"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r>
      <w:tr>
        <w:trPr>
          <w:cantSplit/>
          <w:jc w:val="center"/>
        </w:trPr>
        <w:tc>
          <w:tcPr>
            <w:shd w:val="clear" w:color="auto" w:fill="auto"/>
            <w:tcBorders/>
            <w:tcW w:w="198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531" w:type="dxa"/>
            <w:vAlign w:val="center"/>
            <w:textDirection w:val="lrTb"/>
            <w:noWrap w:val="false"/>
          </w:tcPr>
          <w:p>
            <w:pPr>
              <w:pBdr/>
              <w:spacing w:line="300" w:lineRule="exact"/>
              <w:ind/>
              <w:jc w:val="left"/>
              <w:rPr>
                <w:rFonts w:ascii="方正书宋_GBK"/>
              </w:rPr>
            </w:pPr>
            <w:r>
              <w:rPr>
                <w:rFonts w:ascii="方正书宋_GBK"/>
              </w:rPr>
            </w:r>
            <w:r>
              <w:rPr>
                <w:rFonts w:ascii="方正书宋_GBK"/>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709" w:type="dxa"/>
            <w:vAlign w:val="center"/>
            <w:textDirection w:val="lrTb"/>
            <w:noWrap w:val="false"/>
          </w:tcPr>
          <w:p>
            <w:pPr>
              <w:pBdr/>
              <w:spacing w:line="300" w:lineRule="exact"/>
              <w:ind/>
              <w:jc w:val="center"/>
              <w:rPr>
                <w:rFonts w:ascii="方正书宋_GBK"/>
              </w:rPr>
            </w:pPr>
            <w:r>
              <w:rPr>
                <w:rFonts w:ascii="方正书宋_GBK"/>
              </w:rPr>
            </w:r>
            <w:r>
              <w:rPr>
                <w:rFonts w:ascii="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r>
    </w:tbl>
    <w:p>
      <w:pPr>
        <w:pBdr/>
        <w:spacing/>
        <w:ind/>
        <w:rPr/>
      </w:pPr>
      <w:r/>
      <w:r/>
    </w:p>
    <w:p>
      <w:pPr>
        <w:pBdr/>
        <w:spacing w:line="360" w:lineRule="auto"/>
        <w:ind/>
        <w:rPr>
          <w:rFonts w:ascii="仿宋" w:hAnsi="仿宋" w:eastAsia="仿宋"/>
          <w:sz w:val="32"/>
          <w:szCs w:val="32"/>
        </w:rPr>
        <w:sectPr>
          <w:footerReference w:type="default" r:id="rId8"/>
          <w:footnotePr/>
          <w:endnotePr/>
          <w:type w:val="nextPage"/>
          <w:pgSz w:h="11906" w:orient="portrait" w:w="16838"/>
          <w:pgMar w:top="1797" w:right="1440" w:bottom="1797" w:left="1440" w:header="851" w:footer="992" w:gutter="0"/>
          <w:cols w:num="1" w:sep="0" w:space="425" w:equalWidth="1"/>
        </w:sectPr>
      </w:pPr>
      <w:r>
        <w:rPr>
          <w:rFonts w:ascii="仿宋" w:hAnsi="仿宋" w:eastAsia="仿宋"/>
          <w:sz w:val="32"/>
          <w:szCs w:val="32"/>
        </w:rPr>
      </w:r>
      <w:r>
        <w:rPr>
          <w:rFonts w:ascii="仿宋" w:hAnsi="仿宋" w:eastAsia="仿宋"/>
          <w:sz w:val="32"/>
          <w:szCs w:val="32"/>
        </w:rPr>
      </w:r>
    </w:p>
    <w:p>
      <w:pPr>
        <w:pBdr/>
        <w:spacing w:line="360" w:lineRule="auto"/>
        <w:ind/>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第七部分：国有资产信息</w:t>
      </w:r>
      <w:r>
        <w:rPr>
          <w:rFonts w:ascii="方正小标宋_GBK" w:eastAsia="方正小标宋_GBK"/>
          <w:sz w:val="44"/>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上年末我</w:t>
      </w:r>
      <w:r>
        <w:rPr>
          <w:rFonts w:hint="eastAsia" w:ascii="仿宋" w:hAnsi="仿宋" w:eastAsia="仿宋"/>
          <w:sz w:val="32"/>
          <w:szCs w:val="32"/>
          <w:lang w:eastAsia="zh-CN"/>
        </w:rPr>
        <w:t xml:space="preserve">单位</w:t>
      </w:r>
      <w:r>
        <w:rPr>
          <w:rFonts w:hint="eastAsia" w:ascii="仿宋" w:hAnsi="仿宋" w:eastAsia="仿宋"/>
          <w:sz w:val="32"/>
          <w:szCs w:val="32"/>
        </w:rPr>
        <w:t xml:space="preserve">固定资产总金额为30.075万元（详见下表）。</w:t>
      </w:r>
      <w:r>
        <w:rPr>
          <w:rFonts w:ascii="仿宋" w:hAnsi="仿宋" w:eastAsia="仿宋"/>
          <w:sz w:val="32"/>
          <w:szCs w:val="32"/>
        </w:rPr>
        <w:t xml:space="preserve"> </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我</w:t>
      </w:r>
      <w:r>
        <w:rPr>
          <w:rFonts w:hint="eastAsia" w:ascii="仿宋" w:hAnsi="仿宋" w:eastAsia="仿宋"/>
          <w:sz w:val="32"/>
          <w:szCs w:val="32"/>
          <w:lang w:eastAsia="zh-CN"/>
        </w:rPr>
        <w:t xml:space="preserve">单位</w:t>
      </w:r>
      <w:r>
        <w:rPr>
          <w:rFonts w:hint="eastAsia" w:ascii="仿宋" w:hAnsi="仿宋" w:eastAsia="仿宋"/>
          <w:sz w:val="32"/>
          <w:szCs w:val="32"/>
        </w:rPr>
        <w:t xml:space="preserve">本年度无国有资产购置计划，拟购置金额为</w:t>
      </w:r>
      <w:r>
        <w:rPr>
          <w:rFonts w:ascii="仿宋" w:hAnsi="仿宋" w:eastAsia="仿宋"/>
          <w:sz w:val="32"/>
          <w:szCs w:val="32"/>
        </w:rPr>
        <w:t xml:space="preserve">0。</w:t>
      </w:r>
      <w:r>
        <w:rPr>
          <w:rFonts w:ascii="仿宋" w:hAnsi="仿宋" w:eastAsia="仿宋"/>
          <w:sz w:val="32"/>
          <w:szCs w:val="32"/>
        </w:rPr>
      </w:r>
    </w:p>
    <w:tbl>
      <w:tblPr>
        <w:tblStyle w:val="644"/>
        <w:tblW w:w="10084" w:type="dxa"/>
        <w:jc w:val="center"/>
        <w:tblBorders/>
        <w:tblLayout w:type="autofit"/>
        <w:tblCellMar>
          <w:left w:w="108" w:type="dxa"/>
          <w:top w:w="0" w:type="dxa"/>
          <w:right w:w="108" w:type="dxa"/>
          <w:bottom w:w="0" w:type="dxa"/>
        </w:tblCellMar>
        <w:tblLook w:val="04A0" w:firstRow="1" w:lastRow="0" w:firstColumn="1" w:lastColumn="0" w:noHBand="0" w:noVBand="1"/>
      </w:tblPr>
      <w:tblGrid>
        <w:gridCol w:w="4788"/>
        <w:gridCol w:w="1035"/>
        <w:gridCol w:w="4261"/>
      </w:tblGrid>
      <w:tr>
        <w:trPr>
          <w:jc w:val="center"/>
          <w:trHeight w:val="510"/>
        </w:trPr>
        <w:tc>
          <w:tcPr>
            <w:gridSpan w:val="3"/>
            <w:shd w:val="clear" w:color="auto" w:fill="auto"/>
            <w:tcBorders>
              <w:top w:val="none" w:color="000000" w:sz="4" w:space="0"/>
              <w:left w:val="none" w:color="000000" w:sz="4" w:space="0"/>
              <w:bottom w:val="none" w:color="000000" w:sz="4" w:space="0"/>
              <w:right w:val="none" w:color="000000" w:sz="4" w:space="0"/>
            </w:tcBorders>
            <w:tcW w:w="10084" w:type="dxa"/>
            <w:vAlign w:val="center"/>
            <w:textDirection w:val="lrTb"/>
            <w:noWrap/>
          </w:tcPr>
          <w:p>
            <w:pPr>
              <w:widowControl w:val="true"/>
              <w:pBdr/>
              <w:spacing/>
              <w:ind/>
              <w:jc w:val="center"/>
              <w:rPr>
                <w:rFonts w:ascii="宋体" w:hAnsi="宋体" w:cs="宋体"/>
                <w:sz w:val="28"/>
                <w:szCs w:val="28"/>
              </w:rPr>
            </w:pPr>
            <w:r>
              <w:rPr>
                <w:rFonts w:hint="eastAsia" w:ascii="宋体" w:hAnsi="宋体"/>
                <w:sz w:val="32"/>
                <w:szCs w:val="32"/>
              </w:rPr>
              <w:t xml:space="preserve">固定资产占用情况表</w:t>
            </w:r>
            <w:r>
              <w:rPr>
                <w:rFonts w:ascii="宋体" w:hAnsi="宋体" w:cs="宋体"/>
                <w:sz w:val="28"/>
                <w:szCs w:val="28"/>
              </w:rPr>
            </w:r>
          </w:p>
        </w:tc>
      </w:tr>
      <w:tr>
        <w:trPr>
          <w:jc w:val="center"/>
          <w:trHeight w:val="510"/>
        </w:trPr>
        <w:tc>
          <w:tcPr>
            <w:gridSpan w:val="3"/>
            <w:shd w:val="clear" w:color="auto" w:fill="auto"/>
            <w:tcBorders>
              <w:top w:val="none" w:color="000000" w:sz="4" w:space="0"/>
              <w:left w:val="none" w:color="000000" w:sz="4" w:space="0"/>
              <w:bottom w:val="single" w:color="auto" w:sz="4" w:space="0"/>
              <w:right w:val="none" w:color="000000" w:sz="4" w:space="0"/>
            </w:tcBorders>
            <w:tcW w:w="10084" w:type="dxa"/>
            <w:vAlign w:val="center"/>
            <w:textDirection w:val="lrTb"/>
            <w:noWrap/>
          </w:tcPr>
          <w:p>
            <w:pPr>
              <w:widowControl w:val="true"/>
              <w:pBdr/>
              <w:spacing/>
              <w:ind/>
              <w:jc w:val="center"/>
              <w:rPr>
                <w:rFonts w:ascii="仿宋_GB2312" w:hAnsi="仿宋" w:eastAsia="仿宋_GB2312" w:cs="宋体"/>
                <w:sz w:val="28"/>
                <w:szCs w:val="28"/>
              </w:rPr>
            </w:pPr>
            <w:r>
              <w:rPr>
                <w:rFonts w:hint="eastAsia" w:ascii="仿宋_GB2312" w:hAnsi="仿宋" w:eastAsia="仿宋_GB2312" w:cs="宋体"/>
                <w:bCs/>
                <w:sz w:val="32"/>
                <w:szCs w:val="32"/>
              </w:rPr>
              <w:t xml:space="preserve">                           </w:t>
            </w:r>
            <w:r>
              <w:rPr>
                <w:rFonts w:hint="eastAsia" w:ascii="仿宋_GB2312" w:hAnsi="仿宋" w:eastAsia="仿宋_GB2312" w:cs="宋体"/>
                <w:bCs/>
                <w:sz w:val="28"/>
                <w:szCs w:val="28"/>
              </w:rPr>
              <w:t xml:space="preserve">截止时间：</w:t>
            </w:r>
            <w:r>
              <w:rPr>
                <w:rFonts w:ascii="仿宋_GB2312" w:hAnsi="仿宋" w:eastAsia="仿宋_GB2312" w:cs="宋体"/>
                <w:bCs/>
                <w:color w:val="ff0000"/>
                <w:sz w:val="28"/>
                <w:szCs w:val="28"/>
              </w:rPr>
              <w:t xml:space="preserve">2020</w:t>
            </w:r>
            <w:r>
              <w:rPr>
                <w:rFonts w:hint="eastAsia" w:ascii="仿宋_GB2312" w:hAnsi="仿宋" w:eastAsia="仿宋_GB2312" w:cs="宋体"/>
                <w:bCs/>
                <w:color w:val="ff0000"/>
                <w:sz w:val="28"/>
                <w:szCs w:val="28"/>
              </w:rPr>
              <w:t xml:space="preserve">年12月31日</w:t>
            </w:r>
            <w:r>
              <w:rPr>
                <w:rFonts w:ascii="仿宋_GB2312" w:hAnsi="仿宋" w:eastAsia="仿宋_GB2312" w:cs="宋体"/>
                <w:sz w:val="28"/>
                <w:szCs w:val="28"/>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项　　目</w:t>
            </w:r>
            <w:r>
              <w:rPr>
                <w:rFonts w:ascii="仿宋_GB2312" w:hAnsi="仿宋" w:eastAsia="仿宋_GB2312" w:cs="宋体"/>
                <w:b/>
                <w:bCs/>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数量</w:t>
            </w:r>
            <w:r>
              <w:rPr>
                <w:rFonts w:ascii="仿宋_GB2312" w:hAnsi="仿宋" w:eastAsia="仿宋_GB2312" w:cs="宋体"/>
                <w:b/>
                <w:bCs/>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价值（单位：万元）</w:t>
            </w:r>
            <w:r>
              <w:rPr>
                <w:rFonts w:ascii="仿宋_GB2312" w:hAnsi="仿宋" w:eastAsia="仿宋_GB2312" w:cs="宋体"/>
                <w:b/>
                <w:bCs/>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固定资产总额</w:t>
            </w:r>
            <w:r>
              <w:rPr>
                <w:rFonts w:ascii="仿宋_GB2312" w:hAnsi="仿宋" w:eastAsia="仿宋_GB2312" w:cs="宋体"/>
                <w:b/>
                <w:bCs/>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b/>
                <w:sz w:val="24"/>
                <w:szCs w:val="24"/>
              </w:rPr>
            </w:pPr>
            <w:r>
              <w:rPr>
                <w:rFonts w:hint="eastAsia" w:ascii="仿宋_GB2312" w:hAnsi="仿宋" w:eastAsia="仿宋_GB2312" w:cs="宋体"/>
                <w:b/>
                <w:sz w:val="24"/>
                <w:szCs w:val="24"/>
              </w:rPr>
              <w:t xml:space="preserve">--</w:t>
            </w:r>
            <w:r>
              <w:rPr>
                <w:rFonts w:ascii="仿宋_GB2312" w:hAnsi="仿宋" w:eastAsia="仿宋_GB2312" w:cs="宋体"/>
                <w:b/>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b/>
                <w:sz w:val="24"/>
                <w:szCs w:val="24"/>
              </w:rPr>
            </w:pPr>
            <w:r>
              <w:rPr>
                <w:rFonts w:hint="eastAsia" w:ascii="仿宋_GB2312" w:hAnsi="仿宋" w:eastAsia="仿宋_GB2312" w:cs="宋体"/>
                <w:b/>
                <w:sz w:val="24"/>
                <w:szCs w:val="24"/>
              </w:rPr>
              <w:t xml:space="preserve">30.075</w:t>
            </w:r>
            <w:r>
              <w:rPr>
                <w:rFonts w:ascii="仿宋_GB2312" w:hAnsi="仿宋" w:eastAsia="仿宋_GB2312" w:cs="宋体"/>
                <w:b/>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1、房屋（平方米）</w:t>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其中：办公用房（平方米）</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035" w:type="dxa"/>
            <w:vAlign w:val="center"/>
            <w:textDirection w:val="lrTb"/>
            <w:noWrap/>
          </w:tcPr>
          <w:p>
            <w:pPr>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61" w:type="dxa"/>
            <w:vAlign w:val="center"/>
            <w:textDirection w:val="lrTb"/>
            <w:noWrap/>
          </w:tcPr>
          <w:p>
            <w:pPr>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2、车辆（台、辆）</w:t>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3、单价在50万元以上的设备(台、套)</w:t>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其中：单价50万元（含）以上的通用设备</w:t>
            </w:r>
            <w:r>
              <w:rPr>
                <w:rFonts w:ascii="仿宋_GB2312" w:hAnsi="仿宋" w:eastAsia="仿宋_GB2312" w:cs="宋体"/>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单价100万元（含）以上的专用设备</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4、其他固定资产</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035" w:type="dxa"/>
            <w:vAlign w:val="center"/>
            <w:textDirection w:val="lrTb"/>
            <w:noWrap/>
          </w:tcPr>
          <w:p>
            <w:pPr>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35</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61" w:type="dxa"/>
            <w:vAlign w:val="center"/>
            <w:textDirection w:val="lrTb"/>
            <w:noWrap/>
          </w:tcPr>
          <w:p>
            <w:pPr>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30.075</w:t>
            </w:r>
            <w:r>
              <w:rPr>
                <w:rFonts w:ascii="仿宋_GB2312" w:hAnsi="仿宋" w:eastAsia="仿宋_GB2312" w:cs="宋体"/>
                <w:sz w:val="24"/>
                <w:szCs w:val="24"/>
              </w:rPr>
            </w:r>
          </w:p>
        </w:tc>
      </w:tr>
    </w:tbl>
    <w:p>
      <w:pPr>
        <w:pBdr/>
        <w:spacing w:line="360" w:lineRule="auto"/>
        <w:ind/>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ind/>
        <w:jc w:val="center"/>
        <w:outlineLvl w:val="0"/>
        <w:rPr>
          <w:rFonts w:ascii="方正小标宋_GBK" w:eastAsia="方正小标宋_GBK"/>
          <w:sz w:val="44"/>
        </w:rPr>
      </w:pPr>
      <w:r>
        <w:rPr>
          <w:rFonts w:ascii="方正小标宋_GBK" w:eastAsia="方正小标宋_GBK"/>
          <w:sz w:val="44"/>
        </w:rPr>
      </w:r>
      <w:r>
        <w:rPr>
          <w:rFonts w:ascii="方正小标宋_GBK" w:eastAsia="方正小标宋_GBK"/>
          <w:sz w:val="44"/>
        </w:rPr>
      </w:r>
    </w:p>
    <w:p>
      <w:pPr>
        <w:pBdr/>
        <w:spacing/>
        <w:ind/>
        <w:jc w:val="center"/>
        <w:outlineLvl w:val="0"/>
        <w:rPr>
          <w:rFonts w:ascii="方正小标宋_GBK" w:eastAsia="方正小标宋_GBK"/>
          <w:sz w:val="44"/>
        </w:rPr>
      </w:pPr>
      <w:r>
        <w:rPr>
          <w:rFonts w:ascii="方正小标宋_GBK" w:eastAsia="方正小标宋_GBK"/>
          <w:sz w:val="44"/>
        </w:rPr>
      </w:r>
      <w:r>
        <w:rPr>
          <w:rFonts w:ascii="方正小标宋_GBK" w:eastAsia="方正小标宋_GBK"/>
          <w:sz w:val="44"/>
        </w:rPr>
      </w:r>
    </w:p>
    <w:p>
      <w:pPr>
        <w:pBdr/>
        <w:spacing/>
        <w:ind/>
        <w:jc w:val="center"/>
        <w:outlineLvl w:val="0"/>
        <w:rPr>
          <w:rFonts w:hint="eastAsia" w:ascii="方正小标宋_GBK" w:eastAsia="方正小标宋_GBK"/>
          <w:sz w:val="44"/>
        </w:rPr>
      </w:pPr>
      <w:r>
        <w:rPr>
          <w:rFonts w:hint="eastAsia" w:ascii="方正小标宋_GBK" w:eastAsia="方正小标宋_GBK"/>
          <w:sz w:val="44"/>
        </w:rPr>
      </w:r>
      <w:r>
        <w:rPr>
          <w:rFonts w:hint="eastAsia" w:ascii="方正小标宋_GBK" w:eastAsia="方正小标宋_GBK"/>
          <w:sz w:val="44"/>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第八部分：名词解释</w:t>
      </w:r>
      <w:r>
        <w:rPr>
          <w:rFonts w:ascii="方正小标宋_GBK" w:eastAsia="方正小标宋_GBK"/>
          <w:sz w:val="44"/>
        </w:rPr>
      </w:r>
    </w:p>
    <w:p>
      <w:pPr>
        <w:pBdr/>
        <w:spacing w:line="360" w:lineRule="auto"/>
        <w:ind w:firstLine="640"/>
        <w:rPr>
          <w:rFonts w:ascii="仿宋" w:hAnsi="仿宋" w:eastAsia="仿宋"/>
          <w:sz w:val="32"/>
          <w:szCs w:val="32"/>
        </w:rPr>
      </w:pPr>
      <w:r>
        <w:rPr>
          <w:rFonts w:ascii="仿宋" w:hAnsi="仿宋" w:eastAsia="仿宋"/>
          <w:sz w:val="32"/>
          <w:szCs w:val="32"/>
        </w:rPr>
        <w:t xml:space="preserve">1、一般公共预算财政拨款收入：指区级财政当年拨付的资金。</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2、其他收入：指除上述“财政拨款收入”、“事业收入”等以外的收入。</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3、基本支出：指为保障机构正常运转、完成日常工作任务而发生的人员支出和公用支出。</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4、项目支出：指在基本支出之外为完成特定行政任务和事业发展目标所发生的支出。</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5、“三公”经费：纳入区级财政预算管理的“三公”经费，是指区级</w:t>
      </w:r>
      <w:r>
        <w:rPr>
          <w:rFonts w:hint="eastAsia" w:ascii="仿宋" w:hAnsi="仿宋" w:eastAsia="仿宋"/>
          <w:sz w:val="32"/>
          <w:szCs w:val="32"/>
          <w:lang w:eastAsia="zh-CN"/>
        </w:rPr>
        <w:t xml:space="preserve">单位</w:t>
      </w:r>
      <w:r>
        <w:rPr>
          <w:rFonts w:ascii="仿宋" w:hAnsi="仿宋" w:eastAsia="仿宋"/>
          <w:sz w:val="32"/>
          <w:szCs w:val="32"/>
        </w:rPr>
        <w:t xml:space="preserve">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 w:hAnsi="仿宋" w:eastAsia="仿宋"/>
          <w:sz w:val="32"/>
          <w:szCs w:val="32"/>
        </w:rPr>
      </w:r>
    </w:p>
    <w:p>
      <w:pPr>
        <w:pBdr/>
        <w:spacing w:line="360" w:lineRule="auto"/>
        <w:ind/>
        <w:jc w:val="center"/>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第九部分：其他需说明的事项</w:t>
      </w:r>
      <w:r>
        <w:rPr>
          <w:rFonts w:ascii="方正小标宋_GBK" w:eastAsia="方正小标宋_GBK"/>
          <w:sz w:val="44"/>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我</w:t>
      </w:r>
      <w:r>
        <w:rPr>
          <w:rFonts w:hint="eastAsia" w:ascii="仿宋" w:hAnsi="仿宋" w:eastAsia="仿宋"/>
          <w:sz w:val="32"/>
          <w:szCs w:val="32"/>
          <w:lang w:eastAsia="zh-CN"/>
        </w:rPr>
        <w:t xml:space="preserve">单位</w:t>
      </w:r>
      <w:r>
        <w:rPr>
          <w:rFonts w:hint="eastAsia" w:ascii="仿宋" w:hAnsi="仿宋" w:eastAsia="仿宋"/>
          <w:sz w:val="32"/>
          <w:szCs w:val="32"/>
        </w:rPr>
        <w:t xml:space="preserve">无其他需说明的事项。</w:t>
      </w:r>
      <w:r>
        <w:rPr>
          <w:rFonts w:ascii="仿宋" w:hAnsi="仿宋" w:eastAsia="仿宋"/>
          <w:sz w:val="32"/>
          <w:szCs w:val="32"/>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书宋_GBK">
    <w:panose1 w:val="02000000000000000000"/>
  </w:font>
  <w:font w:name="方正仿宋_GBK">
    <w:panose1 w:val="02000000000000000000"/>
  </w:font>
  <w:font w:name="方正黑体_GBK">
    <w:panose1 w:val="02000000000000000000"/>
  </w:font>
  <w:font w:name="黑体">
    <w:panose1 w:val="02010609060101010101"/>
  </w:font>
  <w:font w:name="方正小标宋_GBK">
    <w:panose1 w:val="02000000000000000000"/>
  </w:font>
  <w:font w:name="仿宋">
    <w:panose1 w:val="02010609060101010101"/>
  </w:font>
  <w:font w:name="宋体">
    <w:panose1 w:val="02010600030101010101"/>
  </w:font>
  <w:font w:name="仿宋_GB2312">
    <w:panose1 w:val="02010609030101010101"/>
  </w:font>
  <w:font w:name="Times New Roman">
    <w:panose1 w:val="02020603050405020304"/>
  </w:font>
  <w:font w:name="微软雅黑">
    <w:panose1 w:val="020B0503020204020204"/>
  </w:font>
  <w:font w:name="Arial">
    <w:panose1 w:val="020B06040202020202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30172596"/>
      <w:docPartObj>
        <w:docPartGallery w:val="autotext"/>
      </w:docPartObj>
      <w:rPr/>
    </w:sdtPr>
    <w:sdtContent>
      <w:p>
        <w:pPr>
          <w:pStyle w:val="646"/>
          <w:pBdr/>
          <w:spacing/>
          <w:ind/>
          <w:jc w:val="center"/>
          <w:rPr/>
        </w:pPr>
        <w:r>
          <w:fldChar w:fldCharType="begin"/>
        </w:r>
        <w:r>
          <w:instrText xml:space="preserve">PAGE   \* MERGEFORMAT</w:instrText>
        </w:r>
        <w:r>
          <w:fldChar w:fldCharType="separate"/>
        </w:r>
        <w:r>
          <w:rPr>
            <w:lang w:val="zh-CN"/>
          </w:rPr>
          <w:t xml:space="preserve">49</w:t>
        </w:r>
        <w:r>
          <w:fldChar w:fldCharType="end"/>
        </w:r>
        <w:r/>
      </w:p>
    </w:sdtContent>
  </w:sdt>
  <w:p>
    <w:pPr>
      <w:pStyle w:val="64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2"/>
    <w:next w:val="64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43"/>
    <w:link w:val="13"/>
    <w:uiPriority w:val="9"/>
    <w:pPr>
      <w:pBdr/>
      <w:spacing/>
      <w:ind/>
    </w:pPr>
    <w:rPr>
      <w:rFonts w:ascii="等线" w:hAnsi="等线" w:eastAsia="等线" w:cs="等线"/>
      <w:sz w:val="40"/>
      <w:szCs w:val="40"/>
    </w:rPr>
  </w:style>
  <w:style w:type="paragraph" w:styleId="15">
    <w:name w:val="Heading 2"/>
    <w:basedOn w:val="642"/>
    <w:next w:val="64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43"/>
    <w:link w:val="15"/>
    <w:uiPriority w:val="9"/>
    <w:pPr>
      <w:pBdr/>
      <w:spacing/>
      <w:ind/>
    </w:pPr>
    <w:rPr>
      <w:rFonts w:ascii="等线" w:hAnsi="等线" w:eastAsia="等线" w:cs="等线"/>
      <w:sz w:val="34"/>
    </w:rPr>
  </w:style>
  <w:style w:type="paragraph" w:styleId="17">
    <w:name w:val="Heading 3"/>
    <w:basedOn w:val="642"/>
    <w:next w:val="64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43"/>
    <w:link w:val="17"/>
    <w:uiPriority w:val="9"/>
    <w:pPr>
      <w:pBdr/>
      <w:spacing/>
      <w:ind/>
    </w:pPr>
    <w:rPr>
      <w:rFonts w:ascii="等线" w:hAnsi="等线" w:eastAsia="等线" w:cs="等线"/>
      <w:sz w:val="30"/>
      <w:szCs w:val="30"/>
    </w:rPr>
  </w:style>
  <w:style w:type="paragraph" w:styleId="19">
    <w:name w:val="Heading 4"/>
    <w:basedOn w:val="642"/>
    <w:next w:val="64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43"/>
    <w:link w:val="19"/>
    <w:uiPriority w:val="9"/>
    <w:pPr>
      <w:pBdr/>
      <w:spacing/>
      <w:ind/>
    </w:pPr>
    <w:rPr>
      <w:rFonts w:ascii="等线" w:hAnsi="等线" w:eastAsia="等线" w:cs="等线"/>
      <w:b/>
      <w:bCs/>
      <w:sz w:val="26"/>
      <w:szCs w:val="26"/>
    </w:rPr>
  </w:style>
  <w:style w:type="paragraph" w:styleId="21">
    <w:name w:val="Heading 5"/>
    <w:basedOn w:val="642"/>
    <w:next w:val="64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43"/>
    <w:link w:val="21"/>
    <w:uiPriority w:val="9"/>
    <w:pPr>
      <w:pBdr/>
      <w:spacing/>
      <w:ind/>
    </w:pPr>
    <w:rPr>
      <w:rFonts w:ascii="等线" w:hAnsi="等线" w:eastAsia="等线" w:cs="等线"/>
      <w:b/>
      <w:bCs/>
      <w:sz w:val="24"/>
      <w:szCs w:val="24"/>
    </w:rPr>
  </w:style>
  <w:style w:type="paragraph" w:styleId="23">
    <w:name w:val="Heading 6"/>
    <w:basedOn w:val="642"/>
    <w:next w:val="64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43"/>
    <w:link w:val="23"/>
    <w:uiPriority w:val="9"/>
    <w:pPr>
      <w:pBdr/>
      <w:spacing/>
      <w:ind/>
    </w:pPr>
    <w:rPr>
      <w:rFonts w:ascii="等线" w:hAnsi="等线" w:eastAsia="等线" w:cs="等线"/>
      <w:b/>
      <w:bCs/>
      <w:sz w:val="22"/>
      <w:szCs w:val="22"/>
    </w:rPr>
  </w:style>
  <w:style w:type="paragraph" w:styleId="25">
    <w:name w:val="Heading 7"/>
    <w:basedOn w:val="642"/>
    <w:next w:val="64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43"/>
    <w:link w:val="25"/>
    <w:uiPriority w:val="9"/>
    <w:pPr>
      <w:pBdr/>
      <w:spacing/>
      <w:ind/>
    </w:pPr>
    <w:rPr>
      <w:rFonts w:ascii="等线" w:hAnsi="等线" w:eastAsia="等线" w:cs="等线"/>
      <w:b/>
      <w:bCs/>
      <w:i/>
      <w:iCs/>
      <w:sz w:val="22"/>
      <w:szCs w:val="22"/>
    </w:rPr>
  </w:style>
  <w:style w:type="paragraph" w:styleId="27">
    <w:name w:val="Heading 8"/>
    <w:basedOn w:val="642"/>
    <w:next w:val="64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43"/>
    <w:link w:val="27"/>
    <w:uiPriority w:val="9"/>
    <w:pPr>
      <w:pBdr/>
      <w:spacing/>
      <w:ind/>
    </w:pPr>
    <w:rPr>
      <w:rFonts w:ascii="等线" w:hAnsi="等线" w:eastAsia="等线" w:cs="等线"/>
      <w:i/>
      <w:iCs/>
      <w:sz w:val="22"/>
      <w:szCs w:val="22"/>
    </w:rPr>
  </w:style>
  <w:style w:type="paragraph" w:styleId="29">
    <w:name w:val="Heading 9"/>
    <w:basedOn w:val="642"/>
    <w:next w:val="64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43"/>
    <w:link w:val="29"/>
    <w:uiPriority w:val="9"/>
    <w:pPr>
      <w:pBdr/>
      <w:spacing/>
      <w:ind/>
    </w:pPr>
    <w:rPr>
      <w:rFonts w:ascii="等线" w:hAnsi="等线" w:eastAsia="等线" w:cs="等线"/>
      <w:i/>
      <w:iCs/>
      <w:sz w:val="21"/>
      <w:szCs w:val="21"/>
    </w:rPr>
  </w:style>
  <w:style w:type="paragraph" w:styleId="31">
    <w:name w:val="List Paragraph"/>
    <w:basedOn w:val="64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42"/>
    <w:next w:val="642"/>
    <w:link w:val="35"/>
    <w:uiPriority w:val="10"/>
    <w:qFormat/>
    <w:pPr>
      <w:pBdr/>
      <w:spacing w:after="200" w:before="300"/>
      <w:ind/>
      <w:contextualSpacing w:val="true"/>
    </w:pPr>
    <w:rPr>
      <w:sz w:val="48"/>
      <w:szCs w:val="48"/>
    </w:rPr>
  </w:style>
  <w:style w:type="character" w:styleId="35">
    <w:name w:val="Title Char"/>
    <w:basedOn w:val="643"/>
    <w:link w:val="34"/>
    <w:uiPriority w:val="10"/>
    <w:pPr>
      <w:pBdr/>
      <w:spacing/>
      <w:ind/>
    </w:pPr>
    <w:rPr>
      <w:sz w:val="48"/>
      <w:szCs w:val="48"/>
    </w:rPr>
  </w:style>
  <w:style w:type="paragraph" w:styleId="36">
    <w:name w:val="Subtitle"/>
    <w:basedOn w:val="642"/>
    <w:next w:val="642"/>
    <w:link w:val="37"/>
    <w:uiPriority w:val="11"/>
    <w:qFormat/>
    <w:pPr>
      <w:pBdr/>
      <w:spacing w:after="200" w:before="200"/>
      <w:ind/>
    </w:pPr>
    <w:rPr>
      <w:sz w:val="24"/>
      <w:szCs w:val="24"/>
    </w:rPr>
  </w:style>
  <w:style w:type="character" w:styleId="37">
    <w:name w:val="Subtitle Char"/>
    <w:basedOn w:val="643"/>
    <w:link w:val="36"/>
    <w:uiPriority w:val="11"/>
    <w:pPr>
      <w:pBdr/>
      <w:spacing/>
      <w:ind/>
    </w:pPr>
    <w:rPr>
      <w:sz w:val="24"/>
      <w:szCs w:val="24"/>
    </w:rPr>
  </w:style>
  <w:style w:type="paragraph" w:styleId="38">
    <w:name w:val="Quote"/>
    <w:basedOn w:val="642"/>
    <w:next w:val="64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2"/>
    <w:next w:val="64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43"/>
    <w:link w:val="647"/>
    <w:uiPriority w:val="99"/>
    <w:pPr>
      <w:pBdr/>
      <w:spacing/>
      <w:ind/>
    </w:pPr>
  </w:style>
  <w:style w:type="character" w:styleId="45">
    <w:name w:val="Footer Char"/>
    <w:basedOn w:val="643"/>
    <w:link w:val="646"/>
    <w:uiPriority w:val="99"/>
    <w:pPr>
      <w:pBdr/>
      <w:spacing/>
      <w:ind/>
    </w:pPr>
  </w:style>
  <w:style w:type="paragraph" w:styleId="46">
    <w:name w:val="Caption"/>
    <w:basedOn w:val="642"/>
    <w:next w:val="64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46"/>
    <w:uiPriority w:val="99"/>
    <w:pPr>
      <w:pBdr/>
      <w:spacing/>
      <w:ind/>
    </w:pPr>
  </w:style>
  <w:style w:type="table" w:styleId="48">
    <w:name w:val="Table Grid"/>
    <w:basedOn w:val="64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4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4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4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4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43"/>
    <w:uiPriority w:val="99"/>
    <w:unhideWhenUsed/>
    <w:pPr>
      <w:pBdr/>
      <w:spacing/>
      <w:ind/>
    </w:pPr>
    <w:rPr>
      <w:vertAlign w:val="superscript"/>
    </w:rPr>
  </w:style>
  <w:style w:type="paragraph" w:styleId="178">
    <w:name w:val="endnote text"/>
    <w:basedOn w:val="64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43"/>
    <w:uiPriority w:val="99"/>
    <w:semiHidden/>
    <w:unhideWhenUsed/>
    <w:pPr>
      <w:pBdr/>
      <w:spacing/>
      <w:ind/>
    </w:pPr>
    <w:rPr>
      <w:vertAlign w:val="superscript"/>
    </w:rPr>
  </w:style>
  <w:style w:type="paragraph" w:styleId="181">
    <w:name w:val="toc 1"/>
    <w:basedOn w:val="642"/>
    <w:next w:val="642"/>
    <w:uiPriority w:val="39"/>
    <w:unhideWhenUsed/>
    <w:pPr>
      <w:pBdr/>
      <w:spacing w:after="57"/>
      <w:ind w:right="0" w:firstLine="0" w:left="0"/>
    </w:pPr>
  </w:style>
  <w:style w:type="paragraph" w:styleId="183">
    <w:name w:val="toc 3"/>
    <w:basedOn w:val="642"/>
    <w:next w:val="642"/>
    <w:uiPriority w:val="39"/>
    <w:unhideWhenUsed/>
    <w:pPr>
      <w:pBdr/>
      <w:spacing w:after="57"/>
      <w:ind w:right="0" w:firstLine="0" w:left="567"/>
    </w:pPr>
  </w:style>
  <w:style w:type="paragraph" w:styleId="185">
    <w:name w:val="toc 5"/>
    <w:basedOn w:val="642"/>
    <w:next w:val="642"/>
    <w:uiPriority w:val="39"/>
    <w:unhideWhenUsed/>
    <w:pPr>
      <w:pBdr/>
      <w:spacing w:after="57"/>
      <w:ind w:right="0" w:firstLine="0" w:left="1134"/>
    </w:pPr>
  </w:style>
  <w:style w:type="paragraph" w:styleId="186">
    <w:name w:val="toc 6"/>
    <w:basedOn w:val="642"/>
    <w:next w:val="642"/>
    <w:uiPriority w:val="39"/>
    <w:unhideWhenUsed/>
    <w:pPr>
      <w:pBdr/>
      <w:spacing w:after="57"/>
      <w:ind w:right="0" w:firstLine="0" w:left="1417"/>
    </w:pPr>
  </w:style>
  <w:style w:type="paragraph" w:styleId="187">
    <w:name w:val="toc 7"/>
    <w:basedOn w:val="642"/>
    <w:next w:val="642"/>
    <w:uiPriority w:val="39"/>
    <w:unhideWhenUsed/>
    <w:pPr>
      <w:pBdr/>
      <w:spacing w:after="57"/>
      <w:ind w:right="0" w:firstLine="0" w:left="1701"/>
    </w:pPr>
  </w:style>
  <w:style w:type="paragraph" w:styleId="188">
    <w:name w:val="toc 8"/>
    <w:basedOn w:val="642"/>
    <w:next w:val="642"/>
    <w:uiPriority w:val="39"/>
    <w:unhideWhenUsed/>
    <w:pPr>
      <w:pBdr/>
      <w:spacing w:after="57"/>
      <w:ind w:right="0" w:firstLine="0" w:left="1984"/>
    </w:pPr>
  </w:style>
  <w:style w:type="paragraph" w:styleId="189">
    <w:name w:val="toc 9"/>
    <w:basedOn w:val="642"/>
    <w:next w:val="64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2"/>
    <w:next w:val="642"/>
    <w:uiPriority w:val="99"/>
    <w:unhideWhenUsed/>
    <w:pPr>
      <w:pBdr/>
      <w:spacing w:after="0" w:afterAutospacing="0"/>
      <w:ind/>
    </w:pPr>
  </w:style>
  <w:style w:type="paragraph" w:styleId="642"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character" w:styleId="643" w:default="1">
    <w:name w:val="Default Paragraph Font"/>
    <w:uiPriority w:val="1"/>
    <w:semiHidden/>
    <w:unhideWhenUsed/>
    <w:pPr>
      <w:pBdr/>
      <w:spacing/>
      <w:ind/>
    </w:pPr>
  </w:style>
  <w:style w:type="table" w:styleId="644"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5">
    <w:name w:val="Balloon Text"/>
    <w:basedOn w:val="642"/>
    <w:link w:val="654"/>
    <w:uiPriority w:val="99"/>
    <w:semiHidden/>
    <w:unhideWhenUsed/>
    <w:qFormat/>
    <w:pPr>
      <w:pBdr/>
      <w:spacing/>
      <w:ind/>
    </w:pPr>
    <w:rPr>
      <w:sz w:val="18"/>
      <w:szCs w:val="18"/>
    </w:rPr>
  </w:style>
  <w:style w:type="paragraph" w:styleId="646">
    <w:name w:val="Footer"/>
    <w:basedOn w:val="642"/>
    <w:link w:val="653"/>
    <w:uiPriority w:val="99"/>
    <w:unhideWhenUsed/>
    <w:qFormat/>
    <w:pPr>
      <w:pBdr/>
      <w:tabs>
        <w:tab w:val="center" w:leader="none" w:pos="4153"/>
        <w:tab w:val="right" w:leader="none" w:pos="8306"/>
      </w:tabs>
      <w:spacing/>
      <w:ind/>
      <w:jc w:val="left"/>
    </w:pPr>
    <w:rPr>
      <w:sz w:val="18"/>
      <w:szCs w:val="18"/>
    </w:rPr>
  </w:style>
  <w:style w:type="paragraph" w:styleId="647">
    <w:name w:val="Header"/>
    <w:basedOn w:val="642"/>
    <w:link w:val="652"/>
    <w:uiPriority w:val="99"/>
    <w:unhideWhenUsed/>
    <w:qFormat/>
    <w:pPr>
      <w:pBdr>
        <w:bottom w:val="single" w:color="000000" w:sz="6" w:space="1"/>
      </w:pBdr>
      <w:tabs>
        <w:tab w:val="center" w:leader="none" w:pos="4153"/>
        <w:tab w:val="right" w:leader="none" w:pos="8306"/>
      </w:tabs>
      <w:spacing/>
      <w:ind/>
      <w:jc w:val="center"/>
    </w:pPr>
    <w:rPr>
      <w:sz w:val="18"/>
      <w:szCs w:val="18"/>
    </w:rPr>
  </w:style>
  <w:style w:type="paragraph" w:styleId="648">
    <w:name w:val="toc 4"/>
    <w:basedOn w:val="642"/>
    <w:next w:val="642"/>
    <w:uiPriority w:val="39"/>
    <w:unhideWhenUsed/>
    <w:qFormat/>
    <w:pPr>
      <w:pBdr/>
      <w:spacing/>
      <w:ind w:left="1260"/>
    </w:pPr>
    <w:rPr>
      <w:rFonts w:ascii="等线" w:hAnsi="等线" w:eastAsia="等线" w:cs="Times New Roman"/>
    </w:rPr>
  </w:style>
  <w:style w:type="paragraph" w:styleId="649">
    <w:name w:val="toc 2"/>
    <w:basedOn w:val="642"/>
    <w:next w:val="642"/>
    <w:uiPriority w:val="39"/>
    <w:unhideWhenUsed/>
    <w:qFormat/>
    <w:pPr>
      <w:pBdr/>
      <w:spacing/>
      <w:ind w:left="420"/>
    </w:pPr>
    <w:rPr>
      <w:rFonts w:ascii="等线" w:hAnsi="等线" w:eastAsia="等线" w:cs="Times New Roman"/>
    </w:rPr>
  </w:style>
  <w:style w:type="character" w:styleId="650">
    <w:name w:val="page number"/>
    <w:uiPriority w:val="99"/>
    <w:semiHidden/>
    <w:unhideWhenUsed/>
    <w:qFormat/>
    <w:pPr>
      <w:pBdr/>
      <w:spacing/>
      <w:ind/>
    </w:pPr>
  </w:style>
  <w:style w:type="character" w:styleId="651">
    <w:name w:val="Hyperlink"/>
    <w:uiPriority w:val="99"/>
    <w:unhideWhenUsed/>
    <w:qFormat/>
    <w:pPr>
      <w:pBdr/>
      <w:spacing/>
      <w:ind/>
    </w:pPr>
    <w:rPr>
      <w:color w:val="0563c1"/>
      <w:u w:val="single"/>
    </w:rPr>
  </w:style>
  <w:style w:type="character" w:styleId="652" w:customStyle="1">
    <w:name w:val="页眉 Char"/>
    <w:basedOn w:val="643"/>
    <w:link w:val="647"/>
    <w:uiPriority w:val="99"/>
    <w:qFormat/>
    <w:pPr>
      <w:pBdr/>
      <w:spacing/>
      <w:ind/>
    </w:pPr>
    <w:rPr>
      <w:sz w:val="18"/>
      <w:szCs w:val="18"/>
    </w:rPr>
  </w:style>
  <w:style w:type="character" w:styleId="653" w:customStyle="1">
    <w:name w:val="页脚 Char"/>
    <w:basedOn w:val="643"/>
    <w:link w:val="646"/>
    <w:uiPriority w:val="99"/>
    <w:qFormat/>
    <w:pPr>
      <w:pBdr/>
      <w:spacing/>
      <w:ind/>
    </w:pPr>
    <w:rPr>
      <w:sz w:val="18"/>
      <w:szCs w:val="18"/>
    </w:rPr>
  </w:style>
  <w:style w:type="character" w:styleId="654" w:customStyle="1">
    <w:name w:val="批注框文本 Char"/>
    <w:basedOn w:val="643"/>
    <w:link w:val="645"/>
    <w:uiPriority w:val="99"/>
    <w:semiHidden/>
    <w:qFormat/>
    <w:pPr>
      <w:pBdr/>
      <w:spacing/>
      <w:ind/>
    </w:pPr>
    <w:rPr>
      <w:sz w:val="18"/>
      <w:szCs w:val="18"/>
    </w:rPr>
  </w:style>
  <w:style w:type="character" w:styleId="655" w:customStyle="1">
    <w:name w:val="页眉 字符"/>
    <w:uiPriority w:val="99"/>
    <w:qFormat/>
    <w:pPr>
      <w:pBdr/>
      <w:spacing/>
      <w:ind/>
    </w:pPr>
    <w:rPr>
      <w:sz w:val="18"/>
      <w:szCs w:val="18"/>
    </w:rPr>
  </w:style>
  <w:style w:type="character" w:styleId="656" w:customStyle="1">
    <w:name w:val="页脚 字符"/>
    <w:uiPriority w:val="99"/>
    <w:qFormat/>
    <w:pPr>
      <w:pBdr/>
      <w:spacing/>
      <w:ind/>
    </w:pPr>
    <w:rPr>
      <w:sz w:val="18"/>
      <w:szCs w:val="18"/>
    </w:rPr>
  </w:style>
  <w:style w:type="numbering" w:styleId="2544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7E24-189C-404B-85CF-AE650C754B8B}"/>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匿名</cp:lastModifiedBy>
  <cp:revision>194</cp:revision>
  <dcterms:created xsi:type="dcterms:W3CDTF">2019-02-15T06:58:00Z</dcterms:created>
  <dcterms:modified xsi:type="dcterms:W3CDTF">2025-05-12T02:08:01Z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584FA250D6114E1F9BDE051E32232BB0_13</vt:lpwstr>
  </property>
</Properties>
</file>