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rPr>
          <w:lang w:eastAsia="zh-CN"/>
        </w:rPr>
      </w:pP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5"/>
        <w:tabs>
          <w:tab w:val="right" w:leader="dot" w:pos="14562"/>
        </w:tabs>
        <w:rPr>
          <w:rFonts w:ascii="仿宋_GB2312" w:eastAsia="仿宋_GB2312"/>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ascii="仿宋_GB2312" w:eastAsia="仿宋_GB2312"/>
          <w:lang w:eastAsia="zh-CN"/>
        </w:rPr>
        <w:t>单位</w:t>
      </w:r>
      <w:r>
        <w:rPr>
          <w:rFonts w:hint="eastAsia" w:ascii="仿宋_GB2312" w:eastAsia="仿宋_GB2312"/>
        </w:rPr>
        <w:t>预算收</w:t>
      </w:r>
      <w:r>
        <w:rPr>
          <w:rFonts w:hint="eastAsia" w:ascii="仿宋_GB2312" w:eastAsia="仿宋_GB2312"/>
          <w:lang w:eastAsia="zh-CN"/>
        </w:rPr>
        <w:t>支</w:t>
      </w:r>
      <w:r>
        <w:rPr>
          <w:rFonts w:hint="eastAsia" w:ascii="仿宋_GB2312" w:eastAsia="仿宋_GB2312"/>
        </w:rPr>
        <w:t>总表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PAGEREF _Toc_2_2_0000000001 \h</w:instrText>
      </w:r>
      <w:r>
        <w:rPr>
          <w:rFonts w:hint="eastAsia" w:ascii="仿宋_GB2312" w:eastAsia="仿宋_GB2312"/>
        </w:rPr>
        <w:fldChar w:fldCharType="separate"/>
      </w:r>
      <w:r>
        <w:rPr>
          <w:rFonts w:hint="default"/>
          <w:b/>
          <w:lang w:val="en-US"/>
        </w:rPr>
        <w:t>3</w:t>
      </w:r>
      <w:r>
        <w:rPr>
          <w:rFonts w:hint="eastAsia" w:ascii="仿宋_GB2312" w:eastAsia="仿宋_GB2312"/>
        </w:rPr>
        <w:fldChar w:fldCharType="end"/>
      </w:r>
      <w:r>
        <w:rPr>
          <w:rFonts w:hint="eastAsia" w:ascii="仿宋_GB2312" w:eastAsia="仿宋_GB2312"/>
        </w:rPr>
        <w:fldChar w:fldCharType="end"/>
      </w:r>
    </w:p>
    <w:p>
      <w:pPr>
        <w:pStyle w:val="5"/>
        <w:tabs>
          <w:tab w:val="right" w:leader="dot" w:pos="14562"/>
        </w:tabs>
        <w:rPr>
          <w:rFonts w:ascii="仿宋_GB2312" w:eastAsia="仿宋_GB2312"/>
        </w:rPr>
      </w:pPr>
      <w:r>
        <w:fldChar w:fldCharType="begin"/>
      </w:r>
      <w:r>
        <w:instrText xml:space="preserve"> HYPERLINK \l "_Toc_2_2_0000000002" </w:instrText>
      </w:r>
      <w:r>
        <w:fldChar w:fldCharType="separate"/>
      </w:r>
      <w:r>
        <w:rPr>
          <w:rFonts w:hint="eastAsia" w:ascii="仿宋_GB2312" w:eastAsia="仿宋_GB2312"/>
          <w:lang w:eastAsia="zh-CN"/>
        </w:rPr>
        <w:t>单位</w:t>
      </w:r>
      <w:r>
        <w:rPr>
          <w:rFonts w:hint="eastAsia" w:ascii="仿宋_GB2312" w:eastAsia="仿宋_GB2312"/>
        </w:rPr>
        <w:t>预算收入总表</w:t>
      </w:r>
      <w:r>
        <w:rPr>
          <w:rFonts w:hint="eastAsia" w:ascii="仿宋_GB2312" w:eastAsia="仿宋_GB2312"/>
        </w:rPr>
        <w:tab/>
      </w:r>
      <w:r>
        <w:rPr>
          <w:rFonts w:hint="default" w:ascii="仿宋_GB2312" w:eastAsia="仿宋_GB2312"/>
          <w:lang w:val="en-US"/>
        </w:rPr>
        <w:t>5</w:t>
      </w:r>
      <w:r>
        <w:rPr>
          <w:rFonts w:hint="eastAsia" w:ascii="仿宋_GB2312" w:eastAsia="仿宋_GB2312"/>
        </w:rPr>
        <w:fldChar w:fldCharType="end"/>
      </w:r>
    </w:p>
    <w:p>
      <w:pPr>
        <w:pStyle w:val="5"/>
        <w:tabs>
          <w:tab w:val="right" w:leader="dot" w:pos="14562"/>
        </w:tabs>
        <w:rPr>
          <w:rFonts w:ascii="仿宋_GB2312" w:eastAsia="仿宋_GB2312"/>
        </w:rPr>
      </w:pPr>
      <w:r>
        <w:fldChar w:fldCharType="begin"/>
      </w:r>
      <w:r>
        <w:instrText xml:space="preserve"> HYPERLINK \l "_Toc_2_2_0000000003" </w:instrText>
      </w:r>
      <w:r>
        <w:fldChar w:fldCharType="separate"/>
      </w:r>
      <w:r>
        <w:rPr>
          <w:rFonts w:hint="eastAsia" w:ascii="仿宋_GB2312" w:eastAsia="仿宋_GB2312"/>
          <w:lang w:eastAsia="zh-CN"/>
        </w:rPr>
        <w:t>单位</w:t>
      </w:r>
      <w:r>
        <w:rPr>
          <w:rFonts w:hint="eastAsia" w:ascii="仿宋_GB2312" w:eastAsia="仿宋_GB2312"/>
        </w:rPr>
        <w:t>预算支出总表</w:t>
      </w:r>
      <w:r>
        <w:rPr>
          <w:rFonts w:hint="eastAsia" w:ascii="仿宋_GB2312" w:eastAsia="仿宋_GB2312"/>
        </w:rPr>
        <w:tab/>
      </w:r>
      <w:r>
        <w:rPr>
          <w:rFonts w:hint="default" w:ascii="仿宋_GB2312" w:eastAsia="仿宋_GB2312"/>
          <w:lang w:val="en-US" w:eastAsia="zh-CN"/>
        </w:rPr>
        <w:t>7</w:t>
      </w:r>
      <w:r>
        <w:rPr>
          <w:rFonts w:hint="eastAsia" w:ascii="仿宋_GB2312" w:eastAsia="仿宋_GB2312"/>
          <w:lang w:eastAsia="zh-CN"/>
        </w:rPr>
        <w:fldChar w:fldCharType="end"/>
      </w:r>
    </w:p>
    <w:p>
      <w:pPr>
        <w:pStyle w:val="5"/>
        <w:tabs>
          <w:tab w:val="right" w:leader="dot" w:pos="14562"/>
        </w:tabs>
        <w:rPr>
          <w:rFonts w:hint="default" w:ascii="仿宋_GB2312" w:eastAsia="仿宋_GB2312"/>
          <w:lang w:val="en-US"/>
        </w:rPr>
      </w:pPr>
      <w:r>
        <w:fldChar w:fldCharType="begin"/>
      </w:r>
      <w:r>
        <w:instrText xml:space="preserve"> HYPERLINK \l "_Toc_2_2_0000000004" </w:instrText>
      </w:r>
      <w:r>
        <w:fldChar w:fldCharType="separate"/>
      </w:r>
      <w:r>
        <w:rPr>
          <w:rFonts w:hint="eastAsia" w:ascii="仿宋_GB2312" w:eastAsia="仿宋_GB2312"/>
          <w:lang w:eastAsia="zh-CN"/>
        </w:rPr>
        <w:t>单位</w:t>
      </w:r>
      <w:r>
        <w:rPr>
          <w:rFonts w:hint="eastAsia" w:ascii="仿宋_GB2312" w:eastAsia="仿宋_GB2312"/>
        </w:rPr>
        <w:t>预算财政拨款收支总表</w:t>
      </w:r>
      <w:r>
        <w:rPr>
          <w:rFonts w:hint="eastAsia" w:ascii="仿宋_GB2312" w:eastAsia="仿宋_GB2312"/>
        </w:rPr>
        <w:tab/>
      </w:r>
      <w:r>
        <w:rPr>
          <w:rFonts w:hint="eastAsia" w:ascii="仿宋_GB2312" w:eastAsia="仿宋_GB2312"/>
          <w:lang w:eastAsia="zh-CN"/>
        </w:rPr>
        <w:fldChar w:fldCharType="end"/>
      </w:r>
      <w:r>
        <w:rPr>
          <w:rFonts w:hint="default" w:ascii="仿宋_GB2312" w:eastAsia="仿宋_GB2312"/>
          <w:lang w:val="en-US" w:eastAsia="zh-CN"/>
        </w:rPr>
        <w:t>8</w:t>
      </w:r>
    </w:p>
    <w:p>
      <w:pPr>
        <w:pStyle w:val="5"/>
        <w:tabs>
          <w:tab w:val="right" w:leader="dot" w:pos="14562"/>
        </w:tabs>
        <w:rPr>
          <w:rFonts w:hint="default" w:ascii="仿宋_GB2312" w:eastAsia="仿宋_GB2312"/>
          <w:lang w:val="en-US"/>
        </w:rPr>
      </w:pPr>
      <w:r>
        <w:fldChar w:fldCharType="begin"/>
      </w:r>
      <w:r>
        <w:instrText xml:space="preserve"> HYPERLINK \l "_Toc_2_2_0000000005" </w:instrText>
      </w:r>
      <w:r>
        <w:fldChar w:fldCharType="separate"/>
      </w:r>
      <w:r>
        <w:rPr>
          <w:rFonts w:hint="eastAsia" w:ascii="仿宋_GB2312" w:eastAsia="仿宋_GB2312"/>
          <w:lang w:eastAsia="zh-CN"/>
        </w:rPr>
        <w:t>单位</w:t>
      </w:r>
      <w:r>
        <w:rPr>
          <w:rFonts w:hint="eastAsia" w:ascii="仿宋_GB2312" w:eastAsia="仿宋_GB2312"/>
        </w:rPr>
        <w:t>预算一般公共预算财政拨款支出表</w:t>
      </w:r>
      <w:r>
        <w:rPr>
          <w:rFonts w:hint="eastAsia" w:ascii="仿宋_GB2312" w:eastAsia="仿宋_GB2312"/>
        </w:rPr>
        <w:tab/>
      </w:r>
      <w:r>
        <w:rPr>
          <w:rFonts w:hint="default" w:ascii="仿宋_GB2312" w:eastAsia="仿宋_GB2312"/>
          <w:lang w:val="en-US" w:eastAsia="zh-CN"/>
        </w:rPr>
        <w:t>1</w:t>
      </w:r>
      <w:r>
        <w:rPr>
          <w:rFonts w:hint="eastAsia" w:ascii="仿宋_GB2312" w:eastAsia="仿宋_GB2312"/>
          <w:lang w:eastAsia="zh-CN"/>
        </w:rPr>
        <w:fldChar w:fldCharType="end"/>
      </w:r>
      <w:r>
        <w:rPr>
          <w:rFonts w:hint="default" w:ascii="仿宋_GB2312" w:eastAsia="仿宋_GB2312"/>
          <w:lang w:val="en-US" w:eastAsia="zh-CN"/>
        </w:rPr>
        <w:t>0</w:t>
      </w:r>
    </w:p>
    <w:p>
      <w:pPr>
        <w:pStyle w:val="5"/>
        <w:tabs>
          <w:tab w:val="right" w:leader="dot" w:pos="14562"/>
        </w:tabs>
        <w:rPr>
          <w:rFonts w:ascii="仿宋_GB2312" w:eastAsia="仿宋_GB2312"/>
          <w:lang w:eastAsia="zh-CN"/>
        </w:rPr>
      </w:pPr>
      <w:r>
        <w:fldChar w:fldCharType="begin"/>
      </w:r>
      <w:r>
        <w:instrText xml:space="preserve"> HYPERLINK \l "_Toc_2_2_0000000006" </w:instrText>
      </w:r>
      <w:r>
        <w:fldChar w:fldCharType="separate"/>
      </w:r>
      <w:r>
        <w:rPr>
          <w:rFonts w:hint="eastAsia" w:ascii="仿宋_GB2312" w:eastAsia="仿宋_GB2312"/>
          <w:lang w:eastAsia="zh-CN"/>
        </w:rPr>
        <w:t>单位</w:t>
      </w:r>
      <w:r>
        <w:rPr>
          <w:rFonts w:hint="eastAsia" w:ascii="仿宋_GB2312" w:eastAsia="仿宋_GB2312"/>
        </w:rPr>
        <w:t>预算一般公共预算财政拨款基本支出表</w:t>
      </w:r>
      <w:r>
        <w:rPr>
          <w:rFonts w:hint="eastAsia" w:ascii="仿宋_GB2312" w:eastAsia="仿宋_GB2312"/>
        </w:rPr>
        <w:tab/>
      </w:r>
      <w:r>
        <w:rPr>
          <w:rFonts w:hint="eastAsia" w:ascii="仿宋_GB2312" w:eastAsia="仿宋_GB2312"/>
          <w:lang w:eastAsia="zh-CN"/>
        </w:rPr>
        <w:t>1</w:t>
      </w:r>
      <w:r>
        <w:rPr>
          <w:rFonts w:hint="default" w:ascii="仿宋_GB2312" w:eastAsia="仿宋_GB2312"/>
          <w:lang w:val="en-US" w:eastAsia="zh-CN"/>
        </w:rPr>
        <w:t>1</w:t>
      </w:r>
      <w:r>
        <w:rPr>
          <w:rFonts w:hint="eastAsia" w:ascii="仿宋_GB2312" w:eastAsia="仿宋_GB2312"/>
          <w:lang w:eastAsia="zh-CN"/>
        </w:rPr>
        <w:fldChar w:fldCharType="end"/>
      </w:r>
    </w:p>
    <w:p>
      <w:pPr>
        <w:pStyle w:val="5"/>
        <w:tabs>
          <w:tab w:val="right" w:leader="dot" w:pos="14562"/>
        </w:tabs>
        <w:rPr>
          <w:rFonts w:ascii="仿宋_GB2312" w:eastAsia="仿宋_GB2312"/>
          <w:lang w:eastAsia="zh-CN"/>
        </w:rPr>
      </w:pPr>
      <w:r>
        <w:fldChar w:fldCharType="begin"/>
      </w:r>
      <w:r>
        <w:instrText xml:space="preserve"> HYPERLINK \l "_Toc_2_2_0000000007" </w:instrText>
      </w:r>
      <w:r>
        <w:fldChar w:fldCharType="separate"/>
      </w:r>
      <w:r>
        <w:rPr>
          <w:rFonts w:hint="eastAsia" w:ascii="仿宋_GB2312" w:eastAsia="仿宋_GB2312"/>
          <w:lang w:eastAsia="zh-CN"/>
        </w:rPr>
        <w:t>单位</w:t>
      </w:r>
      <w:r>
        <w:rPr>
          <w:rFonts w:hint="eastAsia" w:ascii="仿宋_GB2312" w:eastAsia="仿宋_GB2312"/>
        </w:rPr>
        <w:t>预算政府基金预算财政拨款支出表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PAGEREF _Toc_2_2_0000000007 \h</w:instrText>
      </w:r>
      <w:r>
        <w:rPr>
          <w:rFonts w:hint="eastAsia" w:ascii="仿宋_GB2312" w:eastAsia="仿宋_GB2312"/>
        </w:rPr>
        <w:fldChar w:fldCharType="separate"/>
      </w:r>
      <w:r>
        <w:rPr>
          <w:rFonts w:hint="eastAsia" w:ascii="仿宋_GB2312" w:eastAsia="仿宋_GB2312"/>
        </w:rPr>
        <w:t>13</w:t>
      </w:r>
      <w:r>
        <w:rPr>
          <w:rFonts w:hint="eastAsia" w:ascii="仿宋_GB2312" w:eastAsia="仿宋_GB2312"/>
        </w:rPr>
        <w:fldChar w:fldCharType="end"/>
      </w:r>
      <w:r>
        <w:rPr>
          <w:rFonts w:hint="eastAsia" w:ascii="仿宋_GB2312" w:eastAsia="仿宋_GB2312"/>
        </w:rPr>
        <w:fldChar w:fldCharType="end"/>
      </w:r>
    </w:p>
    <w:p>
      <w:pPr>
        <w:pStyle w:val="5"/>
        <w:tabs>
          <w:tab w:val="right" w:leader="dot" w:pos="14562"/>
        </w:tabs>
        <w:rPr>
          <w:rFonts w:ascii="仿宋_GB2312" w:eastAsia="仿宋_GB2312"/>
          <w:lang w:eastAsia="zh-CN"/>
        </w:rPr>
      </w:pPr>
      <w:r>
        <w:fldChar w:fldCharType="begin"/>
      </w:r>
      <w:r>
        <w:instrText xml:space="preserve"> HYPERLINK \l "_Toc_2_2_0000000008" </w:instrText>
      </w:r>
      <w:r>
        <w:fldChar w:fldCharType="separate"/>
      </w:r>
      <w:r>
        <w:rPr>
          <w:rFonts w:hint="eastAsia" w:ascii="仿宋_GB2312" w:eastAsia="仿宋_GB2312"/>
          <w:lang w:eastAsia="zh-CN"/>
        </w:rPr>
        <w:t>单位</w:t>
      </w:r>
      <w:r>
        <w:rPr>
          <w:rFonts w:hint="eastAsia" w:ascii="仿宋_GB2312" w:eastAsia="仿宋_GB2312"/>
        </w:rPr>
        <w:t>预算国有资本经营预算财政拨款支出表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PAGEREF _Toc_2_2_0000000008 \h</w:instrText>
      </w:r>
      <w:r>
        <w:rPr>
          <w:rFonts w:hint="eastAsia" w:ascii="仿宋_GB2312" w:eastAsia="仿宋_GB2312"/>
        </w:rPr>
        <w:fldChar w:fldCharType="separate"/>
      </w:r>
      <w:r>
        <w:rPr>
          <w:rFonts w:hint="eastAsia" w:ascii="仿宋_GB2312" w:eastAsia="仿宋_GB2312"/>
        </w:rPr>
        <w:t>14</w:t>
      </w:r>
      <w:r>
        <w:rPr>
          <w:rFonts w:hint="eastAsia" w:ascii="仿宋_GB2312" w:eastAsia="仿宋_GB2312"/>
        </w:rPr>
        <w:fldChar w:fldCharType="end"/>
      </w:r>
      <w:r>
        <w:rPr>
          <w:rFonts w:hint="eastAsia" w:ascii="仿宋_GB2312" w:eastAsia="仿宋_GB2312"/>
        </w:rPr>
        <w:fldChar w:fldCharType="end"/>
      </w:r>
    </w:p>
    <w:p>
      <w:pPr>
        <w:pStyle w:val="5"/>
        <w:tabs>
          <w:tab w:val="right" w:leader="dot" w:pos="14562"/>
        </w:tabs>
        <w:rPr>
          <w:lang w:eastAsia="zh-CN"/>
        </w:rPr>
      </w:pPr>
      <w:r>
        <w:fldChar w:fldCharType="begin"/>
      </w:r>
      <w:r>
        <w:instrText xml:space="preserve"> HYPERLINK \l "_Toc_2_2_0000000009" </w:instrText>
      </w:r>
      <w:r>
        <w:fldChar w:fldCharType="separate"/>
      </w:r>
      <w:r>
        <w:rPr>
          <w:rFonts w:hint="eastAsia" w:ascii="仿宋_GB2312" w:eastAsia="仿宋_GB2312"/>
          <w:lang w:eastAsia="zh-CN"/>
        </w:rPr>
        <w:t>单位</w:t>
      </w:r>
      <w:r>
        <w:rPr>
          <w:rFonts w:hint="eastAsia" w:ascii="仿宋_GB2312" w:eastAsia="仿宋_GB2312"/>
        </w:rPr>
        <w:t>预算财政拨款“三公”经费支出表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PAGEREF _Toc_2_2_0000000009 \h</w:instrText>
      </w:r>
      <w:r>
        <w:rPr>
          <w:rFonts w:hint="eastAsia" w:ascii="仿宋_GB2312" w:eastAsia="仿宋_GB2312"/>
        </w:rPr>
        <w:fldChar w:fldCharType="separate"/>
      </w:r>
      <w:r>
        <w:rPr>
          <w:rFonts w:hint="eastAsia" w:ascii="仿宋_GB2312" w:eastAsia="仿宋_GB2312"/>
        </w:rPr>
        <w:t>15</w:t>
      </w:r>
      <w:r>
        <w:rPr>
          <w:rFonts w:hint="eastAsia" w:ascii="仿宋_GB2312" w:eastAsia="仿宋_GB2312"/>
        </w:rPr>
        <w:fldChar w:fldCharType="end"/>
      </w:r>
      <w:r>
        <w:rPr>
          <w:rFonts w:hint="eastAsia" w:ascii="仿宋_GB2312" w:eastAsia="仿宋_GB2312"/>
        </w:rP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rPr>
          <w:rFonts w:ascii="仿宋_GB2312" w:eastAsia="仿宋_GB2312"/>
          <w:lang w:eastAsia="zh-CN"/>
        </w:rPr>
      </w:pPr>
      <w:r>
        <w:rPr>
          <w:rFonts w:hint="eastAsia" w:ascii="仿宋_GB2312" w:eastAsia="仿宋_GB2312"/>
        </w:rPr>
        <w:fldChar w:fldCharType="begin"/>
      </w:r>
      <w:r>
        <w:rPr>
          <w:rFonts w:hint="eastAsia" w:ascii="仿宋_GB2312" w:eastAsia="仿宋_GB2312"/>
        </w:rPr>
        <w:instrText xml:space="preserve">TOC \o "3-3" \h \z \u</w:instrText>
      </w:r>
      <w:r>
        <w:rPr>
          <w:rFonts w:hint="eastAsia" w:ascii="仿宋_GB2312" w:eastAsia="仿宋_GB2312"/>
        </w:rPr>
        <w:fldChar w:fldCharType="separate"/>
      </w:r>
      <w:r>
        <w:fldChar w:fldCharType="begin"/>
      </w:r>
      <w:r>
        <w:instrText xml:space="preserve"> HYPERLINK \l "_Toc_3_3_0000000010" </w:instrText>
      </w:r>
      <w:r>
        <w:fldChar w:fldCharType="separate"/>
      </w:r>
      <w:r>
        <w:rPr>
          <w:rFonts w:hint="eastAsia" w:ascii="仿宋_GB2312" w:eastAsia="仿宋_GB2312"/>
        </w:rPr>
        <w:t>一、</w:t>
      </w:r>
      <w:r>
        <w:rPr>
          <w:rFonts w:hint="eastAsia" w:ascii="仿宋_GB2312" w:eastAsia="仿宋_GB2312"/>
          <w:lang w:eastAsia="zh-CN"/>
        </w:rPr>
        <w:t>单位</w:t>
      </w:r>
      <w:r>
        <w:rPr>
          <w:rFonts w:hint="eastAsia" w:ascii="仿宋_GB2312" w:eastAsia="仿宋_GB2312"/>
        </w:rPr>
        <w:t>职责及机构设置情况</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PAGEREF _Toc_3_3_0000000010 \h</w:instrText>
      </w:r>
      <w:r>
        <w:rPr>
          <w:rFonts w:hint="eastAsia" w:ascii="仿宋_GB2312" w:eastAsia="仿宋_GB2312"/>
        </w:rPr>
        <w:fldChar w:fldCharType="separate"/>
      </w:r>
      <w:r>
        <w:rPr>
          <w:rFonts w:hint="eastAsia" w:ascii="仿宋_GB2312" w:eastAsia="仿宋_GB2312"/>
        </w:rPr>
        <w:t>16</w:t>
      </w:r>
      <w:r>
        <w:rPr>
          <w:rFonts w:hint="eastAsia" w:ascii="仿宋_GB2312" w:eastAsia="仿宋_GB2312"/>
        </w:rPr>
        <w:fldChar w:fldCharType="end"/>
      </w:r>
      <w:r>
        <w:rPr>
          <w:rFonts w:hint="eastAsia" w:ascii="仿宋_GB2312" w:eastAsia="仿宋_GB2312"/>
        </w:rPr>
        <w:fldChar w:fldCharType="end"/>
      </w:r>
    </w:p>
    <w:p>
      <w:pPr>
        <w:pStyle w:val="5"/>
        <w:tabs>
          <w:tab w:val="right" w:leader="dot" w:pos="14562"/>
        </w:tabs>
        <w:rPr>
          <w:rFonts w:ascii="仿宋_GB2312" w:eastAsia="仿宋_GB2312"/>
          <w:lang w:eastAsia="zh-CN"/>
        </w:rPr>
      </w:pPr>
      <w:r>
        <w:fldChar w:fldCharType="begin"/>
      </w:r>
      <w:r>
        <w:instrText xml:space="preserve"> HYPERLINK \l "_Toc_3_3_0000000011" </w:instrText>
      </w:r>
      <w:r>
        <w:fldChar w:fldCharType="separate"/>
      </w:r>
      <w:r>
        <w:rPr>
          <w:rFonts w:hint="eastAsia" w:ascii="仿宋_GB2312" w:eastAsia="仿宋_GB2312"/>
        </w:rPr>
        <w:t>二、</w:t>
      </w:r>
      <w:r>
        <w:rPr>
          <w:rFonts w:hint="eastAsia" w:ascii="仿宋_GB2312" w:eastAsia="仿宋_GB2312"/>
          <w:lang w:eastAsia="zh-CN"/>
        </w:rPr>
        <w:t>单位</w:t>
      </w:r>
      <w:r>
        <w:rPr>
          <w:rFonts w:hint="eastAsia" w:ascii="仿宋_GB2312" w:eastAsia="仿宋_GB2312"/>
        </w:rPr>
        <w:t>预算安排的总体情况</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PAGEREF _Toc_3_3_0000000011 \h</w:instrText>
      </w:r>
      <w:r>
        <w:rPr>
          <w:rFonts w:hint="eastAsia" w:ascii="仿宋_GB2312" w:eastAsia="仿宋_GB2312"/>
        </w:rPr>
        <w:fldChar w:fldCharType="separate"/>
      </w:r>
      <w:r>
        <w:rPr>
          <w:rFonts w:hint="eastAsia" w:ascii="仿宋_GB2312" w:eastAsia="仿宋_GB2312"/>
        </w:rPr>
        <w:t>18</w:t>
      </w:r>
      <w:r>
        <w:rPr>
          <w:rFonts w:hint="eastAsia" w:ascii="仿宋_GB2312" w:eastAsia="仿宋_GB2312"/>
        </w:rPr>
        <w:fldChar w:fldCharType="end"/>
      </w:r>
      <w:r>
        <w:rPr>
          <w:rFonts w:hint="eastAsia" w:ascii="仿宋_GB2312" w:eastAsia="仿宋_GB2312"/>
        </w:rPr>
        <w:fldChar w:fldCharType="end"/>
      </w:r>
    </w:p>
    <w:p>
      <w:pPr>
        <w:pStyle w:val="5"/>
        <w:tabs>
          <w:tab w:val="right" w:leader="dot" w:pos="14562"/>
        </w:tabs>
        <w:rPr>
          <w:rFonts w:hint="default" w:ascii="仿宋_GB2312" w:eastAsia="仿宋_GB2312"/>
          <w:lang w:val="en-US"/>
        </w:rPr>
      </w:pPr>
      <w:r>
        <w:fldChar w:fldCharType="begin"/>
      </w:r>
      <w:r>
        <w:instrText xml:space="preserve"> HYPERLINK \l "_Toc_3_3_0000000012" </w:instrText>
      </w:r>
      <w:r>
        <w:fldChar w:fldCharType="separate"/>
      </w:r>
      <w:r>
        <w:rPr>
          <w:rFonts w:hint="eastAsia" w:ascii="仿宋_GB2312" w:eastAsia="仿宋_GB2312"/>
        </w:rPr>
        <w:t>三、机关运行经费安排情况</w:t>
      </w:r>
      <w:r>
        <w:rPr>
          <w:rFonts w:hint="eastAsia" w:ascii="仿宋_GB2312" w:eastAsia="仿宋_GB2312"/>
        </w:rPr>
        <w:tab/>
      </w:r>
      <w:r>
        <w:rPr>
          <w:rFonts w:hint="default" w:ascii="仿宋_GB2312" w:eastAsia="仿宋_GB2312"/>
          <w:lang w:val="en-US"/>
        </w:rPr>
        <w:t>1</w:t>
      </w:r>
      <w:r>
        <w:rPr>
          <w:rFonts w:hint="eastAsia" w:ascii="仿宋_GB2312" w:eastAsia="仿宋_GB2312"/>
        </w:rPr>
        <w:fldChar w:fldCharType="end"/>
      </w:r>
      <w:r>
        <w:rPr>
          <w:rFonts w:hint="default" w:ascii="仿宋_GB2312" w:eastAsia="仿宋_GB2312"/>
          <w:lang w:val="en-US"/>
        </w:rPr>
        <w:t>8</w:t>
      </w:r>
    </w:p>
    <w:p>
      <w:pPr>
        <w:pStyle w:val="5"/>
        <w:tabs>
          <w:tab w:val="right" w:leader="dot" w:pos="14562"/>
        </w:tabs>
        <w:rPr>
          <w:rFonts w:hint="default" w:ascii="仿宋_GB2312" w:eastAsia="仿宋_GB2312"/>
          <w:lang w:val="en-US"/>
        </w:rPr>
      </w:pPr>
      <w:r>
        <w:fldChar w:fldCharType="begin"/>
      </w:r>
      <w:r>
        <w:instrText xml:space="preserve"> HYPERLINK \l "_Toc_3_3_0000000013" </w:instrText>
      </w:r>
      <w:r>
        <w:fldChar w:fldCharType="separate"/>
      </w:r>
      <w:r>
        <w:rPr>
          <w:rFonts w:hint="eastAsia" w:ascii="仿宋_GB2312" w:eastAsia="仿宋_GB2312"/>
        </w:rPr>
        <w:t>四、财政拨款“三公”经费预算情况及增减变化原因</w:t>
      </w:r>
      <w:r>
        <w:rPr>
          <w:rFonts w:hint="eastAsia" w:ascii="仿宋_GB2312" w:eastAsia="仿宋_GB2312"/>
        </w:rPr>
        <w:tab/>
      </w:r>
      <w:r>
        <w:rPr>
          <w:rFonts w:hint="default" w:ascii="仿宋_GB2312" w:eastAsia="仿宋_GB2312"/>
          <w:lang w:val="en-US"/>
        </w:rPr>
        <w:t>1</w:t>
      </w:r>
      <w:r>
        <w:rPr>
          <w:rFonts w:hint="eastAsia" w:ascii="仿宋_GB2312" w:eastAsia="仿宋_GB2312"/>
        </w:rPr>
        <w:fldChar w:fldCharType="end"/>
      </w:r>
      <w:r>
        <w:rPr>
          <w:rFonts w:hint="default" w:ascii="仿宋_GB2312" w:eastAsia="仿宋_GB2312"/>
          <w:lang w:val="en-US"/>
        </w:rPr>
        <w:t>9</w:t>
      </w:r>
    </w:p>
    <w:p>
      <w:pPr>
        <w:pStyle w:val="5"/>
        <w:tabs>
          <w:tab w:val="right" w:leader="dot" w:pos="14562"/>
        </w:tabs>
        <w:rPr>
          <w:rFonts w:hint="default" w:ascii="仿宋_GB2312" w:eastAsia="仿宋_GB2312"/>
          <w:lang w:val="en-US"/>
        </w:rPr>
      </w:pPr>
      <w:r>
        <w:fldChar w:fldCharType="begin"/>
      </w:r>
      <w:r>
        <w:instrText xml:space="preserve"> HYPERLINK \l "_Toc_3_3_0000000014" </w:instrText>
      </w:r>
      <w:r>
        <w:fldChar w:fldCharType="separate"/>
      </w:r>
      <w:r>
        <w:rPr>
          <w:rFonts w:hint="eastAsia" w:ascii="仿宋_GB2312" w:eastAsia="仿宋_GB2312"/>
        </w:rPr>
        <w:t>五、预算绩效信息</w:t>
      </w:r>
      <w:r>
        <w:rPr>
          <w:rFonts w:hint="eastAsia" w:ascii="仿宋_GB2312" w:eastAsia="仿宋_GB2312"/>
        </w:rPr>
        <w:tab/>
      </w:r>
      <w:r>
        <w:rPr>
          <w:rFonts w:hint="eastAsia" w:ascii="仿宋_GB2312" w:eastAsia="仿宋_GB2312"/>
        </w:rPr>
        <w:fldChar w:fldCharType="end"/>
      </w:r>
      <w:r>
        <w:rPr>
          <w:rFonts w:hint="default" w:ascii="仿宋_GB2312" w:eastAsia="仿宋_GB2312"/>
          <w:lang w:val="en-US"/>
        </w:rPr>
        <w:t>19</w:t>
      </w:r>
    </w:p>
    <w:p>
      <w:pPr>
        <w:pStyle w:val="5"/>
        <w:tabs>
          <w:tab w:val="right" w:leader="dot" w:pos="14562"/>
        </w:tabs>
        <w:rPr>
          <w:rFonts w:ascii="仿宋_GB2312" w:eastAsia="仿宋_GB2312"/>
        </w:rPr>
      </w:pPr>
      <w:r>
        <w:fldChar w:fldCharType="begin"/>
      </w:r>
      <w:r>
        <w:instrText xml:space="preserve"> HYPERLINK \l "_Toc_3_3_0000000015" </w:instrText>
      </w:r>
      <w:r>
        <w:fldChar w:fldCharType="separate"/>
      </w:r>
      <w:r>
        <w:rPr>
          <w:rFonts w:hint="eastAsia" w:ascii="仿宋_GB2312" w:eastAsia="仿宋_GB2312"/>
        </w:rPr>
        <w:t>六、政府采购预算情况</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PAGEREF _Toc_3_3_0000000015 \h</w:instrText>
      </w:r>
      <w:r>
        <w:rPr>
          <w:rFonts w:hint="eastAsia" w:ascii="仿宋_GB2312" w:eastAsia="仿宋_GB2312"/>
        </w:rPr>
        <w:fldChar w:fldCharType="separate"/>
      </w:r>
      <w:r>
        <w:rPr>
          <w:rFonts w:hint="eastAsia" w:ascii="仿宋_GB2312" w:eastAsia="仿宋_GB2312"/>
        </w:rPr>
        <w:t>28</w:t>
      </w:r>
      <w:r>
        <w:rPr>
          <w:rFonts w:hint="eastAsia" w:ascii="仿宋_GB2312" w:eastAsia="仿宋_GB2312"/>
        </w:rPr>
        <w:fldChar w:fldCharType="end"/>
      </w:r>
      <w:r>
        <w:rPr>
          <w:rFonts w:hint="eastAsia" w:ascii="仿宋_GB2312" w:eastAsia="仿宋_GB2312"/>
        </w:rPr>
        <w:fldChar w:fldCharType="end"/>
      </w:r>
    </w:p>
    <w:p>
      <w:pPr>
        <w:pStyle w:val="5"/>
        <w:tabs>
          <w:tab w:val="right" w:leader="dot" w:pos="14562"/>
        </w:tabs>
        <w:rPr>
          <w:rFonts w:ascii="仿宋_GB2312" w:eastAsia="仿宋_GB2312"/>
          <w:lang w:eastAsia="zh-CN"/>
        </w:rPr>
      </w:pPr>
      <w:r>
        <w:fldChar w:fldCharType="begin"/>
      </w:r>
      <w:r>
        <w:instrText xml:space="preserve"> HYPERLINK \l "_Toc_3_3_0000000016" </w:instrText>
      </w:r>
      <w:r>
        <w:fldChar w:fldCharType="separate"/>
      </w:r>
      <w:r>
        <w:rPr>
          <w:rFonts w:hint="eastAsia" w:ascii="仿宋_GB2312" w:eastAsia="仿宋_GB2312"/>
        </w:rPr>
        <w:t>七、国有资产信息</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PAGEREF _Toc_3_3_0000000016 \h</w:instrText>
      </w:r>
      <w:r>
        <w:rPr>
          <w:rFonts w:hint="eastAsia" w:ascii="仿宋_GB2312" w:eastAsia="仿宋_GB2312"/>
        </w:rPr>
        <w:fldChar w:fldCharType="separate"/>
      </w:r>
      <w:r>
        <w:rPr>
          <w:rFonts w:hint="eastAsia" w:ascii="仿宋_GB2312" w:eastAsia="仿宋_GB2312"/>
        </w:rPr>
        <w:t>28</w:t>
      </w:r>
      <w:r>
        <w:rPr>
          <w:rFonts w:hint="eastAsia" w:ascii="仿宋_GB2312" w:eastAsia="仿宋_GB2312"/>
        </w:rPr>
        <w:fldChar w:fldCharType="end"/>
      </w:r>
      <w:r>
        <w:rPr>
          <w:rFonts w:hint="eastAsia" w:ascii="仿宋_GB2312" w:eastAsia="仿宋_GB2312"/>
        </w:rPr>
        <w:fldChar w:fldCharType="end"/>
      </w:r>
    </w:p>
    <w:p>
      <w:pPr>
        <w:pStyle w:val="5"/>
        <w:tabs>
          <w:tab w:val="right" w:leader="dot" w:pos="14562"/>
        </w:tabs>
        <w:rPr>
          <w:rFonts w:ascii="仿宋_GB2312" w:eastAsia="仿宋_GB2312"/>
          <w:lang w:eastAsia="zh-CN"/>
        </w:rPr>
      </w:pPr>
      <w:r>
        <w:fldChar w:fldCharType="begin"/>
      </w:r>
      <w:r>
        <w:instrText xml:space="preserve"> HYPERLINK \l "_Toc_3_3_0000000017" </w:instrText>
      </w:r>
      <w:r>
        <w:fldChar w:fldCharType="separate"/>
      </w:r>
      <w:r>
        <w:rPr>
          <w:rFonts w:hint="eastAsia" w:ascii="仿宋_GB2312" w:eastAsia="仿宋_GB2312"/>
        </w:rPr>
        <w:t>八、名词解释</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PAGEREF _Toc_3_3_0000000017 \h</w:instrText>
      </w:r>
      <w:r>
        <w:rPr>
          <w:rFonts w:hint="eastAsia" w:ascii="仿宋_GB2312" w:eastAsia="仿宋_GB2312"/>
        </w:rPr>
        <w:fldChar w:fldCharType="separate"/>
      </w:r>
      <w:r>
        <w:rPr>
          <w:rFonts w:hint="eastAsia" w:ascii="仿宋_GB2312" w:eastAsia="仿宋_GB2312"/>
        </w:rPr>
        <w:t>29</w:t>
      </w:r>
      <w:r>
        <w:rPr>
          <w:rFonts w:hint="eastAsia" w:ascii="仿宋_GB2312" w:eastAsia="仿宋_GB2312"/>
        </w:rPr>
        <w:fldChar w:fldCharType="end"/>
      </w:r>
      <w:r>
        <w:rPr>
          <w:rFonts w:hint="eastAsia" w:ascii="仿宋_GB2312" w:eastAsia="仿宋_GB2312"/>
        </w:rPr>
        <w:fldChar w:fldCharType="end"/>
      </w:r>
    </w:p>
    <w:p>
      <w:pPr>
        <w:pStyle w:val="5"/>
        <w:tabs>
          <w:tab w:val="right" w:leader="dot" w:pos="14562"/>
        </w:tabs>
        <w:rPr>
          <w:rFonts w:ascii="仿宋_GB2312" w:eastAsia="仿宋_GB2312"/>
        </w:rPr>
      </w:pPr>
      <w:r>
        <w:fldChar w:fldCharType="begin"/>
      </w:r>
      <w:r>
        <w:instrText xml:space="preserve"> HYPERLINK \l "_Toc_3_3_0000000018" </w:instrText>
      </w:r>
      <w:r>
        <w:fldChar w:fldCharType="separate"/>
      </w:r>
      <w:r>
        <w:rPr>
          <w:rFonts w:hint="eastAsia" w:ascii="仿宋_GB2312" w:eastAsia="仿宋_GB2312"/>
        </w:rPr>
        <w:t>九、其他需要说明的事项</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PAGEREF _Toc_3_3_0000000018 \h</w:instrText>
      </w:r>
      <w:r>
        <w:rPr>
          <w:rFonts w:hint="eastAsia" w:ascii="仿宋_GB2312" w:eastAsia="仿宋_GB2312"/>
        </w:rPr>
        <w:fldChar w:fldCharType="separate"/>
      </w:r>
      <w:r>
        <w:rPr>
          <w:rFonts w:hint="eastAsia" w:ascii="仿宋_GB2312" w:eastAsia="仿宋_GB2312"/>
        </w:rPr>
        <w:t>29</w:t>
      </w:r>
      <w:r>
        <w:rPr>
          <w:rFonts w:hint="eastAsia" w:ascii="仿宋_GB2312" w:eastAsia="仿宋_GB2312"/>
        </w:rPr>
        <w:fldChar w:fldCharType="end"/>
      </w:r>
      <w:r>
        <w:rPr>
          <w:rFonts w:hint="eastAsia" w:ascii="仿宋_GB2312" w:eastAsia="仿宋_GB2312"/>
        </w:rPr>
        <w:fldChar w:fldCharType="end"/>
      </w:r>
    </w:p>
    <w:p>
      <w:pPr>
        <w:pStyle w:val="5"/>
        <w:tabs>
          <w:tab w:val="right" w:leader="dot" w:pos="14562"/>
        </w:tabs>
        <w:rPr>
          <w:rFonts w:ascii="仿宋_GB2312" w:eastAsia="仿宋_GB2312"/>
          <w:lang w:eastAsia="zh-CN"/>
        </w:rPr>
      </w:pPr>
      <w:r>
        <w:rPr>
          <w:rFonts w:hint="eastAsia" w:ascii="仿宋_GB2312" w:eastAsia="仿宋_GB2312"/>
        </w:rPr>
        <w:fldChar w:fldCharType="end"/>
      </w:r>
    </w:p>
    <w:p>
      <w:pPr>
        <w:pStyle w:val="5"/>
        <w:tabs>
          <w:tab w:val="right" w:leader="dot" w:pos="14562"/>
        </w:tabs>
        <w:rPr>
          <w:rFonts w:ascii="仿宋_GB2312" w:eastAsia="仿宋_GB2312"/>
          <w:lang w:eastAsia="zh-CN"/>
        </w:rPr>
      </w:pPr>
    </w:p>
    <w:p>
      <w:pPr>
        <w:pStyle w:val="5"/>
        <w:tabs>
          <w:tab w:val="right" w:leader="dot" w:pos="14562"/>
        </w:tabs>
        <w:rPr>
          <w:lang w:eastAsia="zh-CN"/>
        </w:rPr>
      </w:pPr>
    </w:p>
    <w:p>
      <w:pPr>
        <w:pStyle w:val="5"/>
        <w:tabs>
          <w:tab w:val="right" w:leader="dot" w:pos="14562"/>
        </w:tabs>
        <w:rPr>
          <w:lang w:eastAsia="zh-CN"/>
        </w:rPr>
      </w:pPr>
    </w:p>
    <w:p>
      <w:pPr>
        <w:pStyle w:val="5"/>
        <w:tabs>
          <w:tab w:val="right" w:leader="dot" w:pos="14562"/>
        </w:tabs>
        <w:rPr>
          <w:lang w:eastAsia="zh-CN"/>
        </w:rPr>
      </w:pPr>
    </w:p>
    <w:p>
      <w:pPr>
        <w:pStyle w:val="5"/>
        <w:tabs>
          <w:tab w:val="right" w:leader="dot" w:pos="14562"/>
        </w:tabs>
        <w:rPr>
          <w:lang w:eastAsia="zh-CN"/>
        </w:rPr>
      </w:pPr>
    </w:p>
    <w:p>
      <w:pPr>
        <w:sectPr>
          <w:pgSz w:w="16840" w:h="11900" w:orient="landscape"/>
          <w:pgMar w:top="1587" w:right="1134" w:bottom="1361" w:left="1134" w:header="720" w:footer="720" w:gutter="0"/>
          <w:pgNumType w:start="1"/>
          <w:cols w:space="720" w:num="1"/>
          <w:docGrid w:linePitch="326" w:charSpace="0"/>
        </w:sectPr>
      </w:pPr>
    </w:p>
    <w:p>
      <w:pPr>
        <w:jc w:val="center"/>
      </w:pPr>
      <w:r>
        <w:rPr>
          <w:rFonts w:ascii="方正小标宋_GBK" w:hAnsi="方正小标宋_GBK" w:eastAsia="方正小标宋_GBK" w:cs="方正小标宋_GBK"/>
          <w:color w:val="000000"/>
          <w:sz w:val="44"/>
        </w:rPr>
        <w:t xml:space="preserve"> </w:t>
      </w: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225001中共保定市徐水区委机构编制委员会办公室本级</w:t>
            </w:r>
          </w:p>
        </w:tc>
        <w:tc>
          <w:tcPr>
            <w:tcW w:w="2126" w:type="dxa"/>
            <w:tcBorders>
              <w:top w:val="single" w:color="FFFFFF" w:sz="6" w:space="0"/>
              <w:left w:val="single" w:color="FFFFFF" w:sz="6" w:space="0"/>
              <w:right w:val="single" w:color="FFFFFF" w:sz="6" w:space="0"/>
            </w:tcBorders>
            <w:vAlign w:val="center"/>
          </w:tcPr>
          <w:p>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187.94</w:t>
            </w:r>
          </w:p>
        </w:tc>
        <w:tc>
          <w:tcPr>
            <w:tcW w:w="4535" w:type="dxa"/>
            <w:vAlign w:val="center"/>
          </w:tcPr>
          <w:p>
            <w:pPr>
              <w:pStyle w:val="16"/>
            </w:pPr>
            <w:r>
              <w:t>一、一般公共服务支出</w:t>
            </w:r>
          </w:p>
        </w:tc>
        <w:tc>
          <w:tcPr>
            <w:tcW w:w="2126" w:type="dxa"/>
            <w:vAlign w:val="center"/>
          </w:tcPr>
          <w:p>
            <w:pPr>
              <w:pStyle w:val="15"/>
            </w:pPr>
            <w:r>
              <w:t>152.80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18.85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r>
              <w:t>0.01</w:t>
            </w: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4.97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11.33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187.95</w:t>
            </w:r>
          </w:p>
        </w:tc>
        <w:tc>
          <w:tcPr>
            <w:tcW w:w="4535" w:type="dxa"/>
            <w:vAlign w:val="center"/>
          </w:tcPr>
          <w:p>
            <w:pPr>
              <w:pStyle w:val="18"/>
            </w:pPr>
            <w:r>
              <w:t>本年支出合计</w:t>
            </w:r>
          </w:p>
        </w:tc>
        <w:tc>
          <w:tcPr>
            <w:tcW w:w="2126" w:type="dxa"/>
            <w:vAlign w:val="center"/>
          </w:tcPr>
          <w:p>
            <w:pPr>
              <w:pStyle w:val="19"/>
            </w:pPr>
            <w:r>
              <w:t>187.95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187.95</w:t>
            </w:r>
          </w:p>
        </w:tc>
        <w:tc>
          <w:tcPr>
            <w:tcW w:w="4535" w:type="dxa"/>
            <w:vAlign w:val="center"/>
          </w:tcPr>
          <w:p>
            <w:pPr>
              <w:pStyle w:val="18"/>
            </w:pPr>
            <w:r>
              <w:t>支出总计</w:t>
            </w:r>
          </w:p>
        </w:tc>
        <w:tc>
          <w:tcPr>
            <w:tcW w:w="2126" w:type="dxa"/>
            <w:vAlign w:val="center"/>
          </w:tcPr>
          <w:p>
            <w:pPr>
              <w:pStyle w:val="19"/>
            </w:pPr>
            <w:r>
              <w:t>187.95</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225001中共保定市徐水区委机构编制委员会办公室本级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187.95</w:t>
            </w:r>
          </w:p>
        </w:tc>
        <w:tc>
          <w:tcPr>
            <w:tcW w:w="1134" w:type="dxa"/>
            <w:vAlign w:val="center"/>
          </w:tcPr>
          <w:p>
            <w:pPr>
              <w:pStyle w:val="19"/>
            </w:pPr>
            <w:r>
              <w:t>187.95</w:t>
            </w:r>
          </w:p>
        </w:tc>
        <w:tc>
          <w:tcPr>
            <w:tcW w:w="1134" w:type="dxa"/>
            <w:vAlign w:val="center"/>
          </w:tcPr>
          <w:p>
            <w:pPr>
              <w:pStyle w:val="19"/>
            </w:pPr>
            <w:r>
              <w:t>187.94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r>
              <w:t>0.01</w:t>
            </w: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t>一般公共服务支出</w:t>
            </w:r>
          </w:p>
        </w:tc>
        <w:tc>
          <w:tcPr>
            <w:tcW w:w="1134" w:type="dxa"/>
            <w:vAlign w:val="center"/>
          </w:tcPr>
          <w:p>
            <w:pPr>
              <w:pStyle w:val="15"/>
            </w:pPr>
            <w:r>
              <w:t>152.80</w:t>
            </w:r>
          </w:p>
        </w:tc>
        <w:tc>
          <w:tcPr>
            <w:tcW w:w="1134" w:type="dxa"/>
            <w:vAlign w:val="center"/>
          </w:tcPr>
          <w:p>
            <w:pPr>
              <w:pStyle w:val="15"/>
            </w:pPr>
            <w:r>
              <w:t>152.80</w:t>
            </w:r>
          </w:p>
        </w:tc>
        <w:tc>
          <w:tcPr>
            <w:tcW w:w="1134" w:type="dxa"/>
            <w:vAlign w:val="center"/>
          </w:tcPr>
          <w:p>
            <w:pPr>
              <w:pStyle w:val="15"/>
            </w:pPr>
            <w:r>
              <w:t>152.79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0.01</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20132</w:t>
            </w:r>
          </w:p>
        </w:tc>
        <w:tc>
          <w:tcPr>
            <w:tcW w:w="1559" w:type="dxa"/>
            <w:vAlign w:val="center"/>
          </w:tcPr>
          <w:p>
            <w:pPr>
              <w:pStyle w:val="16"/>
            </w:pPr>
            <w:r>
              <w:t>组织事务</w:t>
            </w:r>
          </w:p>
        </w:tc>
        <w:tc>
          <w:tcPr>
            <w:tcW w:w="1134" w:type="dxa"/>
            <w:vAlign w:val="center"/>
          </w:tcPr>
          <w:p>
            <w:pPr>
              <w:pStyle w:val="15"/>
            </w:pPr>
            <w:r>
              <w:t>152.80</w:t>
            </w:r>
          </w:p>
        </w:tc>
        <w:tc>
          <w:tcPr>
            <w:tcW w:w="1134" w:type="dxa"/>
            <w:vAlign w:val="center"/>
          </w:tcPr>
          <w:p>
            <w:pPr>
              <w:pStyle w:val="15"/>
            </w:pPr>
            <w:r>
              <w:t>152.80</w:t>
            </w:r>
          </w:p>
        </w:tc>
        <w:tc>
          <w:tcPr>
            <w:tcW w:w="1134" w:type="dxa"/>
            <w:vAlign w:val="center"/>
          </w:tcPr>
          <w:p>
            <w:pPr>
              <w:pStyle w:val="15"/>
            </w:pPr>
            <w:r>
              <w:t>152.79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0.01</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2013201</w:t>
            </w:r>
          </w:p>
        </w:tc>
        <w:tc>
          <w:tcPr>
            <w:tcW w:w="1559" w:type="dxa"/>
            <w:vAlign w:val="center"/>
          </w:tcPr>
          <w:p>
            <w:pPr>
              <w:pStyle w:val="16"/>
            </w:pPr>
            <w:r>
              <w:t>行政运行</w:t>
            </w:r>
          </w:p>
        </w:tc>
        <w:tc>
          <w:tcPr>
            <w:tcW w:w="1134" w:type="dxa"/>
            <w:vAlign w:val="center"/>
          </w:tcPr>
          <w:p>
            <w:pPr>
              <w:pStyle w:val="15"/>
            </w:pPr>
            <w:r>
              <w:t>136.85</w:t>
            </w:r>
          </w:p>
        </w:tc>
        <w:tc>
          <w:tcPr>
            <w:tcW w:w="1134" w:type="dxa"/>
            <w:vAlign w:val="center"/>
          </w:tcPr>
          <w:p>
            <w:pPr>
              <w:pStyle w:val="15"/>
            </w:pPr>
            <w:r>
              <w:t>136.85</w:t>
            </w:r>
          </w:p>
        </w:tc>
        <w:tc>
          <w:tcPr>
            <w:tcW w:w="1134" w:type="dxa"/>
            <w:vAlign w:val="center"/>
          </w:tcPr>
          <w:p>
            <w:pPr>
              <w:pStyle w:val="15"/>
            </w:pPr>
            <w:r>
              <w:t>136.84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0.01</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2013202</w:t>
            </w:r>
          </w:p>
        </w:tc>
        <w:tc>
          <w:tcPr>
            <w:tcW w:w="1559" w:type="dxa"/>
            <w:vAlign w:val="center"/>
          </w:tcPr>
          <w:p>
            <w:pPr>
              <w:pStyle w:val="16"/>
            </w:pPr>
            <w:r>
              <w:t>一般行政管理事务</w:t>
            </w:r>
          </w:p>
        </w:tc>
        <w:tc>
          <w:tcPr>
            <w:tcW w:w="1134" w:type="dxa"/>
            <w:vAlign w:val="center"/>
          </w:tcPr>
          <w:p>
            <w:pPr>
              <w:pStyle w:val="15"/>
            </w:pPr>
            <w:r>
              <w:t>15.95</w:t>
            </w:r>
          </w:p>
        </w:tc>
        <w:tc>
          <w:tcPr>
            <w:tcW w:w="1134" w:type="dxa"/>
            <w:vAlign w:val="center"/>
          </w:tcPr>
          <w:p>
            <w:pPr>
              <w:pStyle w:val="15"/>
            </w:pPr>
            <w:r>
              <w:t>15.95</w:t>
            </w:r>
          </w:p>
        </w:tc>
        <w:tc>
          <w:tcPr>
            <w:tcW w:w="1134" w:type="dxa"/>
            <w:vAlign w:val="center"/>
          </w:tcPr>
          <w:p>
            <w:pPr>
              <w:pStyle w:val="15"/>
            </w:pPr>
            <w:r>
              <w:t>15.95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18.85</w:t>
            </w:r>
          </w:p>
        </w:tc>
        <w:tc>
          <w:tcPr>
            <w:tcW w:w="1134" w:type="dxa"/>
            <w:vAlign w:val="center"/>
          </w:tcPr>
          <w:p>
            <w:pPr>
              <w:pStyle w:val="15"/>
            </w:pPr>
            <w:r>
              <w:t>18.85</w:t>
            </w:r>
          </w:p>
        </w:tc>
        <w:tc>
          <w:tcPr>
            <w:tcW w:w="1134" w:type="dxa"/>
            <w:vAlign w:val="center"/>
          </w:tcPr>
          <w:p>
            <w:pPr>
              <w:pStyle w:val="15"/>
            </w:pPr>
            <w:r>
              <w:t>18.85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18.85</w:t>
            </w:r>
          </w:p>
        </w:tc>
        <w:tc>
          <w:tcPr>
            <w:tcW w:w="1134" w:type="dxa"/>
            <w:vAlign w:val="center"/>
          </w:tcPr>
          <w:p>
            <w:pPr>
              <w:pStyle w:val="15"/>
            </w:pPr>
            <w:r>
              <w:t>18.85</w:t>
            </w:r>
          </w:p>
        </w:tc>
        <w:tc>
          <w:tcPr>
            <w:tcW w:w="1134" w:type="dxa"/>
            <w:vAlign w:val="center"/>
          </w:tcPr>
          <w:p>
            <w:pPr>
              <w:pStyle w:val="15"/>
            </w:pPr>
            <w:r>
              <w:t>18.85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2080501</w:t>
            </w:r>
          </w:p>
        </w:tc>
        <w:tc>
          <w:tcPr>
            <w:tcW w:w="1559" w:type="dxa"/>
            <w:vAlign w:val="center"/>
          </w:tcPr>
          <w:p>
            <w:pPr>
              <w:pStyle w:val="16"/>
            </w:pPr>
            <w:r>
              <w:t>行政单位离退休</w:t>
            </w:r>
          </w:p>
        </w:tc>
        <w:tc>
          <w:tcPr>
            <w:tcW w:w="1134" w:type="dxa"/>
            <w:vAlign w:val="center"/>
          </w:tcPr>
          <w:p>
            <w:pPr>
              <w:pStyle w:val="15"/>
            </w:pPr>
            <w:r>
              <w:t>5.16</w:t>
            </w:r>
          </w:p>
        </w:tc>
        <w:tc>
          <w:tcPr>
            <w:tcW w:w="1134" w:type="dxa"/>
            <w:vAlign w:val="center"/>
          </w:tcPr>
          <w:p>
            <w:pPr>
              <w:pStyle w:val="15"/>
            </w:pPr>
            <w:r>
              <w:t>5.16</w:t>
            </w:r>
          </w:p>
        </w:tc>
        <w:tc>
          <w:tcPr>
            <w:tcW w:w="1134" w:type="dxa"/>
            <w:vAlign w:val="center"/>
          </w:tcPr>
          <w:p>
            <w:pPr>
              <w:pStyle w:val="15"/>
            </w:pPr>
            <w:r>
              <w:t>5.16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13.69</w:t>
            </w:r>
          </w:p>
        </w:tc>
        <w:tc>
          <w:tcPr>
            <w:tcW w:w="1134" w:type="dxa"/>
            <w:vAlign w:val="center"/>
          </w:tcPr>
          <w:p>
            <w:pPr>
              <w:pStyle w:val="15"/>
            </w:pPr>
            <w:r>
              <w:t>13.69</w:t>
            </w:r>
          </w:p>
        </w:tc>
        <w:tc>
          <w:tcPr>
            <w:tcW w:w="1134" w:type="dxa"/>
            <w:vAlign w:val="center"/>
          </w:tcPr>
          <w:p>
            <w:pPr>
              <w:pStyle w:val="15"/>
            </w:pPr>
            <w:r>
              <w:t>13.69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4.97</w:t>
            </w:r>
          </w:p>
        </w:tc>
        <w:tc>
          <w:tcPr>
            <w:tcW w:w="1134" w:type="dxa"/>
            <w:vAlign w:val="center"/>
          </w:tcPr>
          <w:p>
            <w:pPr>
              <w:pStyle w:val="15"/>
            </w:pPr>
            <w:r>
              <w:t>4.97</w:t>
            </w:r>
          </w:p>
        </w:tc>
        <w:tc>
          <w:tcPr>
            <w:tcW w:w="1134" w:type="dxa"/>
            <w:vAlign w:val="center"/>
          </w:tcPr>
          <w:p>
            <w:pPr>
              <w:pStyle w:val="15"/>
            </w:pPr>
            <w:r>
              <w:t>4.97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4.97</w:t>
            </w:r>
          </w:p>
        </w:tc>
        <w:tc>
          <w:tcPr>
            <w:tcW w:w="1134" w:type="dxa"/>
            <w:vAlign w:val="center"/>
          </w:tcPr>
          <w:p>
            <w:pPr>
              <w:pStyle w:val="15"/>
            </w:pPr>
            <w:r>
              <w:t>4.97</w:t>
            </w:r>
          </w:p>
        </w:tc>
        <w:tc>
          <w:tcPr>
            <w:tcW w:w="1134" w:type="dxa"/>
            <w:vAlign w:val="center"/>
          </w:tcPr>
          <w:p>
            <w:pPr>
              <w:pStyle w:val="15"/>
            </w:pPr>
            <w:r>
              <w:t>4.97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pPr>
            <w:r>
              <w:t>4.97</w:t>
            </w:r>
          </w:p>
        </w:tc>
        <w:tc>
          <w:tcPr>
            <w:tcW w:w="1134" w:type="dxa"/>
            <w:vAlign w:val="center"/>
          </w:tcPr>
          <w:p>
            <w:pPr>
              <w:pStyle w:val="15"/>
            </w:pPr>
            <w:r>
              <w:t>4.97</w:t>
            </w:r>
          </w:p>
        </w:tc>
        <w:tc>
          <w:tcPr>
            <w:tcW w:w="1134" w:type="dxa"/>
            <w:vAlign w:val="center"/>
          </w:tcPr>
          <w:p>
            <w:pPr>
              <w:pStyle w:val="15"/>
            </w:pPr>
            <w:r>
              <w:t>4.97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11.33</w:t>
            </w:r>
          </w:p>
        </w:tc>
        <w:tc>
          <w:tcPr>
            <w:tcW w:w="1134" w:type="dxa"/>
            <w:vAlign w:val="center"/>
          </w:tcPr>
          <w:p>
            <w:pPr>
              <w:pStyle w:val="15"/>
            </w:pPr>
            <w:r>
              <w:t>11.33</w:t>
            </w:r>
          </w:p>
        </w:tc>
        <w:tc>
          <w:tcPr>
            <w:tcW w:w="1134" w:type="dxa"/>
            <w:vAlign w:val="center"/>
          </w:tcPr>
          <w:p>
            <w:pPr>
              <w:pStyle w:val="15"/>
            </w:pPr>
            <w:r>
              <w:t>11.33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11.33</w:t>
            </w:r>
          </w:p>
        </w:tc>
        <w:tc>
          <w:tcPr>
            <w:tcW w:w="1134" w:type="dxa"/>
            <w:vAlign w:val="center"/>
          </w:tcPr>
          <w:p>
            <w:pPr>
              <w:pStyle w:val="15"/>
            </w:pPr>
            <w:r>
              <w:t>11.33</w:t>
            </w:r>
          </w:p>
        </w:tc>
        <w:tc>
          <w:tcPr>
            <w:tcW w:w="1134" w:type="dxa"/>
            <w:vAlign w:val="center"/>
          </w:tcPr>
          <w:p>
            <w:pPr>
              <w:pStyle w:val="15"/>
            </w:pPr>
            <w:r>
              <w:t>11.33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11.33</w:t>
            </w:r>
          </w:p>
        </w:tc>
        <w:tc>
          <w:tcPr>
            <w:tcW w:w="1134" w:type="dxa"/>
            <w:vAlign w:val="center"/>
          </w:tcPr>
          <w:p>
            <w:pPr>
              <w:pStyle w:val="15"/>
            </w:pPr>
            <w:r>
              <w:t>11.33</w:t>
            </w:r>
          </w:p>
        </w:tc>
        <w:tc>
          <w:tcPr>
            <w:tcW w:w="1134" w:type="dxa"/>
            <w:vAlign w:val="center"/>
          </w:tcPr>
          <w:p>
            <w:pPr>
              <w:pStyle w:val="15"/>
            </w:pPr>
            <w:r>
              <w:t>11.33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225001中共保定市徐水区委机构编制委员会办公室本级</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187.95</w:t>
            </w:r>
          </w:p>
        </w:tc>
        <w:tc>
          <w:tcPr>
            <w:tcW w:w="1361" w:type="dxa"/>
            <w:vAlign w:val="center"/>
          </w:tcPr>
          <w:p>
            <w:pPr>
              <w:pStyle w:val="19"/>
            </w:pPr>
            <w:r>
              <w:t>171.99</w:t>
            </w:r>
          </w:p>
        </w:tc>
        <w:tc>
          <w:tcPr>
            <w:tcW w:w="1361" w:type="dxa"/>
            <w:vAlign w:val="center"/>
          </w:tcPr>
          <w:p>
            <w:pPr>
              <w:pStyle w:val="19"/>
            </w:pPr>
            <w:r>
              <w:t>15.96</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5" w:type="dxa"/>
            <w:vAlign w:val="center"/>
          </w:tcPr>
          <w:p>
            <w:pPr>
              <w:pStyle w:val="16"/>
            </w:pPr>
            <w:r>
              <w:t>一般公共服务支出</w:t>
            </w:r>
          </w:p>
        </w:tc>
        <w:tc>
          <w:tcPr>
            <w:tcW w:w="1361" w:type="dxa"/>
            <w:vAlign w:val="center"/>
          </w:tcPr>
          <w:p>
            <w:pPr>
              <w:pStyle w:val="15"/>
            </w:pPr>
            <w:r>
              <w:t>152.80</w:t>
            </w:r>
          </w:p>
        </w:tc>
        <w:tc>
          <w:tcPr>
            <w:tcW w:w="1361" w:type="dxa"/>
            <w:vAlign w:val="center"/>
          </w:tcPr>
          <w:p>
            <w:pPr>
              <w:pStyle w:val="15"/>
            </w:pPr>
            <w:r>
              <w:t>136.84</w:t>
            </w:r>
          </w:p>
        </w:tc>
        <w:tc>
          <w:tcPr>
            <w:tcW w:w="1361" w:type="dxa"/>
            <w:vAlign w:val="center"/>
          </w:tcPr>
          <w:p>
            <w:pPr>
              <w:pStyle w:val="15"/>
            </w:pPr>
            <w:r>
              <w:t>15.96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20132</w:t>
            </w:r>
          </w:p>
        </w:tc>
        <w:tc>
          <w:tcPr>
            <w:tcW w:w="4535" w:type="dxa"/>
            <w:vAlign w:val="center"/>
          </w:tcPr>
          <w:p>
            <w:pPr>
              <w:pStyle w:val="16"/>
            </w:pPr>
            <w:r>
              <w:t>组织事务</w:t>
            </w:r>
          </w:p>
        </w:tc>
        <w:tc>
          <w:tcPr>
            <w:tcW w:w="1361" w:type="dxa"/>
            <w:vAlign w:val="center"/>
          </w:tcPr>
          <w:p>
            <w:pPr>
              <w:pStyle w:val="15"/>
            </w:pPr>
            <w:r>
              <w:t>152.80</w:t>
            </w:r>
          </w:p>
        </w:tc>
        <w:tc>
          <w:tcPr>
            <w:tcW w:w="1361" w:type="dxa"/>
            <w:vAlign w:val="center"/>
          </w:tcPr>
          <w:p>
            <w:pPr>
              <w:pStyle w:val="15"/>
            </w:pPr>
            <w:r>
              <w:t>136.84</w:t>
            </w:r>
          </w:p>
        </w:tc>
        <w:tc>
          <w:tcPr>
            <w:tcW w:w="1361" w:type="dxa"/>
            <w:vAlign w:val="center"/>
          </w:tcPr>
          <w:p>
            <w:pPr>
              <w:pStyle w:val="15"/>
            </w:pPr>
            <w:r>
              <w:t>15.96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2013201</w:t>
            </w:r>
          </w:p>
        </w:tc>
        <w:tc>
          <w:tcPr>
            <w:tcW w:w="4535" w:type="dxa"/>
            <w:vAlign w:val="center"/>
          </w:tcPr>
          <w:p>
            <w:pPr>
              <w:pStyle w:val="16"/>
            </w:pPr>
            <w:r>
              <w:t>行政运行</w:t>
            </w:r>
          </w:p>
        </w:tc>
        <w:tc>
          <w:tcPr>
            <w:tcW w:w="1361" w:type="dxa"/>
            <w:vAlign w:val="center"/>
          </w:tcPr>
          <w:p>
            <w:pPr>
              <w:pStyle w:val="15"/>
            </w:pPr>
            <w:r>
              <w:t>136.85</w:t>
            </w:r>
          </w:p>
        </w:tc>
        <w:tc>
          <w:tcPr>
            <w:tcW w:w="1361" w:type="dxa"/>
            <w:vAlign w:val="center"/>
          </w:tcPr>
          <w:p>
            <w:pPr>
              <w:pStyle w:val="15"/>
            </w:pPr>
            <w:r>
              <w:t>136.84</w:t>
            </w:r>
          </w:p>
        </w:tc>
        <w:tc>
          <w:tcPr>
            <w:tcW w:w="1361" w:type="dxa"/>
            <w:vAlign w:val="center"/>
          </w:tcPr>
          <w:p>
            <w:pPr>
              <w:pStyle w:val="15"/>
            </w:pPr>
            <w:r>
              <w:t>0.01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2013202</w:t>
            </w:r>
          </w:p>
        </w:tc>
        <w:tc>
          <w:tcPr>
            <w:tcW w:w="4535" w:type="dxa"/>
            <w:vAlign w:val="center"/>
          </w:tcPr>
          <w:p>
            <w:pPr>
              <w:pStyle w:val="16"/>
            </w:pPr>
            <w:r>
              <w:t>一般行政管理事务</w:t>
            </w:r>
          </w:p>
        </w:tc>
        <w:tc>
          <w:tcPr>
            <w:tcW w:w="1361" w:type="dxa"/>
            <w:vAlign w:val="center"/>
          </w:tcPr>
          <w:p>
            <w:pPr>
              <w:pStyle w:val="15"/>
            </w:pPr>
            <w:r>
              <w:t>15.95</w:t>
            </w:r>
          </w:p>
        </w:tc>
        <w:tc>
          <w:tcPr>
            <w:tcW w:w="1361" w:type="dxa"/>
            <w:vAlign w:val="center"/>
          </w:tcPr>
          <w:p>
            <w:pPr>
              <w:pStyle w:val="15"/>
            </w:pPr>
          </w:p>
        </w:tc>
        <w:tc>
          <w:tcPr>
            <w:tcW w:w="1361" w:type="dxa"/>
            <w:vAlign w:val="center"/>
          </w:tcPr>
          <w:p>
            <w:pPr>
              <w:pStyle w:val="15"/>
            </w:pPr>
            <w:r>
              <w:t>15.95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18.85</w:t>
            </w:r>
          </w:p>
        </w:tc>
        <w:tc>
          <w:tcPr>
            <w:tcW w:w="1361" w:type="dxa"/>
            <w:vAlign w:val="center"/>
          </w:tcPr>
          <w:p>
            <w:pPr>
              <w:pStyle w:val="15"/>
            </w:pPr>
            <w:r>
              <w:t>18.85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18.85</w:t>
            </w:r>
          </w:p>
        </w:tc>
        <w:tc>
          <w:tcPr>
            <w:tcW w:w="1361" w:type="dxa"/>
            <w:vAlign w:val="center"/>
          </w:tcPr>
          <w:p>
            <w:pPr>
              <w:pStyle w:val="15"/>
            </w:pPr>
            <w:r>
              <w:t>18.85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2080501</w:t>
            </w:r>
          </w:p>
        </w:tc>
        <w:tc>
          <w:tcPr>
            <w:tcW w:w="4535" w:type="dxa"/>
            <w:vAlign w:val="center"/>
          </w:tcPr>
          <w:p>
            <w:pPr>
              <w:pStyle w:val="16"/>
            </w:pPr>
            <w:r>
              <w:t>行政单位离退休</w:t>
            </w:r>
          </w:p>
        </w:tc>
        <w:tc>
          <w:tcPr>
            <w:tcW w:w="1361" w:type="dxa"/>
            <w:vAlign w:val="center"/>
          </w:tcPr>
          <w:p>
            <w:pPr>
              <w:pStyle w:val="15"/>
            </w:pPr>
            <w:r>
              <w:t>5.16</w:t>
            </w:r>
          </w:p>
        </w:tc>
        <w:tc>
          <w:tcPr>
            <w:tcW w:w="1361" w:type="dxa"/>
            <w:vAlign w:val="center"/>
          </w:tcPr>
          <w:p>
            <w:pPr>
              <w:pStyle w:val="15"/>
            </w:pPr>
            <w:r>
              <w:t>5.16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13.69</w:t>
            </w:r>
          </w:p>
        </w:tc>
        <w:tc>
          <w:tcPr>
            <w:tcW w:w="1361" w:type="dxa"/>
            <w:vAlign w:val="center"/>
          </w:tcPr>
          <w:p>
            <w:pPr>
              <w:pStyle w:val="15"/>
            </w:pPr>
            <w:r>
              <w:t>13.69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4.97</w:t>
            </w:r>
          </w:p>
        </w:tc>
        <w:tc>
          <w:tcPr>
            <w:tcW w:w="1361" w:type="dxa"/>
            <w:vAlign w:val="center"/>
          </w:tcPr>
          <w:p>
            <w:pPr>
              <w:pStyle w:val="15"/>
            </w:pPr>
            <w:r>
              <w:t>4.97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4.97</w:t>
            </w:r>
          </w:p>
        </w:tc>
        <w:tc>
          <w:tcPr>
            <w:tcW w:w="1361" w:type="dxa"/>
            <w:vAlign w:val="center"/>
          </w:tcPr>
          <w:p>
            <w:pPr>
              <w:pStyle w:val="15"/>
            </w:pPr>
            <w:r>
              <w:t>4.97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2101101</w:t>
            </w:r>
          </w:p>
        </w:tc>
        <w:tc>
          <w:tcPr>
            <w:tcW w:w="4535" w:type="dxa"/>
            <w:vAlign w:val="center"/>
          </w:tcPr>
          <w:p>
            <w:pPr>
              <w:pStyle w:val="16"/>
            </w:pPr>
            <w:r>
              <w:t>行政单位医疗</w:t>
            </w:r>
          </w:p>
        </w:tc>
        <w:tc>
          <w:tcPr>
            <w:tcW w:w="1361" w:type="dxa"/>
            <w:vAlign w:val="center"/>
          </w:tcPr>
          <w:p>
            <w:pPr>
              <w:pStyle w:val="15"/>
            </w:pPr>
            <w:r>
              <w:t>4.97</w:t>
            </w:r>
          </w:p>
        </w:tc>
        <w:tc>
          <w:tcPr>
            <w:tcW w:w="1361" w:type="dxa"/>
            <w:vAlign w:val="center"/>
          </w:tcPr>
          <w:p>
            <w:pPr>
              <w:pStyle w:val="15"/>
            </w:pPr>
            <w:r>
              <w:t>4.97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11.33</w:t>
            </w:r>
          </w:p>
        </w:tc>
        <w:tc>
          <w:tcPr>
            <w:tcW w:w="1361" w:type="dxa"/>
            <w:vAlign w:val="center"/>
          </w:tcPr>
          <w:p>
            <w:pPr>
              <w:pStyle w:val="15"/>
            </w:pPr>
            <w:r>
              <w:t>11.33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11.33</w:t>
            </w:r>
          </w:p>
        </w:tc>
        <w:tc>
          <w:tcPr>
            <w:tcW w:w="1361" w:type="dxa"/>
            <w:vAlign w:val="center"/>
          </w:tcPr>
          <w:p>
            <w:pPr>
              <w:pStyle w:val="15"/>
            </w:pPr>
            <w:r>
              <w:t>11.33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11.33</w:t>
            </w:r>
          </w:p>
        </w:tc>
        <w:tc>
          <w:tcPr>
            <w:tcW w:w="1361" w:type="dxa"/>
            <w:vAlign w:val="center"/>
          </w:tcPr>
          <w:p>
            <w:pPr>
              <w:pStyle w:val="15"/>
            </w:pPr>
            <w:r>
              <w:t>11.33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0"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225中共保定市徐水区委机构编制委员会办公室</w:t>
            </w:r>
          </w:p>
        </w:tc>
        <w:tc>
          <w:tcPr>
            <w:tcW w:w="3402" w:type="dxa"/>
            <w:tcBorders>
              <w:top w:val="single" w:color="FFFFFF" w:sz="6" w:space="0"/>
              <w:left w:val="single" w:color="FFFFFF" w:sz="6" w:space="0"/>
              <w:right w:val="single" w:color="FFFFFF" w:sz="6" w:space="0"/>
            </w:tcBorders>
            <w:vAlign w:val="center"/>
          </w:tcPr>
          <w:p>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187.94</w:t>
            </w:r>
          </w:p>
        </w:tc>
        <w:tc>
          <w:tcPr>
            <w:tcW w:w="3402" w:type="dxa"/>
            <w:vAlign w:val="center"/>
          </w:tcPr>
          <w:p>
            <w:pPr>
              <w:pStyle w:val="16"/>
            </w:pPr>
            <w:r>
              <w:t>一、一般公共服务支出</w:t>
            </w:r>
          </w:p>
        </w:tc>
        <w:tc>
          <w:tcPr>
            <w:tcW w:w="1474" w:type="dxa"/>
            <w:vAlign w:val="center"/>
          </w:tcPr>
          <w:p>
            <w:pPr>
              <w:pStyle w:val="15"/>
            </w:pPr>
            <w:r>
              <w:t>152.79</w:t>
            </w:r>
          </w:p>
        </w:tc>
        <w:tc>
          <w:tcPr>
            <w:tcW w:w="1474" w:type="dxa"/>
            <w:vAlign w:val="center"/>
          </w:tcPr>
          <w:p>
            <w:pPr>
              <w:pStyle w:val="15"/>
            </w:pPr>
            <w:r>
              <w:t>152.79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18.85</w:t>
            </w:r>
          </w:p>
        </w:tc>
        <w:tc>
          <w:tcPr>
            <w:tcW w:w="1474" w:type="dxa"/>
            <w:vAlign w:val="center"/>
          </w:tcPr>
          <w:p>
            <w:pPr>
              <w:pStyle w:val="15"/>
            </w:pPr>
            <w:r>
              <w:t>18.85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4.97</w:t>
            </w:r>
          </w:p>
        </w:tc>
        <w:tc>
          <w:tcPr>
            <w:tcW w:w="1474" w:type="dxa"/>
            <w:vAlign w:val="center"/>
          </w:tcPr>
          <w:p>
            <w:pPr>
              <w:pStyle w:val="15"/>
            </w:pPr>
            <w:r>
              <w:t>4.97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11.33</w:t>
            </w:r>
          </w:p>
        </w:tc>
        <w:tc>
          <w:tcPr>
            <w:tcW w:w="1474" w:type="dxa"/>
            <w:vAlign w:val="center"/>
          </w:tcPr>
          <w:p>
            <w:pPr>
              <w:pStyle w:val="15"/>
            </w:pPr>
            <w:r>
              <w:t>11.33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187.94</w:t>
            </w:r>
          </w:p>
        </w:tc>
        <w:tc>
          <w:tcPr>
            <w:tcW w:w="3402" w:type="dxa"/>
            <w:vAlign w:val="center"/>
          </w:tcPr>
          <w:p>
            <w:pPr>
              <w:pStyle w:val="18"/>
            </w:pPr>
            <w:r>
              <w:t>本年支出合计</w:t>
            </w:r>
          </w:p>
        </w:tc>
        <w:tc>
          <w:tcPr>
            <w:tcW w:w="1474" w:type="dxa"/>
            <w:vAlign w:val="center"/>
          </w:tcPr>
          <w:p>
            <w:pPr>
              <w:pStyle w:val="19"/>
            </w:pPr>
            <w:r>
              <w:t>187.94</w:t>
            </w:r>
          </w:p>
        </w:tc>
        <w:tc>
          <w:tcPr>
            <w:tcW w:w="1474" w:type="dxa"/>
            <w:vAlign w:val="center"/>
          </w:tcPr>
          <w:p>
            <w:pPr>
              <w:pStyle w:val="19"/>
            </w:pPr>
            <w:r>
              <w:t>187.94</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187.94</w:t>
            </w:r>
          </w:p>
        </w:tc>
        <w:tc>
          <w:tcPr>
            <w:tcW w:w="3402" w:type="dxa"/>
            <w:vAlign w:val="center"/>
          </w:tcPr>
          <w:p>
            <w:pPr>
              <w:pStyle w:val="18"/>
            </w:pPr>
            <w:r>
              <w:t>支出总计</w:t>
            </w:r>
          </w:p>
        </w:tc>
        <w:tc>
          <w:tcPr>
            <w:tcW w:w="1474" w:type="dxa"/>
            <w:vAlign w:val="center"/>
          </w:tcPr>
          <w:p>
            <w:pPr>
              <w:pStyle w:val="19"/>
            </w:pPr>
            <w:r>
              <w:t>187.94</w:t>
            </w:r>
          </w:p>
        </w:tc>
        <w:tc>
          <w:tcPr>
            <w:tcW w:w="1474" w:type="dxa"/>
            <w:vAlign w:val="center"/>
          </w:tcPr>
          <w:p>
            <w:pPr>
              <w:pStyle w:val="19"/>
            </w:pPr>
            <w:r>
              <w:t>187.94</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225中共保定市徐水区委机构编制委员会办公室</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187.94</w:t>
            </w:r>
          </w:p>
        </w:tc>
        <w:tc>
          <w:tcPr>
            <w:tcW w:w="2551" w:type="dxa"/>
            <w:vAlign w:val="center"/>
          </w:tcPr>
          <w:p>
            <w:pPr>
              <w:pStyle w:val="19"/>
            </w:pPr>
            <w:r>
              <w:t>171.99</w:t>
            </w:r>
          </w:p>
        </w:tc>
        <w:tc>
          <w:tcPr>
            <w:tcW w:w="2551" w:type="dxa"/>
            <w:vAlign w:val="center"/>
          </w:tcPr>
          <w:p>
            <w:pPr>
              <w:pStyle w:val="19"/>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t>一般公共服务支出</w:t>
            </w:r>
          </w:p>
        </w:tc>
        <w:tc>
          <w:tcPr>
            <w:tcW w:w="2551" w:type="dxa"/>
            <w:vAlign w:val="center"/>
          </w:tcPr>
          <w:p>
            <w:pPr>
              <w:pStyle w:val="15"/>
            </w:pPr>
            <w:r>
              <w:t>152.79</w:t>
            </w:r>
          </w:p>
        </w:tc>
        <w:tc>
          <w:tcPr>
            <w:tcW w:w="2551" w:type="dxa"/>
            <w:vAlign w:val="center"/>
          </w:tcPr>
          <w:p>
            <w:pPr>
              <w:pStyle w:val="15"/>
            </w:pPr>
            <w:r>
              <w:t>136.84</w:t>
            </w:r>
          </w:p>
        </w:tc>
        <w:tc>
          <w:tcPr>
            <w:tcW w:w="2551" w:type="dxa"/>
            <w:vAlign w:val="center"/>
          </w:tcPr>
          <w:p>
            <w:pPr>
              <w:pStyle w:val="15"/>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20132</w:t>
            </w:r>
          </w:p>
        </w:tc>
        <w:tc>
          <w:tcPr>
            <w:tcW w:w="4535" w:type="dxa"/>
            <w:vAlign w:val="center"/>
          </w:tcPr>
          <w:p>
            <w:pPr>
              <w:pStyle w:val="16"/>
            </w:pPr>
            <w:r>
              <w:t>组织事务</w:t>
            </w:r>
          </w:p>
        </w:tc>
        <w:tc>
          <w:tcPr>
            <w:tcW w:w="2551" w:type="dxa"/>
            <w:vAlign w:val="center"/>
          </w:tcPr>
          <w:p>
            <w:pPr>
              <w:pStyle w:val="15"/>
            </w:pPr>
            <w:r>
              <w:t>152.79</w:t>
            </w:r>
          </w:p>
        </w:tc>
        <w:tc>
          <w:tcPr>
            <w:tcW w:w="2551" w:type="dxa"/>
            <w:vAlign w:val="center"/>
          </w:tcPr>
          <w:p>
            <w:pPr>
              <w:pStyle w:val="15"/>
            </w:pPr>
            <w:r>
              <w:t>136.84</w:t>
            </w:r>
          </w:p>
        </w:tc>
        <w:tc>
          <w:tcPr>
            <w:tcW w:w="2551" w:type="dxa"/>
            <w:vAlign w:val="center"/>
          </w:tcPr>
          <w:p>
            <w:pPr>
              <w:pStyle w:val="15"/>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2013201</w:t>
            </w:r>
          </w:p>
        </w:tc>
        <w:tc>
          <w:tcPr>
            <w:tcW w:w="4535" w:type="dxa"/>
            <w:vAlign w:val="center"/>
          </w:tcPr>
          <w:p>
            <w:pPr>
              <w:pStyle w:val="16"/>
            </w:pPr>
            <w:r>
              <w:t>行政运行</w:t>
            </w:r>
          </w:p>
        </w:tc>
        <w:tc>
          <w:tcPr>
            <w:tcW w:w="2551" w:type="dxa"/>
            <w:vAlign w:val="center"/>
          </w:tcPr>
          <w:p>
            <w:pPr>
              <w:pStyle w:val="15"/>
            </w:pPr>
            <w:r>
              <w:t>136.84</w:t>
            </w:r>
          </w:p>
        </w:tc>
        <w:tc>
          <w:tcPr>
            <w:tcW w:w="2551" w:type="dxa"/>
            <w:vAlign w:val="center"/>
          </w:tcPr>
          <w:p>
            <w:pPr>
              <w:pStyle w:val="15"/>
            </w:pPr>
            <w:r>
              <w:t>136.84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2013202</w:t>
            </w:r>
          </w:p>
        </w:tc>
        <w:tc>
          <w:tcPr>
            <w:tcW w:w="4535" w:type="dxa"/>
            <w:vAlign w:val="center"/>
          </w:tcPr>
          <w:p>
            <w:pPr>
              <w:pStyle w:val="16"/>
            </w:pPr>
            <w:r>
              <w:t>一般行政管理事务</w:t>
            </w:r>
          </w:p>
        </w:tc>
        <w:tc>
          <w:tcPr>
            <w:tcW w:w="2551" w:type="dxa"/>
            <w:vAlign w:val="center"/>
          </w:tcPr>
          <w:p>
            <w:pPr>
              <w:pStyle w:val="15"/>
            </w:pPr>
            <w:r>
              <w:t>15.95</w:t>
            </w:r>
          </w:p>
        </w:tc>
        <w:tc>
          <w:tcPr>
            <w:tcW w:w="2551" w:type="dxa"/>
            <w:vAlign w:val="center"/>
          </w:tcPr>
          <w:p>
            <w:pPr>
              <w:pStyle w:val="15"/>
            </w:pPr>
          </w:p>
        </w:tc>
        <w:tc>
          <w:tcPr>
            <w:tcW w:w="2551" w:type="dxa"/>
            <w:vAlign w:val="center"/>
          </w:tcPr>
          <w:p>
            <w:pPr>
              <w:pStyle w:val="15"/>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18.85</w:t>
            </w:r>
          </w:p>
        </w:tc>
        <w:tc>
          <w:tcPr>
            <w:tcW w:w="2551" w:type="dxa"/>
            <w:vAlign w:val="center"/>
          </w:tcPr>
          <w:p>
            <w:pPr>
              <w:pStyle w:val="15"/>
            </w:pPr>
            <w:r>
              <w:t>18.85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18.85</w:t>
            </w:r>
          </w:p>
        </w:tc>
        <w:tc>
          <w:tcPr>
            <w:tcW w:w="2551" w:type="dxa"/>
            <w:vAlign w:val="center"/>
          </w:tcPr>
          <w:p>
            <w:pPr>
              <w:pStyle w:val="15"/>
            </w:pPr>
            <w:r>
              <w:t>18.85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2080501</w:t>
            </w:r>
          </w:p>
        </w:tc>
        <w:tc>
          <w:tcPr>
            <w:tcW w:w="4535" w:type="dxa"/>
            <w:vAlign w:val="center"/>
          </w:tcPr>
          <w:p>
            <w:pPr>
              <w:pStyle w:val="16"/>
            </w:pPr>
            <w:r>
              <w:t>行政单位离退休</w:t>
            </w:r>
          </w:p>
        </w:tc>
        <w:tc>
          <w:tcPr>
            <w:tcW w:w="2551" w:type="dxa"/>
            <w:vAlign w:val="center"/>
          </w:tcPr>
          <w:p>
            <w:pPr>
              <w:pStyle w:val="15"/>
            </w:pPr>
            <w:r>
              <w:t>5.16</w:t>
            </w:r>
          </w:p>
        </w:tc>
        <w:tc>
          <w:tcPr>
            <w:tcW w:w="2551" w:type="dxa"/>
            <w:vAlign w:val="center"/>
          </w:tcPr>
          <w:p>
            <w:pPr>
              <w:pStyle w:val="15"/>
            </w:pPr>
            <w:r>
              <w:t>5.16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13.69</w:t>
            </w:r>
          </w:p>
        </w:tc>
        <w:tc>
          <w:tcPr>
            <w:tcW w:w="2551" w:type="dxa"/>
            <w:vAlign w:val="center"/>
          </w:tcPr>
          <w:p>
            <w:pPr>
              <w:pStyle w:val="15"/>
            </w:pPr>
            <w:r>
              <w:t>13.69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4.97</w:t>
            </w:r>
          </w:p>
        </w:tc>
        <w:tc>
          <w:tcPr>
            <w:tcW w:w="2551" w:type="dxa"/>
            <w:vAlign w:val="center"/>
          </w:tcPr>
          <w:p>
            <w:pPr>
              <w:pStyle w:val="15"/>
            </w:pPr>
            <w:r>
              <w:t>4.97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4.97</w:t>
            </w:r>
          </w:p>
        </w:tc>
        <w:tc>
          <w:tcPr>
            <w:tcW w:w="2551" w:type="dxa"/>
            <w:vAlign w:val="center"/>
          </w:tcPr>
          <w:p>
            <w:pPr>
              <w:pStyle w:val="15"/>
            </w:pPr>
            <w:r>
              <w:t>4.97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pPr>
            <w:r>
              <w:t>4.97</w:t>
            </w:r>
          </w:p>
        </w:tc>
        <w:tc>
          <w:tcPr>
            <w:tcW w:w="2551" w:type="dxa"/>
            <w:vAlign w:val="center"/>
          </w:tcPr>
          <w:p>
            <w:pPr>
              <w:pStyle w:val="15"/>
            </w:pPr>
            <w:r>
              <w:t>4.97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11.33</w:t>
            </w:r>
          </w:p>
        </w:tc>
        <w:tc>
          <w:tcPr>
            <w:tcW w:w="2551" w:type="dxa"/>
            <w:vAlign w:val="center"/>
          </w:tcPr>
          <w:p>
            <w:pPr>
              <w:pStyle w:val="15"/>
            </w:pPr>
            <w:r>
              <w:t>11.33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11.33</w:t>
            </w:r>
          </w:p>
        </w:tc>
        <w:tc>
          <w:tcPr>
            <w:tcW w:w="2551" w:type="dxa"/>
            <w:vAlign w:val="center"/>
          </w:tcPr>
          <w:p>
            <w:pPr>
              <w:pStyle w:val="15"/>
            </w:pPr>
            <w:r>
              <w:t>11.33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11.33</w:t>
            </w:r>
          </w:p>
        </w:tc>
        <w:tc>
          <w:tcPr>
            <w:tcW w:w="2551" w:type="dxa"/>
            <w:vAlign w:val="center"/>
          </w:tcPr>
          <w:p>
            <w:pPr>
              <w:pStyle w:val="15"/>
            </w:pPr>
            <w:r>
              <w:t>11.33</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部门预算一般公共预算财政拨款基本支出表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225中共保定市徐水区委机构编制委员会办公室</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171.99</w:t>
            </w:r>
          </w:p>
        </w:tc>
        <w:tc>
          <w:tcPr>
            <w:tcW w:w="2551" w:type="dxa"/>
            <w:vAlign w:val="center"/>
          </w:tcPr>
          <w:p>
            <w:pPr>
              <w:pStyle w:val="19"/>
            </w:pPr>
            <w:r>
              <w:t>153.29</w:t>
            </w:r>
          </w:p>
        </w:tc>
        <w:tc>
          <w:tcPr>
            <w:tcW w:w="2551" w:type="dxa"/>
            <w:vAlign w:val="center"/>
          </w:tcPr>
          <w:p>
            <w:pPr>
              <w:pStyle w:val="19"/>
            </w:pPr>
            <w:r>
              <w:t>18.70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148.37</w:t>
            </w:r>
          </w:p>
        </w:tc>
        <w:tc>
          <w:tcPr>
            <w:tcW w:w="2551" w:type="dxa"/>
            <w:vAlign w:val="center"/>
          </w:tcPr>
          <w:p>
            <w:pPr>
              <w:pStyle w:val="15"/>
            </w:pPr>
            <w:r>
              <w:t>148.37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38.79</w:t>
            </w:r>
          </w:p>
        </w:tc>
        <w:tc>
          <w:tcPr>
            <w:tcW w:w="2551" w:type="dxa"/>
            <w:vAlign w:val="center"/>
          </w:tcPr>
          <w:p>
            <w:pPr>
              <w:pStyle w:val="15"/>
            </w:pPr>
            <w:r>
              <w:t>38.79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35.12</w:t>
            </w:r>
          </w:p>
        </w:tc>
        <w:tc>
          <w:tcPr>
            <w:tcW w:w="2551" w:type="dxa"/>
            <w:vAlign w:val="center"/>
          </w:tcPr>
          <w:p>
            <w:pPr>
              <w:pStyle w:val="15"/>
            </w:pPr>
            <w:r>
              <w:t>35.12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19.67</w:t>
            </w:r>
          </w:p>
        </w:tc>
        <w:tc>
          <w:tcPr>
            <w:tcW w:w="2551" w:type="dxa"/>
            <w:vAlign w:val="center"/>
          </w:tcPr>
          <w:p>
            <w:pPr>
              <w:pStyle w:val="15"/>
            </w:pPr>
            <w:r>
              <w:t>19.67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13.69</w:t>
            </w:r>
          </w:p>
        </w:tc>
        <w:tc>
          <w:tcPr>
            <w:tcW w:w="2551" w:type="dxa"/>
            <w:vAlign w:val="center"/>
          </w:tcPr>
          <w:p>
            <w:pPr>
              <w:pStyle w:val="15"/>
            </w:pPr>
            <w:r>
              <w:t>13.69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4.90</w:t>
            </w:r>
          </w:p>
        </w:tc>
        <w:tc>
          <w:tcPr>
            <w:tcW w:w="2551" w:type="dxa"/>
            <w:vAlign w:val="center"/>
          </w:tcPr>
          <w:p>
            <w:pPr>
              <w:pStyle w:val="15"/>
            </w:pPr>
            <w:r>
              <w:t>4.90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0.42</w:t>
            </w:r>
          </w:p>
        </w:tc>
        <w:tc>
          <w:tcPr>
            <w:tcW w:w="2551" w:type="dxa"/>
            <w:vAlign w:val="center"/>
          </w:tcPr>
          <w:p>
            <w:pPr>
              <w:pStyle w:val="15"/>
            </w:pPr>
            <w:r>
              <w:t>0.42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11.33</w:t>
            </w:r>
          </w:p>
        </w:tc>
        <w:tc>
          <w:tcPr>
            <w:tcW w:w="2551" w:type="dxa"/>
            <w:vAlign w:val="center"/>
          </w:tcPr>
          <w:p>
            <w:pPr>
              <w:pStyle w:val="15"/>
            </w:pPr>
            <w:r>
              <w:t>11.33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24.45</w:t>
            </w:r>
          </w:p>
        </w:tc>
        <w:tc>
          <w:tcPr>
            <w:tcW w:w="2551" w:type="dxa"/>
            <w:vAlign w:val="center"/>
          </w:tcPr>
          <w:p>
            <w:pPr>
              <w:pStyle w:val="15"/>
            </w:pPr>
            <w:r>
              <w:t>24.45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18.70</w:t>
            </w:r>
          </w:p>
        </w:tc>
        <w:tc>
          <w:tcPr>
            <w:tcW w:w="2551" w:type="dxa"/>
            <w:vAlign w:val="center"/>
          </w:tcPr>
          <w:p>
            <w:pPr>
              <w:pStyle w:val="15"/>
            </w:pPr>
          </w:p>
        </w:tc>
        <w:tc>
          <w:tcPr>
            <w:tcW w:w="2551" w:type="dxa"/>
            <w:vAlign w:val="center"/>
          </w:tcPr>
          <w:p>
            <w:pPr>
              <w:pStyle w:val="15"/>
            </w:pPr>
            <w:r>
              <w:t>18.70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2.70</w:t>
            </w:r>
          </w:p>
        </w:tc>
        <w:tc>
          <w:tcPr>
            <w:tcW w:w="2551" w:type="dxa"/>
            <w:vAlign w:val="center"/>
          </w:tcPr>
          <w:p>
            <w:pPr>
              <w:pStyle w:val="15"/>
            </w:pPr>
          </w:p>
        </w:tc>
        <w:tc>
          <w:tcPr>
            <w:tcW w:w="2551" w:type="dxa"/>
            <w:vAlign w:val="center"/>
          </w:tcPr>
          <w:p>
            <w:pPr>
              <w:pStyle w:val="15"/>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4.84</w:t>
            </w:r>
          </w:p>
        </w:tc>
        <w:tc>
          <w:tcPr>
            <w:tcW w:w="2551" w:type="dxa"/>
            <w:vAlign w:val="center"/>
          </w:tcPr>
          <w:p>
            <w:pPr>
              <w:pStyle w:val="15"/>
            </w:pPr>
          </w:p>
        </w:tc>
        <w:tc>
          <w:tcPr>
            <w:tcW w:w="2551" w:type="dxa"/>
            <w:vAlign w:val="center"/>
          </w:tcPr>
          <w:p>
            <w:pPr>
              <w:pStyle w:val="15"/>
            </w:pPr>
            <w:r>
              <w:t>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1.38</w:t>
            </w:r>
          </w:p>
        </w:tc>
        <w:tc>
          <w:tcPr>
            <w:tcW w:w="2551" w:type="dxa"/>
            <w:vAlign w:val="center"/>
          </w:tcPr>
          <w:p>
            <w:pPr>
              <w:pStyle w:val="15"/>
            </w:pPr>
          </w:p>
        </w:tc>
        <w:tc>
          <w:tcPr>
            <w:tcW w:w="2551" w:type="dxa"/>
            <w:vAlign w:val="center"/>
          </w:tcPr>
          <w:p>
            <w:pPr>
              <w:pStyle w:val="15"/>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0.97</w:t>
            </w:r>
          </w:p>
        </w:tc>
        <w:tc>
          <w:tcPr>
            <w:tcW w:w="2551" w:type="dxa"/>
            <w:vAlign w:val="center"/>
          </w:tcPr>
          <w:p>
            <w:pPr>
              <w:pStyle w:val="15"/>
            </w:pPr>
          </w:p>
        </w:tc>
        <w:tc>
          <w:tcPr>
            <w:tcW w:w="2551" w:type="dxa"/>
            <w:vAlign w:val="center"/>
          </w:tcPr>
          <w:p>
            <w:pPr>
              <w:pStyle w:val="15"/>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2.43</w:t>
            </w:r>
          </w:p>
        </w:tc>
        <w:tc>
          <w:tcPr>
            <w:tcW w:w="2551" w:type="dxa"/>
            <w:vAlign w:val="center"/>
          </w:tcPr>
          <w:p>
            <w:pPr>
              <w:pStyle w:val="15"/>
            </w:pPr>
          </w:p>
        </w:tc>
        <w:tc>
          <w:tcPr>
            <w:tcW w:w="2551" w:type="dxa"/>
            <w:vAlign w:val="center"/>
          </w:tcPr>
          <w:p>
            <w:pPr>
              <w:pStyle w:val="15"/>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6.00</w:t>
            </w:r>
          </w:p>
        </w:tc>
        <w:tc>
          <w:tcPr>
            <w:tcW w:w="2551" w:type="dxa"/>
            <w:vAlign w:val="center"/>
          </w:tcPr>
          <w:p>
            <w:pPr>
              <w:pStyle w:val="15"/>
            </w:pPr>
          </w:p>
        </w:tc>
        <w:tc>
          <w:tcPr>
            <w:tcW w:w="2551"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0.38</w:t>
            </w:r>
          </w:p>
        </w:tc>
        <w:tc>
          <w:tcPr>
            <w:tcW w:w="2551" w:type="dxa"/>
            <w:vAlign w:val="center"/>
          </w:tcPr>
          <w:p>
            <w:pPr>
              <w:pStyle w:val="15"/>
            </w:pPr>
          </w:p>
        </w:tc>
        <w:tc>
          <w:tcPr>
            <w:tcW w:w="2551" w:type="dxa"/>
            <w:vAlign w:val="center"/>
          </w:tcPr>
          <w:p>
            <w:pPr>
              <w:pStyle w:val="15"/>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4.92</w:t>
            </w:r>
          </w:p>
        </w:tc>
        <w:tc>
          <w:tcPr>
            <w:tcW w:w="2551" w:type="dxa"/>
            <w:vAlign w:val="center"/>
          </w:tcPr>
          <w:p>
            <w:pPr>
              <w:pStyle w:val="15"/>
            </w:pPr>
            <w:r>
              <w:t>4.92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4.87</w:t>
            </w:r>
          </w:p>
        </w:tc>
        <w:tc>
          <w:tcPr>
            <w:tcW w:w="2551" w:type="dxa"/>
            <w:vAlign w:val="center"/>
          </w:tcPr>
          <w:p>
            <w:pPr>
              <w:pStyle w:val="15"/>
            </w:pPr>
            <w:r>
              <w:t>4.87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30309</w:t>
            </w:r>
          </w:p>
        </w:tc>
        <w:tc>
          <w:tcPr>
            <w:tcW w:w="4535" w:type="dxa"/>
            <w:vAlign w:val="center"/>
          </w:tcPr>
          <w:p>
            <w:pPr>
              <w:pStyle w:val="16"/>
            </w:pPr>
            <w:r>
              <w:t>奖励金</w:t>
            </w:r>
          </w:p>
        </w:tc>
        <w:tc>
          <w:tcPr>
            <w:tcW w:w="2551" w:type="dxa"/>
            <w:vAlign w:val="center"/>
          </w:tcPr>
          <w:p>
            <w:pPr>
              <w:pStyle w:val="15"/>
            </w:pPr>
            <w:r>
              <w:t>0.05</w:t>
            </w:r>
          </w:p>
        </w:tc>
        <w:tc>
          <w:tcPr>
            <w:tcW w:w="2551" w:type="dxa"/>
            <w:vAlign w:val="center"/>
          </w:tcPr>
          <w:p>
            <w:pPr>
              <w:pStyle w:val="15"/>
            </w:pPr>
            <w:r>
              <w:t>0.05</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225中共保定市徐水区委机构编制委员会办公室</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4"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225中共保定市徐水区委机构编制委员会办公室</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5"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225中共保定市徐水区委机构编制委员会办公室</w:t>
            </w:r>
          </w:p>
        </w:tc>
        <w:tc>
          <w:tcPr>
            <w:tcW w:w="2381" w:type="dxa"/>
            <w:tcBorders>
              <w:top w:val="single" w:color="FFFFFF" w:sz="6" w:space="0"/>
              <w:left w:val="single" w:color="FFFFFF" w:sz="6" w:space="0"/>
              <w:right w:val="single" w:color="FFFFFF" w:sz="6" w:space="0"/>
            </w:tcBorders>
            <w:vAlign w:val="center"/>
          </w:tcPr>
          <w:p>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pPr>
            <w:r>
              <w:t>2.43</w:t>
            </w:r>
          </w:p>
        </w:tc>
        <w:tc>
          <w:tcPr>
            <w:tcW w:w="2381" w:type="dxa"/>
            <w:vAlign w:val="center"/>
          </w:tcPr>
          <w:p>
            <w:pPr>
              <w:pStyle w:val="19"/>
            </w:pPr>
            <w:r>
              <w:t>2.43</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2"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2"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2"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中共保定市徐水区委机构编制委员会办公室2023年部门预算信息公开情况说明</w:t>
      </w:r>
    </w:p>
    <w:p>
      <w:pPr>
        <w:jc w:val="center"/>
      </w:pPr>
      <w:r>
        <w:rPr>
          <w:rFonts w:ascii="方正小标宋_GBK" w:hAnsi="方正小标宋_GBK" w:eastAsia="方正小标宋_GBK" w:cs="方正小标宋_GBK"/>
          <w:color w:val="000000"/>
          <w:sz w:val="44"/>
        </w:rPr>
        <w:t>中共保定市徐水区委机构编制委员会办公室2023年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、《地方预决算公开操作规程》和《关于进一步推进预算公开工作的实施意见》规定，现将中共保定市徐水区委机构编制委员会办公室2023年部门预算公开如下：</w:t>
      </w:r>
    </w:p>
    <w:p>
      <w:pPr>
        <w:spacing w:before="10" w:after="10" w:line="360" w:lineRule="auto"/>
        <w:ind w:firstLine="640"/>
        <w:outlineLvl w:val="2"/>
      </w:pPr>
      <w:bookmarkStart w:id="6"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6"/>
    </w:p>
    <w:p>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21"/>
      </w:pPr>
      <w:r>
        <w:t>根据《中共保定市徐水区委机构编制委员会办公室职能配置、内设机构和人员编制规定》，中共保定市徐水区委机构编制委员会办公室的主要职责是：</w:t>
      </w:r>
    </w:p>
    <w:p>
      <w:pPr>
        <w:pStyle w:val="21"/>
      </w:pPr>
      <w:r>
        <w:t>根据《中共保定市徐水区委机构编制委员会办公室职能配置、内设机构和人员编制规定》， 中共保定市徐水区委机构编制委员会办公室的主要职责是：</w:t>
      </w:r>
    </w:p>
    <w:p>
      <w:pPr>
        <w:pStyle w:val="21"/>
      </w:pPr>
      <w:r>
        <w:t>（一）贯彻落实党中央、省委、市委和区委关于行政管理体制和机构改革以及机构编制管理的政策法规；管理和指导区委、人大、政府、政协、监察委机关，各民主党派、人民团体机关以及全区事业单位的机构编制工作。</w:t>
      </w:r>
    </w:p>
    <w:p>
      <w:pPr>
        <w:pStyle w:val="21"/>
      </w:pPr>
      <w:r>
        <w:t>（二）组织拟订全区行政管理体制改革和区委、区政府机构改革方案并组织实施。审核区委、区政府各部门职能配置、内设机构、人员编制和领导职数以及全区乡（镇）机构改革方案；审核全区各级各类机关人员编制总额；指导协调乡（镇）行政管理体制和机构改革以及机构编制管理工作；研究推进机关后勤体制改革。</w:t>
      </w:r>
    </w:p>
    <w:p>
      <w:pPr>
        <w:pStyle w:val="21"/>
      </w:pPr>
      <w:r>
        <w:t>（三）协调区委各部门、区政府各部门的职能配置及其调整；协调区委各部门之间、区政府各部门之间、区委各部门与区政府各部门之间的职责分工。</w:t>
      </w:r>
    </w:p>
    <w:p>
      <w:pPr>
        <w:pStyle w:val="21"/>
      </w:pPr>
      <w:r>
        <w:t>（四）审核或审批区委、区政府各部门派出机构的职能配置、机构设置、人员编制和领导职数。</w:t>
      </w:r>
    </w:p>
    <w:p>
      <w:pPr>
        <w:pStyle w:val="21"/>
      </w:pPr>
      <w:r>
        <w:t>（五）审核区人大、区政协、区监察委和区级各民主党派、人民团体机关的职能配置、机构设置、人员编制和领导职数。</w:t>
      </w:r>
    </w:p>
    <w:p>
      <w:pPr>
        <w:pStyle w:val="21"/>
      </w:pPr>
      <w:r>
        <w:t>（六）组织拟订全区事业单位管理体制和机构改革方案；审核或审批区委、区政府直属事业单位和区直部门所属事业单位的机构编制事宜；负责全区党政群机关统一社会信用代码赋码管理工作，负责全区事业单位法人登记管理和监督检查工作。</w:t>
      </w:r>
    </w:p>
    <w:p>
      <w:pPr>
        <w:pStyle w:val="21"/>
      </w:pPr>
      <w:r>
        <w:t>（七）指导开发区（园区）行政管理体制改革工作；审核开发区（园区）职能配置、内设机构、人员编制和领导职数。</w:t>
      </w:r>
    </w:p>
    <w:p>
      <w:pPr>
        <w:pStyle w:val="21"/>
      </w:pPr>
      <w:r>
        <w:t>（八）负责全区机构编制的总量控制和动态管理。会同有关部门负责机构编制实名制工作；负责乡（镇）、区直机关事业单位编制使用核准。建立健全机构编制部门与有关部门间的协调配合约束机制。</w:t>
      </w:r>
    </w:p>
    <w:p>
      <w:pPr>
        <w:pStyle w:val="21"/>
      </w:pPr>
      <w:r>
        <w:t>（九）负责监督检查区级和乡（镇）级行政、事业单位管理体制和机构改革及机构编制执行情况的跟踪评估和监督检查。负责受理违反机构编制法规、纪律的检举、控告和投诉，对违反机构编制法规、纪律问题进行调查处理。</w:t>
      </w:r>
    </w:p>
    <w:p>
      <w:pPr>
        <w:pStyle w:val="21"/>
      </w:pPr>
      <w:r>
        <w:t>（十）负责全区机构编制电子政务和信息化工作。负责全区机构编制统计工作；负责机构编制网站的建设管理工作；指导全区党政群机关、事业单位和其他非营利性单位网上名称管理工作。</w:t>
      </w:r>
    </w:p>
    <w:p>
      <w:pPr>
        <w:pStyle w:val="21"/>
      </w:pPr>
      <w:r>
        <w:t>（十一）组织开展行政体制改革及机构编制管理创新基础性和前瞻性研究。</w:t>
      </w:r>
    </w:p>
    <w:p>
      <w:pPr>
        <w:pStyle w:val="21"/>
        <w:rPr>
          <w:rFonts w:ascii="方正楷体_GBK" w:hAnsi="方正楷体_GBK" w:eastAsia="方正楷体_GBK" w:cs="方正楷体_GBK"/>
          <w:b/>
          <w:color w:val="000000"/>
          <w:sz w:val="32"/>
          <w:lang w:eastAsia="zh-CN"/>
        </w:rPr>
      </w:pPr>
      <w:r>
        <w:t>（十二）完成区委、区政府和区委机构编制委员会交办的其他任务。</w:t>
      </w:r>
    </w:p>
    <w:p>
      <w:pPr>
        <w:ind w:firstLine="640"/>
      </w:pPr>
      <w:r>
        <w:rPr>
          <w:rFonts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中共保定市徐水区委机构编制委员会办公室本级</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spacing w:before="10" w:after="10" w:line="360" w:lineRule="auto"/>
        <w:ind w:firstLine="640"/>
        <w:outlineLvl w:val="2"/>
      </w:pPr>
      <w:bookmarkStart w:id="7"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7"/>
    </w:p>
    <w:p>
      <w:pPr>
        <w:spacing w:line="500" w:lineRule="exact"/>
        <w:ind w:firstLine="560"/>
      </w:pPr>
      <w:r>
        <w:rPr>
          <w:rFonts w:eastAsia="方正仿宋_GBK"/>
          <w:color w:val="000000"/>
          <w:sz w:val="28"/>
        </w:rPr>
        <w:t>按照预算管理有关规定，目前我省</w:t>
      </w:r>
      <w:r>
        <w:rPr>
          <w:rFonts w:hint="eastAsia" w:eastAsia="方正仿宋_GBK"/>
          <w:color w:val="000000"/>
          <w:sz w:val="28"/>
          <w:lang w:eastAsia="zh-CN"/>
        </w:rPr>
        <w:t>单位</w:t>
      </w:r>
      <w:r>
        <w:rPr>
          <w:rFonts w:eastAsia="方正仿宋_GBK"/>
          <w:color w:val="000000"/>
          <w:sz w:val="28"/>
        </w:rPr>
        <w:t>预算的编制实行综合预算管理，即全部收入和支出都反映在预算中。中共保定市徐水区委机构编制委员会办公室机关及所属事业单位的收支包含在部门预算中按照预算管理有关规定，目前我省单位预算的编制实行综合预算管理，即全部收入和支出都反映在预算中。</w:t>
      </w:r>
    </w:p>
    <w:p>
      <w:pPr>
        <w:pStyle w:val="30"/>
      </w:pPr>
      <w:r>
        <w:t>一、收入说明</w:t>
      </w:r>
    </w:p>
    <w:p>
      <w:pPr>
        <w:pStyle w:val="30"/>
      </w:pPr>
      <w:r>
        <w:t>反映本部门当年全部收入。2023年预算收入187.95万元，其中：一般公共预算收入187.9</w:t>
      </w:r>
      <w:r>
        <w:rPr>
          <w:rFonts w:hint="default"/>
          <w:lang w:val="en-US"/>
        </w:rPr>
        <w:t>4</w:t>
      </w:r>
      <w:r>
        <w:t>万元，基金预算收入0万元，国有资本经营预算收入0万元，财政专户核拨收入0万元，单位资金收入0.01万元，上年结转结余0万元。</w:t>
      </w:r>
    </w:p>
    <w:p>
      <w:pPr>
        <w:pStyle w:val="30"/>
      </w:pPr>
      <w:r>
        <w:t>二、支出说明</w:t>
      </w:r>
    </w:p>
    <w:p>
      <w:pPr>
        <w:pStyle w:val="30"/>
      </w:pPr>
      <w:r>
        <w:t>收支预算总表支出栏、基本支出表、项目支出表按经济分类和支出功能分类科目编制，反映编办年度部门预算中支出预算的总体情况。2023年支出预算 187.95万元，其中基本支出171.99万元</w:t>
      </w:r>
      <w:r>
        <w:rPr>
          <w:rFonts w:hint="eastAsia"/>
          <w:lang w:eastAsia="zh-CN"/>
        </w:rPr>
        <w:t>（包括</w:t>
      </w:r>
      <w:r>
        <w:t>2023年其他资金0.01万元</w:t>
      </w:r>
      <w:r>
        <w:rPr>
          <w:rFonts w:hint="eastAsia"/>
          <w:lang w:eastAsia="zh-CN"/>
        </w:rPr>
        <w:t>）</w:t>
      </w:r>
      <w:r>
        <w:t>，包括人员经费 153.29万元和日常公用经费18.7万元；项目支出15.96万元</w:t>
      </w:r>
      <w:r>
        <w:rPr>
          <w:rFonts w:hint="eastAsia"/>
          <w:lang w:eastAsia="zh-CN"/>
        </w:rPr>
        <w:t>：</w:t>
      </w:r>
      <w:r>
        <w:t>主要为编办事务管理工作经费3万元；电子政务中心工作经费4万元；机构编制管理工作经费3.65万元；行政体制改革工作经费2万元；中文域名管理工作经费3.3万元</w:t>
      </w:r>
      <w:r>
        <w:rPr>
          <w:rFonts w:hint="eastAsia"/>
          <w:lang w:eastAsia="zh-CN"/>
        </w:rPr>
        <w:t>；</w:t>
      </w:r>
      <w:r>
        <w:t>2023年其他资金0.01万元等。</w:t>
      </w:r>
    </w:p>
    <w:p>
      <w:pPr>
        <w:pStyle w:val="30"/>
      </w:pPr>
      <w:r>
        <w:t>三、比上年增减情况</w:t>
      </w:r>
    </w:p>
    <w:p>
      <w:pPr>
        <w:pStyle w:val="30"/>
      </w:pPr>
      <w:r>
        <w:t>本年度预算收支安排187.95万元，较上年减少17.2</w:t>
      </w:r>
      <w:r>
        <w:rPr>
          <w:rFonts w:hint="default"/>
          <w:lang w:val="en-US"/>
        </w:rPr>
        <w:t>0</w:t>
      </w:r>
      <w:r>
        <w:t>万元。其中:基本支出减少23.6</w:t>
      </w:r>
      <w:r>
        <w:rPr>
          <w:rFonts w:hint="default"/>
          <w:lang w:val="en-US"/>
        </w:rPr>
        <w:t>1</w:t>
      </w:r>
      <w:r>
        <w:t>万元，主要原因是人员调动及人员经费和遵守中央八项规定，厉行节约；项目支出增加6.41万元，主要原因是工作需要，项目资金增加。</w:t>
      </w:r>
    </w:p>
    <w:p>
      <w:pPr>
        <w:spacing w:before="10" w:after="10"/>
        <w:ind w:firstLine="640"/>
        <w:outlineLvl w:val="5"/>
        <w:rPr>
          <w:rFonts w:ascii="黑体" w:hAnsi="黑体" w:eastAsia="黑体" w:cs="黑体"/>
          <w:color w:val="000000"/>
          <w:sz w:val="32"/>
          <w:lang w:eastAsia="zh-CN"/>
        </w:rPr>
      </w:pPr>
      <w:bookmarkStart w:id="13" w:name="_GoBack"/>
      <w:bookmarkEnd w:id="13"/>
    </w:p>
    <w:p>
      <w:pPr>
        <w:spacing w:before="10" w:after="10"/>
        <w:ind w:firstLine="640"/>
        <w:outlineLvl w:val="5"/>
      </w:pPr>
      <w:r>
        <w:rPr>
          <w:rFonts w:ascii="黑体" w:hAnsi="黑体" w:eastAsia="黑体" w:cs="黑体"/>
          <w:color w:val="000000"/>
          <w:sz w:val="32"/>
        </w:rPr>
        <w:t>三、机关运行经费安排情况</w:t>
      </w:r>
    </w:p>
    <w:p>
      <w:pPr>
        <w:pStyle w:val="31"/>
      </w:pPr>
      <w:r>
        <w:t>2023年我部门机关运行经费安排18.7万元，其中办公费2.7万元，邮电费4.84万元，工会经费、福利费2.35万元，公务用车运行维护费2.43万元，其他支出6.38万元。</w:t>
      </w:r>
    </w:p>
    <w:p>
      <w:pPr>
        <w:spacing w:before="10" w:after="10"/>
        <w:ind w:firstLine="640"/>
        <w:outlineLvl w:val="5"/>
      </w:pPr>
      <w:r>
        <w:rPr>
          <w:rFonts w:ascii="黑体" w:hAnsi="黑体" w:eastAsia="黑体" w:cs="黑体"/>
          <w:color w:val="000000"/>
          <w:sz w:val="32"/>
        </w:rPr>
        <w:t>四、财政拨款“三公”经费预算情况及增减变化原因</w:t>
      </w:r>
    </w:p>
    <w:p>
      <w:pPr>
        <w:spacing w:line="500" w:lineRule="exact"/>
        <w:ind w:firstLine="560"/>
        <w:rPr>
          <w:rFonts w:hint="eastAsia" w:asciiTheme="minorEastAsia" w:hAnsiTheme="minorEastAsia" w:eastAsiaTheme="minorEastAsia" w:cstheme="minorEastAsia"/>
        </w:rPr>
      </w:pPr>
      <w:r>
        <w:rPr>
          <w:rFonts w:hint="eastAsia" w:asciiTheme="minorEastAsia" w:hAnsiTheme="minorEastAsia" w:eastAsiaTheme="minorEastAsia" w:cstheme="minorEastAsia"/>
        </w:rPr>
        <w:t>2023年，我部门财政拨款“三公” 经费预算安排2.43万元，其中因公出国（境）费0万元；公务用车购置及运维费2.43万元（其中：公务用车购置费为0万元，公务用车运维费2.43万元)；公务接待费0万元。与 2022年相比增加0万元， 增加的主要原因是：无公务接待费列支。</w:t>
      </w:r>
    </w:p>
    <w:p>
      <w:pPr>
        <w:spacing w:before="10" w:after="10" w:line="360" w:lineRule="auto"/>
        <w:ind w:firstLine="640"/>
        <w:outlineLvl w:val="2"/>
      </w:pPr>
      <w:bookmarkStart w:id="8" w:name="_Toc_3_3_0000000014"/>
      <w:r>
        <w:rPr>
          <w:rFonts w:ascii="黑体" w:hAnsi="黑体" w:eastAsia="黑体" w:cs="黑体"/>
          <w:color w:val="000000"/>
          <w:sz w:val="32"/>
        </w:rPr>
        <w:t>五、预算绩效信息</w:t>
      </w:r>
      <w:bookmarkEnd w:id="8"/>
    </w:p>
    <w:p>
      <w:pPr>
        <w:ind w:firstLine="640"/>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line="500" w:lineRule="exact"/>
        <w:ind w:firstLine="560"/>
      </w:pPr>
      <w:r>
        <w:rPr>
          <w:rFonts w:eastAsia="方正仿宋_GBK"/>
          <w:color w:val="000000"/>
          <w:sz w:val="28"/>
        </w:rPr>
        <w:t>（一）总体绩效目标</w:t>
      </w:r>
    </w:p>
    <w:p>
      <w:pPr>
        <w:pStyle w:val="25"/>
      </w:pPr>
      <w:r>
        <w:t>坚持以习近平新时代中国特色社会主义思想为指导，深入贯彻十九大和十九届二中、三中、四中、五中、六中全会精神。认真贯彻落实新时代中央、省委关于机构编制工作的决策部署，以推进国家治理体系和治理能力现代化为导向，以落实和加强党的全面领导为统领，进一步优化部门职责配置，促进党和国家机构设置更加协同高效，实现权责一致、履职到位、流程顺畅，进一步推进机构编制科学化规范化法定化。建立一条快速、准确访问政务部门和公益机构网站的绿色通道，推动政务公开和电子政务的发展。</w:t>
      </w:r>
    </w:p>
    <w:p>
      <w:pPr>
        <w:spacing w:line="500" w:lineRule="exact"/>
        <w:ind w:firstLine="560"/>
      </w:pPr>
      <w:r>
        <w:rPr>
          <w:rFonts w:eastAsia="方正仿宋_GBK"/>
          <w:color w:val="000000"/>
          <w:sz w:val="28"/>
        </w:rPr>
        <w:t>（二）分项绩效目标</w:t>
      </w:r>
    </w:p>
    <w:p>
      <w:pPr>
        <w:pStyle w:val="26"/>
      </w:pPr>
      <w:r>
        <w:rPr>
          <w:rFonts w:hint="default"/>
          <w:lang w:val="en-US" w:eastAsia="zh-CN"/>
        </w:rPr>
        <w:t>1</w:t>
      </w:r>
      <w:r>
        <w:rPr>
          <w:rFonts w:hint="eastAsia"/>
          <w:lang w:val="en-US" w:eastAsia="zh-CN"/>
        </w:rPr>
        <w:t>、</w:t>
      </w:r>
      <w:r>
        <w:t>电子政务建设更加规范</w:t>
      </w:r>
    </w:p>
    <w:p>
      <w:pPr>
        <w:pStyle w:val="26"/>
      </w:pPr>
      <w:r>
        <w:t>绩效目标：建立一条快速、准确访问政务部门和公益机构网站的绿色通道，推动政务公开和电子政务的发展。</w:t>
      </w:r>
    </w:p>
    <w:p>
      <w:pPr>
        <w:pStyle w:val="26"/>
      </w:pPr>
      <w:r>
        <w:t>绩效指标：深入推进网络信息安全和电子政务建设，党政群机关和事业单位以单位名称注册中文域名。4月份之前完成100%。</w:t>
      </w:r>
    </w:p>
    <w:p>
      <w:pPr>
        <w:pStyle w:val="26"/>
      </w:pPr>
      <w:r>
        <w:rPr>
          <w:rFonts w:hint="default"/>
          <w:lang w:val="en-US" w:eastAsia="zh-CN"/>
        </w:rPr>
        <w:t>2</w:t>
      </w:r>
      <w:r>
        <w:rPr>
          <w:rFonts w:hint="eastAsia"/>
          <w:lang w:val="en-US" w:eastAsia="zh-CN"/>
        </w:rPr>
        <w:t>、</w:t>
      </w:r>
      <w:r>
        <w:t>机构编制管理更加规范高效</w:t>
      </w:r>
    </w:p>
    <w:p>
      <w:pPr>
        <w:pStyle w:val="26"/>
      </w:pPr>
      <w:r>
        <w:t>绩效目标：完成全区机构编制信息管理系统，做好机构编制统计，数据分析。实现区本级部门用编申请、出入编业务网上办理。机构编制信息管理平台建设逐步完善，落实实名制数据月报制度。</w:t>
      </w:r>
    </w:p>
    <w:p>
      <w:pPr>
        <w:pStyle w:val="26"/>
      </w:pPr>
      <w:r>
        <w:t>绩效指标：完成各项综合事务完成占年度工作总量的比例达到100%。接受服务的各行政、事业单位对服务质量的满意度达到95%。区直有关部门职能配置、内设机构和人员编制得到优化，区直部门领导职数配备进一步规范。按时完成机构改革任务。综合行政执法队伍种类和层级减少、执法力量下沉，基层社会治理体系逐步健全完善，开发区各项自主权得到有效落实。</w:t>
      </w:r>
    </w:p>
    <w:p>
      <w:pPr>
        <w:pStyle w:val="26"/>
      </w:pPr>
      <w:r>
        <w:rPr>
          <w:rFonts w:hint="default"/>
          <w:lang w:val="en-US" w:eastAsia="zh-CN"/>
        </w:rPr>
        <w:t>3</w:t>
      </w:r>
      <w:r>
        <w:rPr>
          <w:rFonts w:hint="eastAsia"/>
          <w:lang w:val="en-US" w:eastAsia="zh-CN"/>
        </w:rPr>
        <w:t>、</w:t>
      </w:r>
      <w:r>
        <w:t>行政管理体制协调发展</w:t>
      </w:r>
    </w:p>
    <w:p>
      <w:pPr>
        <w:pStyle w:val="26"/>
      </w:pPr>
      <w:r>
        <w:t>绩效目标：大力推进事业单位整合精简，机构设置规范、职能定位明确，服务能力和水平大幅提升。事业单位信用体系建设加快推进，信息共享和协同监管明显加强。</w:t>
      </w:r>
    </w:p>
    <w:p>
      <w:pPr>
        <w:pStyle w:val="26"/>
      </w:pPr>
      <w:r>
        <w:t>绩效指标：2020年底，基本完成事业单位布局结构调整任务，改革完成率达到90%；事业单位“双随机、一公开”监管实现全覆盖、常态化。</w:t>
      </w:r>
    </w:p>
    <w:p>
      <w:pPr>
        <w:spacing w:line="500" w:lineRule="exact"/>
        <w:ind w:firstLine="560"/>
      </w:pPr>
      <w:r>
        <w:rPr>
          <w:rFonts w:eastAsia="方正仿宋_GBK"/>
          <w:color w:val="000000"/>
          <w:sz w:val="28"/>
        </w:rPr>
        <w:t>（三）工作保障措施</w:t>
      </w:r>
    </w:p>
    <w:p>
      <w:pPr>
        <w:pStyle w:val="27"/>
      </w:pPr>
      <w:r>
        <w:t>1</w:t>
      </w:r>
      <w:r>
        <w:rPr>
          <w:rFonts w:hint="eastAsia"/>
          <w:lang w:eastAsia="zh-CN"/>
        </w:rPr>
        <w:t>、</w:t>
      </w:r>
      <w:r>
        <w:t>加强组织领导，完善绩效制度。成立由编办主要领导同志任组长的预算绩效工作领导小组，建立统筹协调、分工协作、密切配合、合力推进的工作机制。将事前论证、目标管理、运行监控、绩效评价、结果应用等各项措施，贯穿于预算管理的全过程，建立健全机构编制预算绩效管理制度。围绕年度总体绩效目标和分类绩效目标，细化工作方案，明确责任主体、实施进度监控，确保绩效目标如期完成。</w:t>
      </w:r>
    </w:p>
    <w:p>
      <w:pPr>
        <w:pStyle w:val="27"/>
      </w:pPr>
      <w:r>
        <w:t>2</w:t>
      </w:r>
      <w:r>
        <w:rPr>
          <w:rFonts w:hint="eastAsia"/>
          <w:lang w:eastAsia="zh-CN"/>
        </w:rPr>
        <w:t>、</w:t>
      </w:r>
      <w:r>
        <w:t>分解细化责任，狠抓任务落实。按照“谁花钱、谁负责”的原则，明确各股室预算绩效管理职责。充分调动项目主管股室的积极性和主动性，由业务股室负责科学制定分管项目和内容的中期、终期绩效目标和评价指标，动态收集评估数据信息，开展预算绩效中期绩效评估、终期评价，落实整改措施。按照领导小组批示，开展分管项目及内容的预算绩效管理具体工作，实现定项目就要抓绩效、分资金就要管绩效，确保财务与业务工作紧密衔接，相互促进。</w:t>
      </w:r>
    </w:p>
    <w:p>
      <w:pPr>
        <w:pStyle w:val="27"/>
      </w:pPr>
      <w:r>
        <w:t>3</w:t>
      </w:r>
      <w:r>
        <w:rPr>
          <w:rFonts w:hint="eastAsia"/>
          <w:lang w:eastAsia="zh-CN"/>
        </w:rPr>
        <w:t>、</w:t>
      </w:r>
      <w:r>
        <w:t>强化预算执行，确保支出进度。强化财政预算执行的刚性约束，及时启动项目和资金支付，加快履行政府采购程序，优化部门预算支出结构，创新财政资金支出思路，合理改进支出方式，确保按照时间节点完成支出任务，提高财政资金使用效率。</w:t>
      </w:r>
    </w:p>
    <w:p>
      <w:pPr>
        <w:pStyle w:val="27"/>
      </w:pPr>
      <w:r>
        <w:t>4</w:t>
      </w:r>
      <w:r>
        <w:rPr>
          <w:rFonts w:hint="eastAsia"/>
          <w:lang w:eastAsia="zh-CN"/>
        </w:rPr>
        <w:t>、</w:t>
      </w:r>
      <w:r>
        <w:t>加大公开力度，提升评价效果。借鉴其他单位先进绩效评价经验，成立专门的评价工作小组，制定科学评价办法，对项目资金支出的经济性、效率性以及绩效目标的实现程度全方位评价，及时发现实施中存在的问题，并研究解决对策。评价过程要最大程度地实行信息公开，运用各种有效手段促进预算绩效工作扎实推进，做到程序规范、方法合理、结果可信。</w:t>
      </w:r>
    </w:p>
    <w:p>
      <w:pPr>
        <w:pStyle w:val="27"/>
      </w:pPr>
      <w:r>
        <w:t>5</w:t>
      </w:r>
      <w:r>
        <w:rPr>
          <w:rFonts w:hint="eastAsia"/>
          <w:lang w:eastAsia="zh-CN"/>
        </w:rPr>
        <w:t>、</w:t>
      </w:r>
      <w:r>
        <w:t>强化培训宣传，提升绩效水平。积极参加绩效管理业务培训，提高全办人员业务素质。通过网络、会议等方式加大宣传力度，强化预算绩效管理意识，营造良好的舆论氛围，提升预算绩效管理科学化水平。</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第二部分  预算项目绩效目标</w:t>
      </w:r>
    </w:p>
    <w:p>
      <w:pPr>
        <w:ind w:firstLine="560"/>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1.2023年度基本账户存款利息收入，银行结息转入</w:t>
            </w:r>
          </w:p>
          <w:p>
            <w:pPr>
              <w:pStyle w:val="16"/>
            </w:pPr>
            <w:r>
              <w:t>2.维护机关日常办公工作正常运转</w:t>
            </w:r>
          </w:p>
          <w:p>
            <w:pPr>
              <w:pStyle w:val="16"/>
            </w:pPr>
            <w:r>
              <w:t>3.全年预计利息收入0.01万元，于12月下旬支出完毕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利息金额</w:t>
            </w:r>
          </w:p>
        </w:tc>
        <w:tc>
          <w:tcPr>
            <w:tcW w:w="2835" w:type="dxa"/>
            <w:vAlign w:val="center"/>
          </w:tcPr>
          <w:p>
            <w:pPr>
              <w:pStyle w:val="16"/>
            </w:pPr>
            <w:r>
              <w:t>本年度利息收入金额</w:t>
            </w:r>
          </w:p>
        </w:tc>
        <w:tc>
          <w:tcPr>
            <w:tcW w:w="2551" w:type="dxa"/>
            <w:vAlign w:val="center"/>
          </w:tcPr>
          <w:p>
            <w:pPr>
              <w:pStyle w:val="16"/>
            </w:pPr>
            <w:r>
              <w:t>100元</w:t>
            </w:r>
          </w:p>
        </w:tc>
        <w:tc>
          <w:tcPr>
            <w:tcW w:w="2268" w:type="dxa"/>
            <w:vAlign w:val="center"/>
          </w:tcPr>
          <w:p>
            <w:pPr>
              <w:pStyle w:val="16"/>
            </w:pPr>
            <w:r>
              <w:t>近三年利息收入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支出率</w:t>
            </w:r>
          </w:p>
        </w:tc>
        <w:tc>
          <w:tcPr>
            <w:tcW w:w="2835" w:type="dxa"/>
            <w:vAlign w:val="center"/>
          </w:tcPr>
          <w:p>
            <w:pPr>
              <w:pStyle w:val="16"/>
            </w:pPr>
            <w:r>
              <w:t>全部利息收入支出情况</w:t>
            </w:r>
          </w:p>
        </w:tc>
        <w:tc>
          <w:tcPr>
            <w:tcW w:w="2551" w:type="dxa"/>
            <w:vAlign w:val="center"/>
          </w:tcPr>
          <w:p>
            <w:pPr>
              <w:pStyle w:val="16"/>
            </w:pPr>
            <w:r>
              <w:t>100%</w:t>
            </w:r>
          </w:p>
        </w:tc>
        <w:tc>
          <w:tcPr>
            <w:tcW w:w="2268" w:type="dxa"/>
            <w:vAlign w:val="center"/>
          </w:tcPr>
          <w:p>
            <w:pPr>
              <w:pStyle w:val="16"/>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全部支出时间</w:t>
            </w:r>
          </w:p>
        </w:tc>
        <w:tc>
          <w:tcPr>
            <w:tcW w:w="2835" w:type="dxa"/>
            <w:vAlign w:val="center"/>
          </w:tcPr>
          <w:p>
            <w:pPr>
              <w:pStyle w:val="16"/>
            </w:pPr>
            <w:r>
              <w:t>利息收入全部支出时间节点</w:t>
            </w:r>
          </w:p>
        </w:tc>
        <w:tc>
          <w:tcPr>
            <w:tcW w:w="2551" w:type="dxa"/>
            <w:vAlign w:val="center"/>
          </w:tcPr>
          <w:p>
            <w:pPr>
              <w:pStyle w:val="16"/>
            </w:pPr>
            <w:r>
              <w:t>≤12月</w:t>
            </w:r>
          </w:p>
        </w:tc>
        <w:tc>
          <w:tcPr>
            <w:tcW w:w="2268" w:type="dxa"/>
            <w:vAlign w:val="center"/>
          </w:tcPr>
          <w:p>
            <w:pPr>
              <w:pStyle w:val="16"/>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项目完成投入资金情况</w:t>
            </w:r>
          </w:p>
        </w:tc>
        <w:tc>
          <w:tcPr>
            <w:tcW w:w="2835" w:type="dxa"/>
            <w:vAlign w:val="center"/>
          </w:tcPr>
          <w:p>
            <w:pPr>
              <w:pStyle w:val="16"/>
            </w:pPr>
            <w:r>
              <w:t>完成利息收入全部支出完成率</w:t>
            </w:r>
          </w:p>
        </w:tc>
        <w:tc>
          <w:tcPr>
            <w:tcW w:w="2551" w:type="dxa"/>
            <w:vAlign w:val="center"/>
          </w:tcPr>
          <w:p>
            <w:pPr>
              <w:pStyle w:val="16"/>
            </w:pPr>
            <w:r>
              <w:t>100%</w:t>
            </w:r>
          </w:p>
        </w:tc>
        <w:tc>
          <w:tcPr>
            <w:tcW w:w="2268" w:type="dxa"/>
            <w:vAlign w:val="center"/>
          </w:tcPr>
          <w:p>
            <w:pPr>
              <w:pStyle w:val="16"/>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工作完成率</w:t>
            </w:r>
          </w:p>
        </w:tc>
        <w:tc>
          <w:tcPr>
            <w:tcW w:w="2835" w:type="dxa"/>
            <w:vAlign w:val="center"/>
          </w:tcPr>
          <w:p>
            <w:pPr>
              <w:pStyle w:val="16"/>
            </w:pPr>
            <w:r>
              <w:t>补充经费不足，促进工作完成</w:t>
            </w:r>
          </w:p>
        </w:tc>
        <w:tc>
          <w:tcPr>
            <w:tcW w:w="2551" w:type="dxa"/>
            <w:vAlign w:val="center"/>
          </w:tcPr>
          <w:p>
            <w:pPr>
              <w:pStyle w:val="16"/>
            </w:pPr>
            <w:r>
              <w:t>≥95%</w:t>
            </w:r>
          </w:p>
        </w:tc>
        <w:tc>
          <w:tcPr>
            <w:tcW w:w="2268" w:type="dxa"/>
            <w:vAlign w:val="center"/>
          </w:tcPr>
          <w:p>
            <w:pPr>
              <w:pStyle w:val="16"/>
            </w:pPr>
            <w:r>
              <w:t>工作需求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2、编办事务管理工作经费绩效目标表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1.加强事业单位法人登记、年检、变更，区直机关、群团和省、市事业单位登记管理机关授权的机构统一社会信用代码赋码证书发放和管理工作</w:t>
            </w:r>
          </w:p>
          <w:p>
            <w:pPr>
              <w:pStyle w:val="16"/>
            </w:pPr>
            <w:r>
              <w:t>2.做好事业单位年检工作</w:t>
            </w:r>
          </w:p>
          <w:p>
            <w:pPr>
              <w:pStyle w:val="16"/>
            </w:pPr>
            <w:r>
              <w:t>3.资金按进度及时支付到位，6月份完成60%，12月初完成100%。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报送事业单位法人年度报告数量</w:t>
            </w:r>
          </w:p>
        </w:tc>
        <w:tc>
          <w:tcPr>
            <w:tcW w:w="2835" w:type="dxa"/>
            <w:vAlign w:val="center"/>
          </w:tcPr>
          <w:p>
            <w:pPr>
              <w:pStyle w:val="16"/>
            </w:pPr>
            <w:r>
              <w:t>报送事业单位法人年度报告数量</w:t>
            </w:r>
          </w:p>
        </w:tc>
        <w:tc>
          <w:tcPr>
            <w:tcW w:w="2551" w:type="dxa"/>
            <w:vAlign w:val="center"/>
          </w:tcPr>
          <w:p>
            <w:pPr>
              <w:pStyle w:val="16"/>
            </w:pPr>
            <w:r>
              <w:t>150个</w:t>
            </w:r>
          </w:p>
        </w:tc>
        <w:tc>
          <w:tcPr>
            <w:tcW w:w="2268" w:type="dxa"/>
            <w:vAlign w:val="center"/>
          </w:tcPr>
          <w:p>
            <w:pPr>
              <w:pStyle w:val="16"/>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事业单位法人年度报告年检合格率</w:t>
            </w:r>
          </w:p>
        </w:tc>
        <w:tc>
          <w:tcPr>
            <w:tcW w:w="2835" w:type="dxa"/>
            <w:vAlign w:val="center"/>
          </w:tcPr>
          <w:p>
            <w:pPr>
              <w:pStyle w:val="16"/>
            </w:pPr>
            <w:r>
              <w:t>事业单位法人年度报告年检合格率</w:t>
            </w:r>
          </w:p>
        </w:tc>
        <w:tc>
          <w:tcPr>
            <w:tcW w:w="2551" w:type="dxa"/>
            <w:vAlign w:val="center"/>
          </w:tcPr>
          <w:p>
            <w:pPr>
              <w:pStyle w:val="16"/>
            </w:pPr>
            <w:r>
              <w:t>≥90%</w:t>
            </w:r>
          </w:p>
        </w:tc>
        <w:tc>
          <w:tcPr>
            <w:tcW w:w="2268" w:type="dxa"/>
            <w:vAlign w:val="center"/>
          </w:tcPr>
          <w:p>
            <w:pPr>
              <w:pStyle w:val="16"/>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年度报告及时性</w:t>
            </w:r>
          </w:p>
        </w:tc>
        <w:tc>
          <w:tcPr>
            <w:tcW w:w="2835" w:type="dxa"/>
            <w:vAlign w:val="center"/>
          </w:tcPr>
          <w:p>
            <w:pPr>
              <w:pStyle w:val="16"/>
            </w:pPr>
            <w:r>
              <w:t>年度报告及时性</w:t>
            </w:r>
          </w:p>
        </w:tc>
        <w:tc>
          <w:tcPr>
            <w:tcW w:w="2551" w:type="dxa"/>
            <w:vAlign w:val="center"/>
          </w:tcPr>
          <w:p>
            <w:pPr>
              <w:pStyle w:val="16"/>
            </w:pPr>
            <w:r>
              <w:t>按工作计划</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预算成本</w:t>
            </w:r>
          </w:p>
        </w:tc>
        <w:tc>
          <w:tcPr>
            <w:tcW w:w="2835" w:type="dxa"/>
            <w:vAlign w:val="center"/>
          </w:tcPr>
          <w:p>
            <w:pPr>
              <w:pStyle w:val="16"/>
            </w:pPr>
            <w:r>
              <w:t>实际支出与预算资金比率</w:t>
            </w:r>
          </w:p>
        </w:tc>
        <w:tc>
          <w:tcPr>
            <w:tcW w:w="2551" w:type="dxa"/>
            <w:vAlign w:val="center"/>
          </w:tcPr>
          <w:p>
            <w:pPr>
              <w:pStyle w:val="16"/>
            </w:pPr>
            <w:r>
              <w:t>≤100%</w:t>
            </w:r>
          </w:p>
        </w:tc>
        <w:tc>
          <w:tcPr>
            <w:tcW w:w="2268" w:type="dxa"/>
            <w:vAlign w:val="center"/>
          </w:tcPr>
          <w:p>
            <w:pPr>
              <w:pStyle w:val="16"/>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事业单位履职提升率</w:t>
            </w:r>
          </w:p>
        </w:tc>
        <w:tc>
          <w:tcPr>
            <w:tcW w:w="2835" w:type="dxa"/>
            <w:vAlign w:val="center"/>
          </w:tcPr>
          <w:p>
            <w:pPr>
              <w:pStyle w:val="16"/>
            </w:pPr>
            <w:r>
              <w:t>事业单位履职提升率</w:t>
            </w:r>
          </w:p>
        </w:tc>
        <w:tc>
          <w:tcPr>
            <w:tcW w:w="2551" w:type="dxa"/>
            <w:vAlign w:val="center"/>
          </w:tcPr>
          <w:p>
            <w:pPr>
              <w:pStyle w:val="16"/>
            </w:pPr>
            <w:r>
              <w:t>明显提升</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3、电子政务中心工作经费绩效目标表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指导、协调电子政务和信息化建设、机关电子政务和信息化建设日常工作、机构编制实名制和政务公开技术保障、承担党政机关、事业单位和社会组织网上名称管理以及事业单位登记管理相关技术保障和服务性等工作</w:t>
            </w:r>
          </w:p>
          <w:p>
            <w:pPr>
              <w:pStyle w:val="16"/>
            </w:pPr>
            <w:r>
              <w:t>2.加强机构编制电子政务和信息化建设工作</w:t>
            </w:r>
          </w:p>
          <w:p>
            <w:pPr>
              <w:pStyle w:val="16"/>
            </w:pPr>
            <w:r>
              <w:t>3.资金按进度及时支付到位，6月份完成50%，11月份完成100%。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网上实名数量</w:t>
            </w:r>
          </w:p>
        </w:tc>
        <w:tc>
          <w:tcPr>
            <w:tcW w:w="2835" w:type="dxa"/>
            <w:vAlign w:val="center"/>
          </w:tcPr>
          <w:p>
            <w:pPr>
              <w:pStyle w:val="16"/>
            </w:pPr>
            <w:r>
              <w:t>实名数量</w:t>
            </w:r>
          </w:p>
        </w:tc>
        <w:tc>
          <w:tcPr>
            <w:tcW w:w="2551" w:type="dxa"/>
            <w:vAlign w:val="center"/>
          </w:tcPr>
          <w:p>
            <w:pPr>
              <w:pStyle w:val="16"/>
            </w:pPr>
            <w:r>
              <w:t>5个</w:t>
            </w:r>
          </w:p>
        </w:tc>
        <w:tc>
          <w:tcPr>
            <w:tcW w:w="2268" w:type="dxa"/>
            <w:vAlign w:val="center"/>
          </w:tcPr>
          <w:p>
            <w:pPr>
              <w:pStyle w:val="16"/>
            </w:pPr>
            <w:r>
              <w:t>徐机编【2021】3号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完善信息化合格率</w:t>
            </w:r>
          </w:p>
        </w:tc>
        <w:tc>
          <w:tcPr>
            <w:tcW w:w="2835" w:type="dxa"/>
            <w:vAlign w:val="center"/>
          </w:tcPr>
          <w:p>
            <w:pPr>
              <w:pStyle w:val="16"/>
            </w:pPr>
            <w:r>
              <w:t>信息化合格率</w:t>
            </w:r>
          </w:p>
        </w:tc>
        <w:tc>
          <w:tcPr>
            <w:tcW w:w="2551" w:type="dxa"/>
            <w:vAlign w:val="center"/>
          </w:tcPr>
          <w:p>
            <w:pPr>
              <w:pStyle w:val="16"/>
            </w:pPr>
            <w:r>
              <w:t>≥95%</w:t>
            </w:r>
          </w:p>
        </w:tc>
        <w:tc>
          <w:tcPr>
            <w:tcW w:w="2268" w:type="dxa"/>
            <w:vAlign w:val="center"/>
          </w:tcPr>
          <w:p>
            <w:pPr>
              <w:pStyle w:val="16"/>
            </w:pPr>
            <w:r>
              <w:t>徐机编【2021】3号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信息化建设完成时间</w:t>
            </w:r>
          </w:p>
        </w:tc>
        <w:tc>
          <w:tcPr>
            <w:tcW w:w="2835" w:type="dxa"/>
            <w:vAlign w:val="center"/>
          </w:tcPr>
          <w:p>
            <w:pPr>
              <w:pStyle w:val="16"/>
            </w:pPr>
            <w:r>
              <w:t>信息化实际完成与计划比率</w:t>
            </w:r>
          </w:p>
        </w:tc>
        <w:tc>
          <w:tcPr>
            <w:tcW w:w="2551" w:type="dxa"/>
            <w:vAlign w:val="center"/>
          </w:tcPr>
          <w:p>
            <w:pPr>
              <w:pStyle w:val="16"/>
            </w:pPr>
            <w:r>
              <w:t>≥95%</w:t>
            </w:r>
          </w:p>
        </w:tc>
        <w:tc>
          <w:tcPr>
            <w:tcW w:w="2268" w:type="dxa"/>
            <w:vAlign w:val="center"/>
          </w:tcPr>
          <w:p>
            <w:pPr>
              <w:pStyle w:val="16"/>
            </w:pPr>
            <w:r>
              <w:t>徐机编【2021】3号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资金预算成本</w:t>
            </w:r>
          </w:p>
        </w:tc>
        <w:tc>
          <w:tcPr>
            <w:tcW w:w="2835" w:type="dxa"/>
            <w:vAlign w:val="center"/>
          </w:tcPr>
          <w:p>
            <w:pPr>
              <w:pStyle w:val="16"/>
            </w:pPr>
            <w:r>
              <w:t>资金成本</w:t>
            </w:r>
          </w:p>
        </w:tc>
        <w:tc>
          <w:tcPr>
            <w:tcW w:w="2551" w:type="dxa"/>
            <w:vAlign w:val="center"/>
          </w:tcPr>
          <w:p>
            <w:pPr>
              <w:pStyle w:val="16"/>
            </w:pPr>
            <w:r>
              <w:t>≤4万元</w:t>
            </w:r>
          </w:p>
        </w:tc>
        <w:tc>
          <w:tcPr>
            <w:tcW w:w="2268" w:type="dxa"/>
            <w:vAlign w:val="center"/>
          </w:tcPr>
          <w:p>
            <w:pPr>
              <w:pStyle w:val="16"/>
            </w:pPr>
            <w:r>
              <w:t>徐机编【2021】3号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工作效率提高</w:t>
            </w:r>
          </w:p>
        </w:tc>
        <w:tc>
          <w:tcPr>
            <w:tcW w:w="2835" w:type="dxa"/>
            <w:vAlign w:val="center"/>
          </w:tcPr>
          <w:p>
            <w:pPr>
              <w:pStyle w:val="16"/>
            </w:pPr>
            <w:r>
              <w:t>工作效率提高</w:t>
            </w:r>
          </w:p>
        </w:tc>
        <w:tc>
          <w:tcPr>
            <w:tcW w:w="2551" w:type="dxa"/>
            <w:vAlign w:val="center"/>
          </w:tcPr>
          <w:p>
            <w:pPr>
              <w:pStyle w:val="16"/>
            </w:pPr>
            <w:r>
              <w:t>≥10%</w:t>
            </w:r>
          </w:p>
        </w:tc>
        <w:tc>
          <w:tcPr>
            <w:tcW w:w="2268" w:type="dxa"/>
            <w:vAlign w:val="center"/>
          </w:tcPr>
          <w:p>
            <w:pPr>
              <w:pStyle w:val="16"/>
            </w:pPr>
            <w:r>
              <w:t>徐机编【2021】3号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服务队形满意度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4、机构编制管理工作经费绩效目标表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1.强化机构编制实名制及人员编制使用情况；用于开展机关、事业单位的机构编制管理工作.</w:t>
            </w:r>
          </w:p>
          <w:p>
            <w:pPr>
              <w:pStyle w:val="16"/>
            </w:pPr>
            <w:r>
              <w:t>2.做好实名制入编手续工作。</w:t>
            </w:r>
          </w:p>
          <w:p>
            <w:pPr>
              <w:pStyle w:val="16"/>
            </w:pPr>
            <w:r>
              <w:t>3.资金按进度及时支付到位，6月份完成60%，12月初完成100%。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办理实名制入编手续人数</w:t>
            </w:r>
          </w:p>
        </w:tc>
        <w:tc>
          <w:tcPr>
            <w:tcW w:w="2835" w:type="dxa"/>
            <w:vAlign w:val="center"/>
          </w:tcPr>
          <w:p>
            <w:pPr>
              <w:pStyle w:val="16"/>
            </w:pPr>
            <w:r>
              <w:t>办理实名制入编手续人数</w:t>
            </w:r>
          </w:p>
        </w:tc>
        <w:tc>
          <w:tcPr>
            <w:tcW w:w="2551" w:type="dxa"/>
            <w:vAlign w:val="center"/>
          </w:tcPr>
          <w:p>
            <w:pPr>
              <w:pStyle w:val="16"/>
            </w:pPr>
            <w:r>
              <w:t>150人</w:t>
            </w:r>
          </w:p>
        </w:tc>
        <w:tc>
          <w:tcPr>
            <w:tcW w:w="2268" w:type="dxa"/>
            <w:vAlign w:val="center"/>
          </w:tcPr>
          <w:p>
            <w:pPr>
              <w:pStyle w:val="16"/>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实名制管理执行率</w:t>
            </w:r>
          </w:p>
        </w:tc>
        <w:tc>
          <w:tcPr>
            <w:tcW w:w="2835" w:type="dxa"/>
            <w:vAlign w:val="center"/>
          </w:tcPr>
          <w:p>
            <w:pPr>
              <w:pStyle w:val="16"/>
            </w:pPr>
            <w:r>
              <w:t>实名制管理执行率</w:t>
            </w:r>
          </w:p>
        </w:tc>
        <w:tc>
          <w:tcPr>
            <w:tcW w:w="2551" w:type="dxa"/>
            <w:vAlign w:val="center"/>
          </w:tcPr>
          <w:p>
            <w:pPr>
              <w:pStyle w:val="16"/>
            </w:pPr>
            <w:r>
              <w:t>≥95%</w:t>
            </w:r>
          </w:p>
        </w:tc>
        <w:tc>
          <w:tcPr>
            <w:tcW w:w="2268" w:type="dxa"/>
            <w:vAlign w:val="center"/>
          </w:tcPr>
          <w:p>
            <w:pPr>
              <w:pStyle w:val="16"/>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办理实名制入编手续及时性</w:t>
            </w:r>
          </w:p>
        </w:tc>
        <w:tc>
          <w:tcPr>
            <w:tcW w:w="2835" w:type="dxa"/>
            <w:vAlign w:val="center"/>
          </w:tcPr>
          <w:p>
            <w:pPr>
              <w:pStyle w:val="16"/>
            </w:pPr>
            <w:r>
              <w:t>办理实名制入编手续及时性</w:t>
            </w:r>
          </w:p>
        </w:tc>
        <w:tc>
          <w:tcPr>
            <w:tcW w:w="2551" w:type="dxa"/>
            <w:vAlign w:val="center"/>
          </w:tcPr>
          <w:p>
            <w:pPr>
              <w:pStyle w:val="16"/>
            </w:pPr>
            <w:r>
              <w:t>按照工作计划</w:t>
            </w:r>
          </w:p>
        </w:tc>
        <w:tc>
          <w:tcPr>
            <w:tcW w:w="2268" w:type="dxa"/>
            <w:vAlign w:val="center"/>
          </w:tcPr>
          <w:p>
            <w:pPr>
              <w:pStyle w:val="16"/>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预算成本</w:t>
            </w:r>
          </w:p>
        </w:tc>
        <w:tc>
          <w:tcPr>
            <w:tcW w:w="2835" w:type="dxa"/>
            <w:vAlign w:val="center"/>
          </w:tcPr>
          <w:p>
            <w:pPr>
              <w:pStyle w:val="16"/>
            </w:pPr>
            <w:r>
              <w:t>实际支出与预算资金之间的比率</w:t>
            </w:r>
          </w:p>
        </w:tc>
        <w:tc>
          <w:tcPr>
            <w:tcW w:w="2551" w:type="dxa"/>
            <w:vAlign w:val="center"/>
          </w:tcPr>
          <w:p>
            <w:pPr>
              <w:pStyle w:val="16"/>
            </w:pPr>
            <w:r>
              <w:t>≤100%</w:t>
            </w:r>
          </w:p>
        </w:tc>
        <w:tc>
          <w:tcPr>
            <w:tcW w:w="2268" w:type="dxa"/>
            <w:vAlign w:val="center"/>
          </w:tcPr>
          <w:p>
            <w:pPr>
              <w:pStyle w:val="16"/>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机构编制管理水平提升度</w:t>
            </w:r>
          </w:p>
        </w:tc>
        <w:tc>
          <w:tcPr>
            <w:tcW w:w="2835" w:type="dxa"/>
            <w:vAlign w:val="center"/>
          </w:tcPr>
          <w:p>
            <w:pPr>
              <w:pStyle w:val="16"/>
            </w:pPr>
            <w:r>
              <w:t>机构编制管理水平提升度</w:t>
            </w:r>
          </w:p>
        </w:tc>
        <w:tc>
          <w:tcPr>
            <w:tcW w:w="2551" w:type="dxa"/>
            <w:vAlign w:val="center"/>
          </w:tcPr>
          <w:p>
            <w:pPr>
              <w:pStyle w:val="16"/>
            </w:pPr>
            <w:r>
              <w:t>明显提升</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5、行政体制改革工作经费绩效目标表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1.加强全区行政管理体制改革；指导园区管理体制机制改革；推进事业单位分类改革。</w:t>
            </w:r>
          </w:p>
          <w:p>
            <w:pPr>
              <w:pStyle w:val="16"/>
            </w:pPr>
            <w:r>
              <w:t>2.资金按进度及时支付到位，6月份完成60%，12月初完成100%。</w:t>
            </w:r>
          </w:p>
          <w:p>
            <w:pPr>
              <w:pStyle w:val="16"/>
            </w:pPr>
            <w:r>
              <w:t>3.做好行政机关、事业单位、园区改革工作。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行政体制改革单位数量</w:t>
            </w:r>
          </w:p>
        </w:tc>
        <w:tc>
          <w:tcPr>
            <w:tcW w:w="2835" w:type="dxa"/>
            <w:vAlign w:val="center"/>
          </w:tcPr>
          <w:p>
            <w:pPr>
              <w:pStyle w:val="16"/>
            </w:pPr>
            <w:r>
              <w:t>行政体制改革单位数量</w:t>
            </w:r>
          </w:p>
        </w:tc>
        <w:tc>
          <w:tcPr>
            <w:tcW w:w="2551" w:type="dxa"/>
            <w:vAlign w:val="center"/>
          </w:tcPr>
          <w:p>
            <w:pPr>
              <w:pStyle w:val="16"/>
            </w:pPr>
            <w:r>
              <w:t>3个</w:t>
            </w:r>
          </w:p>
        </w:tc>
        <w:tc>
          <w:tcPr>
            <w:tcW w:w="2268" w:type="dxa"/>
            <w:vAlign w:val="center"/>
          </w:tcPr>
          <w:p>
            <w:pPr>
              <w:pStyle w:val="16"/>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行政体制改革合格率</w:t>
            </w:r>
          </w:p>
        </w:tc>
        <w:tc>
          <w:tcPr>
            <w:tcW w:w="2835" w:type="dxa"/>
            <w:vAlign w:val="center"/>
          </w:tcPr>
          <w:p>
            <w:pPr>
              <w:pStyle w:val="16"/>
            </w:pPr>
            <w:r>
              <w:t>行政体制改革合格率</w:t>
            </w:r>
          </w:p>
        </w:tc>
        <w:tc>
          <w:tcPr>
            <w:tcW w:w="2551" w:type="dxa"/>
            <w:vAlign w:val="center"/>
          </w:tcPr>
          <w:p>
            <w:pPr>
              <w:pStyle w:val="16"/>
            </w:pPr>
            <w:r>
              <w:t>≥95%</w:t>
            </w:r>
          </w:p>
        </w:tc>
        <w:tc>
          <w:tcPr>
            <w:tcW w:w="2268" w:type="dxa"/>
            <w:vAlign w:val="center"/>
          </w:tcPr>
          <w:p>
            <w:pPr>
              <w:pStyle w:val="16"/>
            </w:pPr>
            <w:r>
              <w:t>按照历史标准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改革及时性</w:t>
            </w:r>
          </w:p>
        </w:tc>
        <w:tc>
          <w:tcPr>
            <w:tcW w:w="2835" w:type="dxa"/>
            <w:vAlign w:val="center"/>
          </w:tcPr>
          <w:p>
            <w:pPr>
              <w:pStyle w:val="16"/>
            </w:pPr>
            <w:r>
              <w:t>改革及时性</w:t>
            </w:r>
          </w:p>
        </w:tc>
        <w:tc>
          <w:tcPr>
            <w:tcW w:w="2551" w:type="dxa"/>
            <w:vAlign w:val="center"/>
          </w:tcPr>
          <w:p>
            <w:pPr>
              <w:pStyle w:val="16"/>
            </w:pPr>
            <w:r>
              <w:t>改革是否按照工作计划开展</w:t>
            </w:r>
          </w:p>
        </w:tc>
        <w:tc>
          <w:tcPr>
            <w:tcW w:w="2268" w:type="dxa"/>
            <w:vAlign w:val="center"/>
          </w:tcPr>
          <w:p>
            <w:pPr>
              <w:pStyle w:val="16"/>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预算成本</w:t>
            </w:r>
          </w:p>
        </w:tc>
        <w:tc>
          <w:tcPr>
            <w:tcW w:w="2835" w:type="dxa"/>
            <w:vAlign w:val="center"/>
          </w:tcPr>
          <w:p>
            <w:pPr>
              <w:pStyle w:val="16"/>
            </w:pPr>
            <w:r>
              <w:t>实际支出与预算资金之间的比率</w:t>
            </w:r>
          </w:p>
        </w:tc>
        <w:tc>
          <w:tcPr>
            <w:tcW w:w="2551" w:type="dxa"/>
            <w:vAlign w:val="center"/>
          </w:tcPr>
          <w:p>
            <w:pPr>
              <w:pStyle w:val="16"/>
            </w:pPr>
            <w:r>
              <w:t>2万元</w:t>
            </w:r>
          </w:p>
        </w:tc>
        <w:tc>
          <w:tcPr>
            <w:tcW w:w="2268" w:type="dxa"/>
            <w:vAlign w:val="center"/>
          </w:tcPr>
          <w:p>
            <w:pPr>
              <w:pStyle w:val="16"/>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行政机关、园区、事业单位职能配置提升度</w:t>
            </w:r>
          </w:p>
        </w:tc>
        <w:tc>
          <w:tcPr>
            <w:tcW w:w="2835" w:type="dxa"/>
            <w:vAlign w:val="center"/>
          </w:tcPr>
          <w:p>
            <w:pPr>
              <w:pStyle w:val="16"/>
            </w:pPr>
            <w:r>
              <w:t>行政机关、园区、事业单位职能配置提升度</w:t>
            </w:r>
          </w:p>
        </w:tc>
        <w:tc>
          <w:tcPr>
            <w:tcW w:w="2551" w:type="dxa"/>
            <w:vAlign w:val="center"/>
          </w:tcPr>
          <w:p>
            <w:pPr>
              <w:pStyle w:val="16"/>
            </w:pPr>
            <w:r>
              <w:t>明显提升</w:t>
            </w:r>
          </w:p>
        </w:tc>
        <w:tc>
          <w:tcPr>
            <w:tcW w:w="2268" w:type="dxa"/>
            <w:vAlign w:val="center"/>
          </w:tcPr>
          <w:p>
            <w:pPr>
              <w:pStyle w:val="16"/>
            </w:pPr>
            <w:r>
              <w:t>按照历史标准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6、中文域名管理工作经费绩效目标表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1.建立一条快速、准确访问政务部门和公益机构网站的绿色通道，推动政务公开和电子政务的发展。</w:t>
            </w:r>
          </w:p>
          <w:p>
            <w:pPr>
              <w:pStyle w:val="16"/>
            </w:pPr>
            <w:r>
              <w:t>2.完成缴纳达到要求至少165个党政群机关和事业单位以单位名称注册中文域名维护费</w:t>
            </w:r>
          </w:p>
          <w:p>
            <w:pPr>
              <w:pStyle w:val="16"/>
            </w:pPr>
            <w:r>
              <w:t>3.资金按进度及时支付到位，6月份完成100%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维护中文域名单位数量</w:t>
            </w:r>
          </w:p>
        </w:tc>
        <w:tc>
          <w:tcPr>
            <w:tcW w:w="2835" w:type="dxa"/>
            <w:vAlign w:val="center"/>
          </w:tcPr>
          <w:p>
            <w:pPr>
              <w:pStyle w:val="16"/>
            </w:pPr>
            <w:r>
              <w:t>考察是否与实际维护中文域名单位数量一致</w:t>
            </w:r>
          </w:p>
        </w:tc>
        <w:tc>
          <w:tcPr>
            <w:tcW w:w="2551" w:type="dxa"/>
            <w:vAlign w:val="center"/>
          </w:tcPr>
          <w:p>
            <w:pPr>
              <w:pStyle w:val="16"/>
            </w:pPr>
            <w:r>
              <w:t>≥300个</w:t>
            </w:r>
          </w:p>
        </w:tc>
        <w:tc>
          <w:tcPr>
            <w:tcW w:w="2268" w:type="dxa"/>
            <w:vAlign w:val="center"/>
          </w:tcPr>
          <w:p>
            <w:pPr>
              <w:pStyle w:val="16"/>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平台有效运行率</w:t>
            </w:r>
          </w:p>
        </w:tc>
        <w:tc>
          <w:tcPr>
            <w:tcW w:w="2835" w:type="dxa"/>
            <w:vAlign w:val="center"/>
          </w:tcPr>
          <w:p>
            <w:pPr>
              <w:pStyle w:val="16"/>
            </w:pPr>
            <w:r>
              <w:t>考察平台有效运行率大于90%</w:t>
            </w:r>
          </w:p>
        </w:tc>
        <w:tc>
          <w:tcPr>
            <w:tcW w:w="2551" w:type="dxa"/>
            <w:vAlign w:val="center"/>
          </w:tcPr>
          <w:p>
            <w:pPr>
              <w:pStyle w:val="16"/>
            </w:pPr>
            <w:r>
              <w:t>≥90%</w:t>
            </w:r>
          </w:p>
        </w:tc>
        <w:tc>
          <w:tcPr>
            <w:tcW w:w="2268" w:type="dxa"/>
            <w:vAlign w:val="center"/>
          </w:tcPr>
          <w:p>
            <w:pPr>
              <w:pStyle w:val="16"/>
            </w:pPr>
            <w:r>
              <w:t>按照历史标准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维护及时性</w:t>
            </w:r>
          </w:p>
        </w:tc>
        <w:tc>
          <w:tcPr>
            <w:tcW w:w="2835" w:type="dxa"/>
            <w:vAlign w:val="center"/>
          </w:tcPr>
          <w:p>
            <w:pPr>
              <w:pStyle w:val="16"/>
            </w:pPr>
            <w:r>
              <w:t>考察是否按照工作计划进行维护</w:t>
            </w:r>
          </w:p>
        </w:tc>
        <w:tc>
          <w:tcPr>
            <w:tcW w:w="2551" w:type="dxa"/>
            <w:vAlign w:val="center"/>
          </w:tcPr>
          <w:p>
            <w:pPr>
              <w:pStyle w:val="16"/>
            </w:pPr>
            <w:r>
              <w:t>按工作计划</w:t>
            </w:r>
          </w:p>
        </w:tc>
        <w:tc>
          <w:tcPr>
            <w:tcW w:w="2268" w:type="dxa"/>
            <w:vAlign w:val="center"/>
          </w:tcPr>
          <w:p>
            <w:pPr>
              <w:pStyle w:val="16"/>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每个单位中文域名维护预算成本</w:t>
            </w:r>
          </w:p>
        </w:tc>
        <w:tc>
          <w:tcPr>
            <w:tcW w:w="2835" w:type="dxa"/>
            <w:vAlign w:val="center"/>
          </w:tcPr>
          <w:p>
            <w:pPr>
              <w:pStyle w:val="16"/>
            </w:pPr>
            <w:r>
              <w:t>每个单位中文域名维护预算成本200元\年</w:t>
            </w:r>
          </w:p>
        </w:tc>
        <w:tc>
          <w:tcPr>
            <w:tcW w:w="2551" w:type="dxa"/>
            <w:vAlign w:val="center"/>
          </w:tcPr>
          <w:p>
            <w:pPr>
              <w:pStyle w:val="16"/>
            </w:pPr>
            <w:r>
              <w:t>200元</w:t>
            </w:r>
          </w:p>
        </w:tc>
        <w:tc>
          <w:tcPr>
            <w:tcW w:w="2268" w:type="dxa"/>
            <w:vAlign w:val="center"/>
          </w:tcPr>
          <w:p>
            <w:pPr>
              <w:pStyle w:val="16"/>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提供政务信息率</w:t>
            </w:r>
          </w:p>
        </w:tc>
        <w:tc>
          <w:tcPr>
            <w:tcW w:w="2835" w:type="dxa"/>
            <w:vAlign w:val="center"/>
          </w:tcPr>
          <w:p>
            <w:pPr>
              <w:pStyle w:val="16"/>
            </w:pPr>
            <w:r>
              <w:t>政务信息便利提升率</w:t>
            </w:r>
          </w:p>
        </w:tc>
        <w:tc>
          <w:tcPr>
            <w:tcW w:w="2551" w:type="dxa"/>
            <w:vAlign w:val="center"/>
          </w:tcPr>
          <w:p>
            <w:pPr>
              <w:pStyle w:val="16"/>
            </w:pPr>
            <w:r>
              <w:t>明显提升</w:t>
            </w:r>
          </w:p>
        </w:tc>
        <w:tc>
          <w:tcPr>
            <w:tcW w:w="2268" w:type="dxa"/>
            <w:vAlign w:val="center"/>
          </w:tcPr>
          <w:p>
            <w:pPr>
              <w:pStyle w:val="16"/>
            </w:pPr>
            <w:r>
              <w:t>按照历史标准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服务群众满意度</w:t>
            </w:r>
          </w:p>
        </w:tc>
        <w:tc>
          <w:tcPr>
            <w:tcW w:w="2835" w:type="dxa"/>
            <w:vAlign w:val="center"/>
          </w:tcPr>
          <w:p>
            <w:pPr>
              <w:pStyle w:val="16"/>
            </w:pPr>
            <w:r>
              <w:t>服务群众满意度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9" w:name="_Toc_3_3_0000000015"/>
      <w:r>
        <w:rPr>
          <w:rFonts w:ascii="黑体" w:hAnsi="黑体" w:eastAsia="黑体" w:cs="黑体"/>
          <w:color w:val="000000"/>
          <w:sz w:val="32"/>
        </w:rPr>
        <w:t>六、政府采购预算情况</w:t>
      </w:r>
      <w:bookmarkEnd w:id="9"/>
    </w:p>
    <w:p>
      <w:pPr>
        <w:spacing w:line="500" w:lineRule="exact"/>
        <w:ind w:firstLine="560"/>
      </w:pPr>
      <w:r>
        <w:rPr>
          <w:rFonts w:eastAsia="方正仿宋_GBK"/>
          <w:color w:val="000000"/>
          <w:sz w:val="28"/>
        </w:rPr>
        <w:t>2023年，中共保定市徐水区委机构编制委员会办公室安排政府采购预算0.00万元。具体内容见下表。</w:t>
      </w: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225中共保定市徐水区委机构编制委员会办公室</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0" w:name="_Toc_3_3_0000000016"/>
      <w:r>
        <w:rPr>
          <w:rFonts w:ascii="黑体" w:hAnsi="黑体" w:eastAsia="黑体" w:cs="黑体"/>
          <w:color w:val="000000"/>
          <w:sz w:val="32"/>
        </w:rPr>
        <w:t>七、国有资产信息</w:t>
      </w:r>
      <w:bookmarkEnd w:id="10"/>
    </w:p>
    <w:p>
      <w:pPr>
        <w:spacing w:line="500" w:lineRule="exact"/>
        <w:ind w:firstLine="560"/>
      </w:pPr>
      <w:r>
        <w:rPr>
          <w:rFonts w:eastAsia="方正仿宋_GBK"/>
          <w:color w:val="000000"/>
          <w:sz w:val="28"/>
        </w:rPr>
        <w:t>中共保定市徐水区委机构编制委员会办公室</w:t>
      </w:r>
      <w:r>
        <w:rPr>
          <w:rFonts w:hint="eastAsia" w:eastAsia="方正仿宋_GBK"/>
          <w:color w:val="000000"/>
          <w:sz w:val="28"/>
          <w:lang w:eastAsia="zh-CN"/>
        </w:rPr>
        <w:t>本级</w:t>
      </w:r>
      <w:r>
        <w:rPr>
          <w:rFonts w:eastAsia="方正仿宋_GBK"/>
          <w:color w:val="000000"/>
          <w:sz w:val="28"/>
        </w:rPr>
        <w:t>上年末固定资产金额为41.69万元（详见下表）。本年度拟购置固定资产总额为万</w:t>
      </w:r>
      <w:r>
        <w:rPr>
          <w:rFonts w:hint="eastAsia" w:eastAsiaTheme="minorEastAsia"/>
          <w:color w:val="000000"/>
          <w:sz w:val="28"/>
          <w:lang w:eastAsia="zh-CN"/>
        </w:rPr>
        <w:t>0万元，</w:t>
      </w:r>
      <w:r>
        <w:rPr>
          <w:rFonts w:eastAsia="方正仿宋_GBK"/>
          <w:color w:val="000000"/>
          <w:sz w:val="28"/>
        </w:rPr>
        <w:t>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225中共保定市徐水区委机构编制委员会办公室</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41.69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6"/>
            </w:pPr>
            <w:r>
              <w:t>2、车辆（台、辆）</w:t>
            </w:r>
          </w:p>
        </w:tc>
        <w:tc>
          <w:tcPr>
            <w:tcW w:w="2835" w:type="dxa"/>
            <w:vAlign w:val="center"/>
          </w:tcPr>
          <w:p>
            <w:pPr>
              <w:pStyle w:val="17"/>
            </w:pPr>
            <w:r>
              <w:t>1</w:t>
            </w:r>
          </w:p>
        </w:tc>
        <w:tc>
          <w:tcPr>
            <w:tcW w:w="2835" w:type="dxa"/>
            <w:vAlign w:val="center"/>
          </w:tcPr>
          <w:p>
            <w:pPr>
              <w:pStyle w:val="15"/>
            </w:pPr>
            <w:r>
              <w:t>19.98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6"/>
            </w:pPr>
            <w:r>
              <w:t>4、其他固定资产</w:t>
            </w:r>
          </w:p>
        </w:tc>
        <w:tc>
          <w:tcPr>
            <w:tcW w:w="2835" w:type="dxa"/>
            <w:vAlign w:val="center"/>
          </w:tcPr>
          <w:p>
            <w:pPr>
              <w:pStyle w:val="17"/>
            </w:pPr>
            <w:r>
              <w:t>115</w:t>
            </w:r>
          </w:p>
        </w:tc>
        <w:tc>
          <w:tcPr>
            <w:tcW w:w="2835" w:type="dxa"/>
            <w:vAlign w:val="center"/>
          </w:tcPr>
          <w:p>
            <w:pPr>
              <w:pStyle w:val="15"/>
            </w:pPr>
            <w:r>
              <w:t>21.71</w:t>
            </w:r>
          </w:p>
        </w:tc>
      </w:tr>
    </w:tbl>
    <w:p>
      <w:pPr>
        <w:ind w:firstLine="640"/>
      </w:pPr>
      <w:r>
        <w:rPr>
          <w:rFonts w:eastAsia="方正仿宋_GBK"/>
          <w:color w:val="000000"/>
          <w:sz w:val="32"/>
        </w:rPr>
        <w:t xml:space="preserve"> </w:t>
      </w:r>
    </w:p>
    <w:p>
      <w:pPr>
        <w:spacing w:before="10" w:after="10"/>
        <w:ind w:firstLine="640"/>
        <w:outlineLvl w:val="2"/>
      </w:pPr>
      <w:bookmarkStart w:id="11" w:name="_Toc_3_3_0000000017"/>
      <w:r>
        <w:rPr>
          <w:rFonts w:ascii="黑体" w:hAnsi="黑体" w:eastAsia="黑体" w:cs="黑体"/>
          <w:color w:val="000000"/>
          <w:sz w:val="32"/>
        </w:rPr>
        <w:t>八、名词解释</w:t>
      </w:r>
      <w:bookmarkEnd w:id="11"/>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2" w:name="_Toc_3_3_0000000018"/>
      <w:r>
        <w:rPr>
          <w:rFonts w:ascii="黑体" w:hAnsi="黑体" w:eastAsia="黑体" w:cs="黑体"/>
          <w:color w:val="000000"/>
          <w:sz w:val="32"/>
        </w:rPr>
        <w:t>九、其他需要说明的事项</w:t>
      </w:r>
      <w:bookmarkEnd w:id="12"/>
    </w:p>
    <w:p>
      <w:pPr>
        <w:spacing w:line="500" w:lineRule="exact"/>
        <w:ind w:firstLine="560"/>
      </w:pPr>
      <w:r>
        <w:rPr>
          <w:rFonts w:eastAsia="方正仿宋_GBK"/>
          <w:color w:val="000000"/>
          <w:sz w:val="28"/>
        </w:rPr>
        <w:t>我</w:t>
      </w:r>
      <w:r>
        <w:rPr>
          <w:rFonts w:hint="eastAsia" w:eastAsia="方正仿宋_GBK"/>
          <w:color w:val="000000"/>
          <w:sz w:val="28"/>
          <w:lang w:eastAsia="zh-CN"/>
        </w:rPr>
        <w:t>单位</w:t>
      </w:r>
      <w:r>
        <w:rPr>
          <w:rFonts w:eastAsia="方正仿宋_GBK"/>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E72"/>
    <w:rsid w:val="00167337"/>
    <w:rsid w:val="00255438"/>
    <w:rsid w:val="00532821"/>
    <w:rsid w:val="005C743B"/>
    <w:rsid w:val="00673436"/>
    <w:rsid w:val="006E4E72"/>
    <w:rsid w:val="009D6615"/>
    <w:rsid w:val="00B83083"/>
    <w:rsid w:val="00BE25EF"/>
    <w:rsid w:val="00ED54D0"/>
    <w:rsid w:val="00FD08A6"/>
    <w:rsid w:val="016658FE"/>
    <w:rsid w:val="12C30DFE"/>
    <w:rsid w:val="1376136D"/>
    <w:rsid w:val="175F4756"/>
    <w:rsid w:val="460D259C"/>
    <w:rsid w:val="6B9343BB"/>
    <w:rsid w:val="6FB8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字符"/>
    <w:basedOn w:val="10"/>
    <w:link w:val="4"/>
    <w:qFormat/>
    <w:uiPriority w:val="99"/>
    <w:rPr>
      <w:rFonts w:eastAsia="Times New Roman"/>
      <w:sz w:val="18"/>
      <w:szCs w:val="18"/>
      <w:lang w:eastAsia="uk-UA"/>
    </w:rPr>
  </w:style>
  <w:style w:type="character" w:customStyle="1" w:styleId="34">
    <w:name w:val="页脚 字符"/>
    <w:basedOn w:val="10"/>
    <w:link w:val="3"/>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2023-02-27T15:41:33Z</dcterms:created>
  <dcterms:modified xsi:type="dcterms:W3CDTF">2023-02-27T07:41:33Z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2023-02-27T15:41:26Z</dcterms:created>
  <dcterms:modified xsi:type="dcterms:W3CDTF">2023-02-27T07:41:26Z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2023-02-27T15:41:33Z</dcterms:created>
  <dcterms:modified xsi:type="dcterms:W3CDTF">2023-02-27T07:41:33Z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2023-02-27T15:41:26Z</dcterms:created>
  <dcterms:modified xsi:type="dcterms:W3CDTF">2023-02-27T07:41:26Z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2023-02-27T15:41:33Z</dcterms:created>
  <dcterms:modified xsi:type="dcterms:W3CDTF">2023-02-27T07:41:33Z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2023-02-27T15:41:33Z</dcterms:created>
  <dcterms:modified xsi:type="dcterms:W3CDTF">2023-02-27T07:41:33Z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2023-02-27T15:41:34Z</dcterms:created>
  <dcterms:modified xsi:type="dcterms:W3CDTF">2023-02-27T07:41:34Z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2023-02-27T15:41:23Z</dcterms:created>
  <dcterms:modified xsi:type="dcterms:W3CDTF">2023-02-27T07:41:22Z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2023-02-27T15:41:30Z</dcterms:created>
  <dcterms:modified xsi:type="dcterms:W3CDTF">2023-02-27T07:41:30Z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2023-02-27T15:41:26Z</dcterms:created>
  <dcterms:modified xsi:type="dcterms:W3CDTF">2023-02-27T07:41:26Z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2023-02-27T15:41:26Z</dcterms:created>
  <dcterms:modified xsi:type="dcterms:W3CDTF">2023-02-27T07:41:26Z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2023-02-27T15:41:27Z</dcterms:created>
  <dcterms:modified xsi:type="dcterms:W3CDTF">2023-02-27T07:41:27Z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2023-02-27T15:41:26Z</dcterms:created>
  <dcterms:modified xsi:type="dcterms:W3CDTF">2023-02-27T07:41:26Z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2023-02-27T15:41:33Z</dcterms:created>
  <dcterms:modified xsi:type="dcterms:W3CDTF">2023-02-27T07:41:33Z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2023-02-27T15:41:33Z</dcterms:created>
  <dcterms:modified xsi:type="dcterms:W3CDTF">2023-02-27T07:41:33Z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2023-02-27T15:41:26Z</dcterms:created>
  <dcterms:modified xsi:type="dcterms:W3CDTF">2023-02-27T07:41:26Z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2023-02-27T15:41:26Z</dcterms:created>
  <dcterms:modified xsi:type="dcterms:W3CDTF">2023-02-27T07:41:26Z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9B5EEEE-1487-44E6-B013-1A63D7CA7696}">
  <ds:schemaRefs/>
</ds:datastoreItem>
</file>

<file path=customXml/itemProps11.xml><?xml version="1.0" encoding="utf-8"?>
<ds:datastoreItem xmlns:ds="http://schemas.openxmlformats.org/officeDocument/2006/customXml" ds:itemID="{4C186C44-63BC-4B37-A45F-0A85839B18DB}">
  <ds:schemaRefs/>
</ds:datastoreItem>
</file>

<file path=customXml/itemProps12.xml><?xml version="1.0" encoding="utf-8"?>
<ds:datastoreItem xmlns:ds="http://schemas.openxmlformats.org/officeDocument/2006/customXml" ds:itemID="{A51A8214-74F1-4F71-8894-1B3C7E9CEC68}">
  <ds:schemaRefs/>
</ds:datastoreItem>
</file>

<file path=customXml/itemProps13.xml><?xml version="1.0" encoding="utf-8"?>
<ds:datastoreItem xmlns:ds="http://schemas.openxmlformats.org/officeDocument/2006/customXml" ds:itemID="{34C4618F-6F3B-4BE2-9B31-B2B648E3AA0A}">
  <ds:schemaRefs/>
</ds:datastoreItem>
</file>

<file path=customXml/itemProps14.xml><?xml version="1.0" encoding="utf-8"?>
<ds:datastoreItem xmlns:ds="http://schemas.openxmlformats.org/officeDocument/2006/customXml" ds:itemID="{3C3EE800-9894-4524-B7D4-9B4831F0189E}">
  <ds:schemaRefs/>
</ds:datastoreItem>
</file>

<file path=customXml/itemProps15.xml><?xml version="1.0" encoding="utf-8"?>
<ds:datastoreItem xmlns:ds="http://schemas.openxmlformats.org/officeDocument/2006/customXml" ds:itemID="{E45131D9-C219-4A74-93D2-0F3755C777D9}">
  <ds:schemaRefs/>
</ds:datastoreItem>
</file>

<file path=customXml/itemProps16.xml><?xml version="1.0" encoding="utf-8"?>
<ds:datastoreItem xmlns:ds="http://schemas.openxmlformats.org/officeDocument/2006/customXml" ds:itemID="{0EB9E867-D765-41F3-A7E5-0B917F9A7AA9}">
  <ds:schemaRefs/>
</ds:datastoreItem>
</file>

<file path=customXml/itemProps17.xml><?xml version="1.0" encoding="utf-8"?>
<ds:datastoreItem xmlns:ds="http://schemas.openxmlformats.org/officeDocument/2006/customXml" ds:itemID="{786DA87B-EADE-4F2B-8D59-9CE7649C63A0}">
  <ds:schemaRefs/>
</ds:datastoreItem>
</file>

<file path=customXml/itemProps18.xml><?xml version="1.0" encoding="utf-8"?>
<ds:datastoreItem xmlns:ds="http://schemas.openxmlformats.org/officeDocument/2006/customXml" ds:itemID="{7F42BD78-841F-4BCD-B6AE-E2810E6E234B}">
  <ds:schemaRefs/>
</ds:datastoreItem>
</file>

<file path=customXml/itemProps19.xml><?xml version="1.0" encoding="utf-8"?>
<ds:datastoreItem xmlns:ds="http://schemas.openxmlformats.org/officeDocument/2006/customXml" ds:itemID="{ED828746-A830-437C-B5FB-F50E1AE4A69F}">
  <ds:schemaRefs/>
</ds:datastoreItem>
</file>

<file path=customXml/itemProps2.xml><?xml version="1.0" encoding="utf-8"?>
<ds:datastoreItem xmlns:ds="http://schemas.openxmlformats.org/officeDocument/2006/customXml" ds:itemID="{F43ACDF2-FA94-4132-A187-9EF465EF3FEF}">
  <ds:schemaRefs/>
</ds:datastoreItem>
</file>

<file path=customXml/itemProps20.xml><?xml version="1.0" encoding="utf-8"?>
<ds:datastoreItem xmlns:ds="http://schemas.openxmlformats.org/officeDocument/2006/customXml" ds:itemID="{DE648641-71C7-46EB-9A6B-0697712A14F9}">
  <ds:schemaRefs/>
</ds:datastoreItem>
</file>

<file path=customXml/itemProps21.xml><?xml version="1.0" encoding="utf-8"?>
<ds:datastoreItem xmlns:ds="http://schemas.openxmlformats.org/officeDocument/2006/customXml" ds:itemID="{4B8BC6D8-AF67-4EA5-B579-77475E7B1E96}">
  <ds:schemaRefs/>
</ds:datastoreItem>
</file>

<file path=customXml/itemProps22.xml><?xml version="1.0" encoding="utf-8"?>
<ds:datastoreItem xmlns:ds="http://schemas.openxmlformats.org/officeDocument/2006/customXml" ds:itemID="{D68EC6EE-3962-4743-9E6E-909D949A4724}">
  <ds:schemaRefs/>
</ds:datastoreItem>
</file>

<file path=customXml/itemProps23.xml><?xml version="1.0" encoding="utf-8"?>
<ds:datastoreItem xmlns:ds="http://schemas.openxmlformats.org/officeDocument/2006/customXml" ds:itemID="{07263261-4301-49FE-BDD6-F41BC50DC772}">
  <ds:schemaRefs/>
</ds:datastoreItem>
</file>

<file path=customXml/itemProps24.xml><?xml version="1.0" encoding="utf-8"?>
<ds:datastoreItem xmlns:ds="http://schemas.openxmlformats.org/officeDocument/2006/customXml" ds:itemID="{238BEA65-67CF-4F0D-B90E-05E0DD9D66A6}">
  <ds:schemaRefs/>
</ds:datastoreItem>
</file>

<file path=customXml/itemProps25.xml><?xml version="1.0" encoding="utf-8"?>
<ds:datastoreItem xmlns:ds="http://schemas.openxmlformats.org/officeDocument/2006/customXml" ds:itemID="{93E0B03B-9318-4718-BE43-801136865791}">
  <ds:schemaRefs/>
</ds:datastoreItem>
</file>

<file path=customXml/itemProps26.xml><?xml version="1.0" encoding="utf-8"?>
<ds:datastoreItem xmlns:ds="http://schemas.openxmlformats.org/officeDocument/2006/customXml" ds:itemID="{EE6A62FC-C294-44DC-9A72-62F88C545820}">
  <ds:schemaRefs/>
</ds:datastoreItem>
</file>

<file path=customXml/itemProps27.xml><?xml version="1.0" encoding="utf-8"?>
<ds:datastoreItem xmlns:ds="http://schemas.openxmlformats.org/officeDocument/2006/customXml" ds:itemID="{E97C5536-D41A-4A0D-84E9-78990B88AEF4}">
  <ds:schemaRefs/>
</ds:datastoreItem>
</file>

<file path=customXml/itemProps28.xml><?xml version="1.0" encoding="utf-8"?>
<ds:datastoreItem xmlns:ds="http://schemas.openxmlformats.org/officeDocument/2006/customXml" ds:itemID="{F5684F20-97B7-45FC-943A-88A3FA65D252}">
  <ds:schemaRefs/>
</ds:datastoreItem>
</file>

<file path=customXml/itemProps29.xml><?xml version="1.0" encoding="utf-8"?>
<ds:datastoreItem xmlns:ds="http://schemas.openxmlformats.org/officeDocument/2006/customXml" ds:itemID="{15BB58AB-8AD2-4502-AB33-B83DFE4C77DE}">
  <ds:schemaRefs/>
</ds:datastoreItem>
</file>

<file path=customXml/itemProps3.xml><?xml version="1.0" encoding="utf-8"?>
<ds:datastoreItem xmlns:ds="http://schemas.openxmlformats.org/officeDocument/2006/customXml" ds:itemID="{1A64CFA2-F74A-4D65-B8AD-1451B21703A5}">
  <ds:schemaRefs/>
</ds:datastoreItem>
</file>

<file path=customXml/itemProps30.xml><?xml version="1.0" encoding="utf-8"?>
<ds:datastoreItem xmlns:ds="http://schemas.openxmlformats.org/officeDocument/2006/customXml" ds:itemID="{D956E699-784D-45D1-A7F2-C81AAD88790F}">
  <ds:schemaRefs/>
</ds:datastoreItem>
</file>

<file path=customXml/itemProps31.xml><?xml version="1.0" encoding="utf-8"?>
<ds:datastoreItem xmlns:ds="http://schemas.openxmlformats.org/officeDocument/2006/customXml" ds:itemID="{6BA5ED77-ED9A-4138-9ED1-A68421289678}">
  <ds:schemaRefs/>
</ds:datastoreItem>
</file>

<file path=customXml/itemProps32.xml><?xml version="1.0" encoding="utf-8"?>
<ds:datastoreItem xmlns:ds="http://schemas.openxmlformats.org/officeDocument/2006/customXml" ds:itemID="{02BEC2D9-2D7E-4B61-8244-A2AFD36B9DE2}">
  <ds:schemaRefs/>
</ds:datastoreItem>
</file>

<file path=customXml/itemProps33.xml><?xml version="1.0" encoding="utf-8"?>
<ds:datastoreItem xmlns:ds="http://schemas.openxmlformats.org/officeDocument/2006/customXml" ds:itemID="{95E4FD81-D1B6-4542-AB78-58E51ADF596E}">
  <ds:schemaRefs/>
</ds:datastoreItem>
</file>

<file path=customXml/itemProps34.xml><?xml version="1.0" encoding="utf-8"?>
<ds:datastoreItem xmlns:ds="http://schemas.openxmlformats.org/officeDocument/2006/customXml" ds:itemID="{0CF7C9CB-412B-49DE-9801-4852B86BF685}">
  <ds:schemaRefs/>
</ds:datastoreItem>
</file>

<file path=customXml/itemProps35.xml><?xml version="1.0" encoding="utf-8"?>
<ds:datastoreItem xmlns:ds="http://schemas.openxmlformats.org/officeDocument/2006/customXml" ds:itemID="{DF224553-1720-48D3-B066-83C0DF0DCFB7}">
  <ds:schemaRefs/>
</ds:datastoreItem>
</file>

<file path=customXml/itemProps4.xml><?xml version="1.0" encoding="utf-8"?>
<ds:datastoreItem xmlns:ds="http://schemas.openxmlformats.org/officeDocument/2006/customXml" ds:itemID="{5A55A894-EEBB-4145-B8A3-F376BB0B60AE}">
  <ds:schemaRefs/>
</ds:datastoreItem>
</file>

<file path=customXml/itemProps5.xml><?xml version="1.0" encoding="utf-8"?>
<ds:datastoreItem xmlns:ds="http://schemas.openxmlformats.org/officeDocument/2006/customXml" ds:itemID="{C8B7B505-70C6-442D-BC5B-4556B00ACC49}">
  <ds:schemaRefs/>
</ds:datastoreItem>
</file>

<file path=customXml/itemProps6.xml><?xml version="1.0" encoding="utf-8"?>
<ds:datastoreItem xmlns:ds="http://schemas.openxmlformats.org/officeDocument/2006/customXml" ds:itemID="{D286A878-EA6D-4E60-A0CD-36D36F16BC4D}">
  <ds:schemaRefs/>
</ds:datastoreItem>
</file>

<file path=customXml/itemProps7.xml><?xml version="1.0" encoding="utf-8"?>
<ds:datastoreItem xmlns:ds="http://schemas.openxmlformats.org/officeDocument/2006/customXml" ds:itemID="{2B99B6D9-58B9-4CF3-9B0E-C6A8D56E767A}">
  <ds:schemaRefs/>
</ds:datastoreItem>
</file>

<file path=customXml/itemProps8.xml><?xml version="1.0" encoding="utf-8"?>
<ds:datastoreItem xmlns:ds="http://schemas.openxmlformats.org/officeDocument/2006/customXml" ds:itemID="{2ACFE43F-7D87-4AFB-8C98-0624CB938840}">
  <ds:schemaRefs/>
</ds:datastoreItem>
</file>

<file path=customXml/itemProps9.xml><?xml version="1.0" encoding="utf-8"?>
<ds:datastoreItem xmlns:ds="http://schemas.openxmlformats.org/officeDocument/2006/customXml" ds:itemID="{216123EE-93C1-4C5B-8F05-679793C4E4BF}">
  <ds:schemaRefs/>
</ds:datastoreItem>
</file>

<file path=docProps/app.xml><?xml version="1.0" encoding="utf-8"?>
<Properties xmlns="http://schemas.openxmlformats.org/officeDocument/2006/extended-properties" xmlns:vt="http://schemas.openxmlformats.org/officeDocument/2006/docPropsVTypes">
  <Template>Normal</Template>
  <Pages>30</Pages>
  <Words>2188</Words>
  <Characters>12475</Characters>
  <Lines>103</Lines>
  <Paragraphs>29</Paragraphs>
  <TotalTime>5</TotalTime>
  <ScaleCrop>false</ScaleCrop>
  <LinksUpToDate>false</LinksUpToDate>
  <CharactersWithSpaces>14634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2023-02-27T15:41:00Z</dcterms:created>
  <dc:creator>Administrator</dc:creator>
  <cp:lastModifiedBy>Administrator</cp:lastModifiedBy>
  <cp:lastPrinted>2023-03-02T02:18:00Z</cp:lastPrinted>
  <dcterms:modified xsi:type="dcterms:W3CDTF">2024-10-22T02:37:06Z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ADD471892A02407FB82F77BC91BAD894</vt:lpwstr>
  </property>
</Properties>
</file>