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2288.06</w:t>
            </w:r>
          </w:p>
        </w:tc>
        <w:tc>
          <w:tcPr>
            <w:tcW w:w="4535" w:type="dxa"/>
            <w:vAlign w:val="center"/>
          </w:tcPr>
          <w:p>
            <w:pPr>
              <w:pStyle w:val="13"/>
            </w:pPr>
            <w:r>
              <w:t>一、一般公共服务支出</w:t>
            </w:r>
          </w:p>
        </w:tc>
        <w:tc>
          <w:tcPr>
            <w:tcW w:w="2126" w:type="dxa"/>
            <w:vAlign w:val="center"/>
          </w:tcPr>
          <w:p>
            <w:pPr>
              <w:pStyle w:val="12"/>
            </w:pPr>
            <w:r>
              <w:t>1503.88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340.55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49.95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250.56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120.32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2.41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2288.06</w:t>
            </w:r>
          </w:p>
        </w:tc>
        <w:tc>
          <w:tcPr>
            <w:tcW w:w="4535" w:type="dxa"/>
            <w:vAlign w:val="center"/>
          </w:tcPr>
          <w:p>
            <w:pPr>
              <w:pStyle w:val="15"/>
            </w:pPr>
            <w:r>
              <w:t>本年支出合计</w:t>
            </w:r>
          </w:p>
        </w:tc>
        <w:tc>
          <w:tcPr>
            <w:tcW w:w="2126" w:type="dxa"/>
            <w:vAlign w:val="center"/>
          </w:tcPr>
          <w:p>
            <w:pPr>
              <w:pStyle w:val="16"/>
            </w:pPr>
            <w:r>
              <w:t>2288.06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2288.06</w:t>
            </w:r>
          </w:p>
        </w:tc>
        <w:tc>
          <w:tcPr>
            <w:tcW w:w="4535" w:type="dxa"/>
            <w:vAlign w:val="center"/>
          </w:tcPr>
          <w:p>
            <w:pPr>
              <w:pStyle w:val="15"/>
            </w:pPr>
            <w:r>
              <w:t>支出总计</w:t>
            </w:r>
          </w:p>
        </w:tc>
        <w:tc>
          <w:tcPr>
            <w:tcW w:w="2126" w:type="dxa"/>
            <w:vAlign w:val="center"/>
          </w:tcPr>
          <w:p>
            <w:pPr>
              <w:pStyle w:val="16"/>
            </w:pPr>
            <w:r>
              <w:t>2288.06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2288.06</w:t>
            </w:r>
          </w:p>
        </w:tc>
        <w:tc>
          <w:tcPr>
            <w:tcW w:w="1134" w:type="dxa"/>
            <w:vAlign w:val="center"/>
          </w:tcPr>
          <w:p>
            <w:pPr>
              <w:pStyle w:val="16"/>
            </w:pPr>
            <w:r>
              <w:t>2288.06</w:t>
            </w:r>
          </w:p>
        </w:tc>
        <w:tc>
          <w:tcPr>
            <w:tcW w:w="1134" w:type="dxa"/>
            <w:vAlign w:val="center"/>
          </w:tcPr>
          <w:p>
            <w:pPr>
              <w:pStyle w:val="16"/>
            </w:pPr>
            <w:r>
              <w:t>2288.06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1503.88</w:t>
            </w:r>
          </w:p>
        </w:tc>
        <w:tc>
          <w:tcPr>
            <w:tcW w:w="1134" w:type="dxa"/>
            <w:vAlign w:val="center"/>
          </w:tcPr>
          <w:p>
            <w:pPr>
              <w:pStyle w:val="12"/>
            </w:pPr>
            <w:r>
              <w:t>1503.88</w:t>
            </w:r>
          </w:p>
        </w:tc>
        <w:tc>
          <w:tcPr>
            <w:tcW w:w="1134" w:type="dxa"/>
            <w:vAlign w:val="center"/>
          </w:tcPr>
          <w:p>
            <w:pPr>
              <w:pStyle w:val="12"/>
            </w:pPr>
            <w:r>
              <w:t>1503.88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1489.48</w:t>
            </w:r>
          </w:p>
        </w:tc>
        <w:tc>
          <w:tcPr>
            <w:tcW w:w="1134" w:type="dxa"/>
            <w:vAlign w:val="center"/>
          </w:tcPr>
          <w:p>
            <w:pPr>
              <w:pStyle w:val="12"/>
            </w:pPr>
            <w:r>
              <w:t>1489.48</w:t>
            </w:r>
          </w:p>
        </w:tc>
        <w:tc>
          <w:tcPr>
            <w:tcW w:w="1134" w:type="dxa"/>
            <w:vAlign w:val="center"/>
          </w:tcPr>
          <w:p>
            <w:pPr>
              <w:pStyle w:val="12"/>
            </w:pPr>
            <w:r>
              <w:t>1489.48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569.84</w:t>
            </w:r>
          </w:p>
        </w:tc>
        <w:tc>
          <w:tcPr>
            <w:tcW w:w="1134" w:type="dxa"/>
            <w:vAlign w:val="center"/>
          </w:tcPr>
          <w:p>
            <w:pPr>
              <w:pStyle w:val="12"/>
            </w:pPr>
            <w:r>
              <w:t>569.84</w:t>
            </w:r>
          </w:p>
        </w:tc>
        <w:tc>
          <w:tcPr>
            <w:tcW w:w="1134" w:type="dxa"/>
            <w:vAlign w:val="center"/>
          </w:tcPr>
          <w:p>
            <w:pPr>
              <w:pStyle w:val="12"/>
            </w:pPr>
            <w:r>
              <w:t>569.84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81.71</w:t>
            </w:r>
          </w:p>
        </w:tc>
        <w:tc>
          <w:tcPr>
            <w:tcW w:w="1134" w:type="dxa"/>
            <w:vAlign w:val="center"/>
          </w:tcPr>
          <w:p>
            <w:pPr>
              <w:pStyle w:val="12"/>
            </w:pPr>
            <w:r>
              <w:t>81.71</w:t>
            </w:r>
          </w:p>
        </w:tc>
        <w:tc>
          <w:tcPr>
            <w:tcW w:w="1134" w:type="dxa"/>
            <w:vAlign w:val="center"/>
          </w:tcPr>
          <w:p>
            <w:pPr>
              <w:pStyle w:val="12"/>
            </w:pPr>
            <w:r>
              <w:t>81.71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837.93</w:t>
            </w:r>
          </w:p>
        </w:tc>
        <w:tc>
          <w:tcPr>
            <w:tcW w:w="1134" w:type="dxa"/>
            <w:vAlign w:val="center"/>
          </w:tcPr>
          <w:p>
            <w:pPr>
              <w:pStyle w:val="12"/>
            </w:pPr>
            <w:r>
              <w:t>837.93</w:t>
            </w:r>
          </w:p>
        </w:tc>
        <w:tc>
          <w:tcPr>
            <w:tcW w:w="1134" w:type="dxa"/>
            <w:vAlign w:val="center"/>
          </w:tcPr>
          <w:p>
            <w:pPr>
              <w:pStyle w:val="12"/>
            </w:pPr>
            <w:r>
              <w:t>837.93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340.55</w:t>
            </w:r>
          </w:p>
        </w:tc>
        <w:tc>
          <w:tcPr>
            <w:tcW w:w="1134" w:type="dxa"/>
            <w:vAlign w:val="center"/>
          </w:tcPr>
          <w:p>
            <w:pPr>
              <w:pStyle w:val="12"/>
            </w:pPr>
            <w:r>
              <w:t>340.55</w:t>
            </w:r>
          </w:p>
        </w:tc>
        <w:tc>
          <w:tcPr>
            <w:tcW w:w="1134" w:type="dxa"/>
            <w:vAlign w:val="center"/>
          </w:tcPr>
          <w:p>
            <w:pPr>
              <w:pStyle w:val="12"/>
            </w:pPr>
            <w:r>
              <w:t>340.55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305.63</w:t>
            </w:r>
          </w:p>
        </w:tc>
        <w:tc>
          <w:tcPr>
            <w:tcW w:w="1134" w:type="dxa"/>
            <w:vAlign w:val="center"/>
          </w:tcPr>
          <w:p>
            <w:pPr>
              <w:pStyle w:val="12"/>
            </w:pPr>
            <w:r>
              <w:t>305.63</w:t>
            </w:r>
          </w:p>
        </w:tc>
        <w:tc>
          <w:tcPr>
            <w:tcW w:w="1134" w:type="dxa"/>
            <w:vAlign w:val="center"/>
          </w:tcPr>
          <w:p>
            <w:pPr>
              <w:pStyle w:val="12"/>
            </w:pPr>
            <w:r>
              <w:t>305.63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58.04</w:t>
            </w:r>
          </w:p>
        </w:tc>
        <w:tc>
          <w:tcPr>
            <w:tcW w:w="1134" w:type="dxa"/>
            <w:vAlign w:val="center"/>
          </w:tcPr>
          <w:p>
            <w:pPr>
              <w:pStyle w:val="12"/>
            </w:pPr>
            <w:r>
              <w:t>58.04</w:t>
            </w:r>
          </w:p>
        </w:tc>
        <w:tc>
          <w:tcPr>
            <w:tcW w:w="1134" w:type="dxa"/>
            <w:vAlign w:val="center"/>
          </w:tcPr>
          <w:p>
            <w:pPr>
              <w:pStyle w:val="12"/>
            </w:pPr>
            <w:r>
              <w:t>58.04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49.92</w:t>
            </w:r>
          </w:p>
        </w:tc>
        <w:tc>
          <w:tcPr>
            <w:tcW w:w="1134" w:type="dxa"/>
            <w:vAlign w:val="center"/>
          </w:tcPr>
          <w:p>
            <w:pPr>
              <w:pStyle w:val="12"/>
            </w:pPr>
            <w:r>
              <w:t>49.92</w:t>
            </w:r>
          </w:p>
        </w:tc>
        <w:tc>
          <w:tcPr>
            <w:tcW w:w="1134" w:type="dxa"/>
            <w:vAlign w:val="center"/>
          </w:tcPr>
          <w:p>
            <w:pPr>
              <w:pStyle w:val="12"/>
            </w:pPr>
            <w:r>
              <w:t>49.92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146.12</w:t>
            </w:r>
          </w:p>
        </w:tc>
        <w:tc>
          <w:tcPr>
            <w:tcW w:w="1134" w:type="dxa"/>
            <w:vAlign w:val="center"/>
          </w:tcPr>
          <w:p>
            <w:pPr>
              <w:pStyle w:val="12"/>
            </w:pPr>
            <w:r>
              <w:t>146.12</w:t>
            </w:r>
          </w:p>
        </w:tc>
        <w:tc>
          <w:tcPr>
            <w:tcW w:w="1134" w:type="dxa"/>
            <w:vAlign w:val="center"/>
          </w:tcPr>
          <w:p>
            <w:pPr>
              <w:pStyle w:val="12"/>
            </w:pPr>
            <w:r>
              <w:t>146.12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51.54</w:t>
            </w:r>
          </w:p>
        </w:tc>
        <w:tc>
          <w:tcPr>
            <w:tcW w:w="1134" w:type="dxa"/>
            <w:vAlign w:val="center"/>
          </w:tcPr>
          <w:p>
            <w:pPr>
              <w:pStyle w:val="12"/>
            </w:pPr>
            <w:r>
              <w:t>51.54</w:t>
            </w:r>
          </w:p>
        </w:tc>
        <w:tc>
          <w:tcPr>
            <w:tcW w:w="1134" w:type="dxa"/>
            <w:vAlign w:val="center"/>
          </w:tcPr>
          <w:p>
            <w:pPr>
              <w:pStyle w:val="12"/>
            </w:pPr>
            <w:r>
              <w:t>51.54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34.92</w:t>
            </w:r>
          </w:p>
        </w:tc>
        <w:tc>
          <w:tcPr>
            <w:tcW w:w="1134" w:type="dxa"/>
            <w:vAlign w:val="center"/>
          </w:tcPr>
          <w:p>
            <w:pPr>
              <w:pStyle w:val="12"/>
            </w:pPr>
            <w:r>
              <w:t>34.92</w:t>
            </w:r>
          </w:p>
        </w:tc>
        <w:tc>
          <w:tcPr>
            <w:tcW w:w="1134" w:type="dxa"/>
            <w:vAlign w:val="center"/>
          </w:tcPr>
          <w:p>
            <w:pPr>
              <w:pStyle w:val="12"/>
            </w:pPr>
            <w:r>
              <w:t>34.92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34.92</w:t>
            </w:r>
          </w:p>
        </w:tc>
        <w:tc>
          <w:tcPr>
            <w:tcW w:w="1134" w:type="dxa"/>
            <w:vAlign w:val="center"/>
          </w:tcPr>
          <w:p>
            <w:pPr>
              <w:pStyle w:val="12"/>
            </w:pPr>
            <w:r>
              <w:t>34.92</w:t>
            </w:r>
          </w:p>
        </w:tc>
        <w:tc>
          <w:tcPr>
            <w:tcW w:w="1134" w:type="dxa"/>
            <w:vAlign w:val="center"/>
          </w:tcPr>
          <w:p>
            <w:pPr>
              <w:pStyle w:val="12"/>
            </w:pPr>
            <w:r>
              <w:t>34.92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49.95</w:t>
            </w:r>
          </w:p>
        </w:tc>
        <w:tc>
          <w:tcPr>
            <w:tcW w:w="1134" w:type="dxa"/>
            <w:vAlign w:val="center"/>
          </w:tcPr>
          <w:p>
            <w:pPr>
              <w:pStyle w:val="12"/>
            </w:pPr>
            <w:r>
              <w:t>49.95</w:t>
            </w:r>
          </w:p>
        </w:tc>
        <w:tc>
          <w:tcPr>
            <w:tcW w:w="1134" w:type="dxa"/>
            <w:vAlign w:val="center"/>
          </w:tcPr>
          <w:p>
            <w:pPr>
              <w:pStyle w:val="12"/>
            </w:pPr>
            <w:r>
              <w:t>49.95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49.95</w:t>
            </w:r>
          </w:p>
        </w:tc>
        <w:tc>
          <w:tcPr>
            <w:tcW w:w="1134" w:type="dxa"/>
            <w:vAlign w:val="center"/>
          </w:tcPr>
          <w:p>
            <w:pPr>
              <w:pStyle w:val="12"/>
            </w:pPr>
            <w:r>
              <w:t>49.95</w:t>
            </w:r>
          </w:p>
        </w:tc>
        <w:tc>
          <w:tcPr>
            <w:tcW w:w="1134" w:type="dxa"/>
            <w:vAlign w:val="center"/>
          </w:tcPr>
          <w:p>
            <w:pPr>
              <w:pStyle w:val="12"/>
            </w:pPr>
            <w:r>
              <w:t>49.95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49.95</w:t>
            </w:r>
          </w:p>
        </w:tc>
        <w:tc>
          <w:tcPr>
            <w:tcW w:w="1134" w:type="dxa"/>
            <w:vAlign w:val="center"/>
          </w:tcPr>
          <w:p>
            <w:pPr>
              <w:pStyle w:val="12"/>
            </w:pPr>
            <w:r>
              <w:t>49.95</w:t>
            </w:r>
          </w:p>
        </w:tc>
        <w:tc>
          <w:tcPr>
            <w:tcW w:w="1134" w:type="dxa"/>
            <w:vAlign w:val="center"/>
          </w:tcPr>
          <w:p>
            <w:pPr>
              <w:pStyle w:val="12"/>
            </w:pPr>
            <w:r>
              <w:t>49.95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250.56</w:t>
            </w:r>
          </w:p>
        </w:tc>
        <w:tc>
          <w:tcPr>
            <w:tcW w:w="1134" w:type="dxa"/>
            <w:vAlign w:val="center"/>
          </w:tcPr>
          <w:p>
            <w:pPr>
              <w:pStyle w:val="12"/>
            </w:pPr>
            <w:r>
              <w:t>250.56</w:t>
            </w:r>
          </w:p>
        </w:tc>
        <w:tc>
          <w:tcPr>
            <w:tcW w:w="1134" w:type="dxa"/>
            <w:vAlign w:val="center"/>
          </w:tcPr>
          <w:p>
            <w:pPr>
              <w:pStyle w:val="12"/>
            </w:pPr>
            <w:r>
              <w:t>250.56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33.47</w:t>
            </w:r>
          </w:p>
        </w:tc>
        <w:tc>
          <w:tcPr>
            <w:tcW w:w="1134" w:type="dxa"/>
            <w:vAlign w:val="center"/>
          </w:tcPr>
          <w:p>
            <w:pPr>
              <w:pStyle w:val="12"/>
            </w:pPr>
            <w:r>
              <w:t>33.47</w:t>
            </w:r>
          </w:p>
        </w:tc>
        <w:tc>
          <w:tcPr>
            <w:tcW w:w="1134" w:type="dxa"/>
            <w:vAlign w:val="center"/>
          </w:tcPr>
          <w:p>
            <w:pPr>
              <w:pStyle w:val="12"/>
            </w:pPr>
            <w:r>
              <w:t>33.47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33.47</w:t>
            </w:r>
          </w:p>
        </w:tc>
        <w:tc>
          <w:tcPr>
            <w:tcW w:w="1134" w:type="dxa"/>
            <w:vAlign w:val="center"/>
          </w:tcPr>
          <w:p>
            <w:pPr>
              <w:pStyle w:val="12"/>
            </w:pPr>
            <w:r>
              <w:t>33.47</w:t>
            </w:r>
          </w:p>
        </w:tc>
        <w:tc>
          <w:tcPr>
            <w:tcW w:w="1134" w:type="dxa"/>
            <w:vAlign w:val="center"/>
          </w:tcPr>
          <w:p>
            <w:pPr>
              <w:pStyle w:val="12"/>
            </w:pPr>
            <w:r>
              <w:t>33.47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217.09</w:t>
            </w:r>
          </w:p>
        </w:tc>
        <w:tc>
          <w:tcPr>
            <w:tcW w:w="1134" w:type="dxa"/>
            <w:vAlign w:val="center"/>
          </w:tcPr>
          <w:p>
            <w:pPr>
              <w:pStyle w:val="12"/>
            </w:pPr>
            <w:r>
              <w:t>217.09</w:t>
            </w:r>
          </w:p>
        </w:tc>
        <w:tc>
          <w:tcPr>
            <w:tcW w:w="1134" w:type="dxa"/>
            <w:vAlign w:val="center"/>
          </w:tcPr>
          <w:p>
            <w:pPr>
              <w:pStyle w:val="12"/>
            </w:pPr>
            <w:r>
              <w:t>217.09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217.09</w:t>
            </w:r>
          </w:p>
        </w:tc>
        <w:tc>
          <w:tcPr>
            <w:tcW w:w="1134" w:type="dxa"/>
            <w:vAlign w:val="center"/>
          </w:tcPr>
          <w:p>
            <w:pPr>
              <w:pStyle w:val="12"/>
            </w:pPr>
            <w:r>
              <w:t>217.09</w:t>
            </w:r>
          </w:p>
        </w:tc>
        <w:tc>
          <w:tcPr>
            <w:tcW w:w="1134" w:type="dxa"/>
            <w:vAlign w:val="center"/>
          </w:tcPr>
          <w:p>
            <w:pPr>
              <w:pStyle w:val="12"/>
            </w:pPr>
            <w:r>
              <w:t>217.09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8.10</w:t>
            </w:r>
          </w:p>
        </w:tc>
        <w:tc>
          <w:tcPr>
            <w:tcW w:w="1134" w:type="dxa"/>
            <w:vAlign w:val="center"/>
          </w:tcPr>
          <w:p>
            <w:pPr>
              <w:pStyle w:val="12"/>
            </w:pPr>
            <w:r>
              <w:t>8.10</w:t>
            </w:r>
          </w:p>
        </w:tc>
        <w:tc>
          <w:tcPr>
            <w:tcW w:w="1134" w:type="dxa"/>
            <w:vAlign w:val="center"/>
          </w:tcPr>
          <w:p>
            <w:pPr>
              <w:pStyle w:val="12"/>
            </w:pPr>
            <w:r>
              <w:t>8.10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8.10</w:t>
            </w:r>
          </w:p>
        </w:tc>
        <w:tc>
          <w:tcPr>
            <w:tcW w:w="1134" w:type="dxa"/>
            <w:vAlign w:val="center"/>
          </w:tcPr>
          <w:p>
            <w:pPr>
              <w:pStyle w:val="12"/>
            </w:pPr>
            <w:r>
              <w:t>8.10</w:t>
            </w:r>
          </w:p>
        </w:tc>
        <w:tc>
          <w:tcPr>
            <w:tcW w:w="1134" w:type="dxa"/>
            <w:vAlign w:val="center"/>
          </w:tcPr>
          <w:p>
            <w:pPr>
              <w:pStyle w:val="12"/>
            </w:pPr>
            <w:r>
              <w:t>8.10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2140102</w:t>
            </w:r>
          </w:p>
        </w:tc>
        <w:tc>
          <w:tcPr>
            <w:tcW w:w="1559" w:type="dxa"/>
            <w:vAlign w:val="center"/>
          </w:tcPr>
          <w:p>
            <w:pPr>
              <w:pStyle w:val="13"/>
            </w:pPr>
            <w:r>
              <w:t>一般行政管理事务</w:t>
            </w:r>
          </w:p>
        </w:tc>
        <w:tc>
          <w:tcPr>
            <w:tcW w:w="1134" w:type="dxa"/>
            <w:vAlign w:val="center"/>
          </w:tcPr>
          <w:p>
            <w:pPr>
              <w:pStyle w:val="12"/>
            </w:pPr>
            <w:r>
              <w:t>8.10</w:t>
            </w:r>
          </w:p>
        </w:tc>
        <w:tc>
          <w:tcPr>
            <w:tcW w:w="1134" w:type="dxa"/>
            <w:vAlign w:val="center"/>
          </w:tcPr>
          <w:p>
            <w:pPr>
              <w:pStyle w:val="12"/>
            </w:pPr>
            <w:r>
              <w:t>8.10</w:t>
            </w:r>
          </w:p>
        </w:tc>
        <w:tc>
          <w:tcPr>
            <w:tcW w:w="1134" w:type="dxa"/>
            <w:vAlign w:val="center"/>
          </w:tcPr>
          <w:p>
            <w:pPr>
              <w:pStyle w:val="12"/>
            </w:pPr>
            <w:r>
              <w:t>8.10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120.32</w:t>
            </w:r>
          </w:p>
        </w:tc>
        <w:tc>
          <w:tcPr>
            <w:tcW w:w="1134" w:type="dxa"/>
            <w:vAlign w:val="center"/>
          </w:tcPr>
          <w:p>
            <w:pPr>
              <w:pStyle w:val="12"/>
            </w:pPr>
            <w:r>
              <w:t>120.32</w:t>
            </w:r>
          </w:p>
        </w:tc>
        <w:tc>
          <w:tcPr>
            <w:tcW w:w="1134" w:type="dxa"/>
            <w:vAlign w:val="center"/>
          </w:tcPr>
          <w:p>
            <w:pPr>
              <w:pStyle w:val="12"/>
            </w:pPr>
            <w:r>
              <w:t>120.32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120.32</w:t>
            </w:r>
          </w:p>
        </w:tc>
        <w:tc>
          <w:tcPr>
            <w:tcW w:w="1134" w:type="dxa"/>
            <w:vAlign w:val="center"/>
          </w:tcPr>
          <w:p>
            <w:pPr>
              <w:pStyle w:val="12"/>
            </w:pPr>
            <w:r>
              <w:t>120.32</w:t>
            </w:r>
          </w:p>
        </w:tc>
        <w:tc>
          <w:tcPr>
            <w:tcW w:w="1134" w:type="dxa"/>
            <w:vAlign w:val="center"/>
          </w:tcPr>
          <w:p>
            <w:pPr>
              <w:pStyle w:val="12"/>
            </w:pPr>
            <w:r>
              <w:t>120.32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120.32</w:t>
            </w:r>
          </w:p>
        </w:tc>
        <w:tc>
          <w:tcPr>
            <w:tcW w:w="1134" w:type="dxa"/>
            <w:vAlign w:val="center"/>
          </w:tcPr>
          <w:p>
            <w:pPr>
              <w:pStyle w:val="12"/>
            </w:pPr>
            <w:r>
              <w:t>120.32</w:t>
            </w:r>
          </w:p>
        </w:tc>
        <w:tc>
          <w:tcPr>
            <w:tcW w:w="1134" w:type="dxa"/>
            <w:vAlign w:val="center"/>
          </w:tcPr>
          <w:p>
            <w:pPr>
              <w:pStyle w:val="12"/>
            </w:pPr>
            <w:r>
              <w:t>120.32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2.41</w:t>
            </w:r>
          </w:p>
        </w:tc>
        <w:tc>
          <w:tcPr>
            <w:tcW w:w="1134" w:type="dxa"/>
            <w:vAlign w:val="center"/>
          </w:tcPr>
          <w:p>
            <w:pPr>
              <w:pStyle w:val="12"/>
            </w:pPr>
            <w:r>
              <w:t>2.41</w:t>
            </w:r>
          </w:p>
        </w:tc>
        <w:tc>
          <w:tcPr>
            <w:tcW w:w="1134" w:type="dxa"/>
            <w:vAlign w:val="center"/>
          </w:tcPr>
          <w:p>
            <w:pPr>
              <w:pStyle w:val="12"/>
            </w:pPr>
            <w:r>
              <w:t>2.41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2.41</w:t>
            </w:r>
          </w:p>
        </w:tc>
        <w:tc>
          <w:tcPr>
            <w:tcW w:w="1134" w:type="dxa"/>
            <w:vAlign w:val="center"/>
          </w:tcPr>
          <w:p>
            <w:pPr>
              <w:pStyle w:val="12"/>
            </w:pPr>
            <w:r>
              <w:t>2.41</w:t>
            </w:r>
          </w:p>
        </w:tc>
        <w:tc>
          <w:tcPr>
            <w:tcW w:w="1134" w:type="dxa"/>
            <w:vAlign w:val="center"/>
          </w:tcPr>
          <w:p>
            <w:pPr>
              <w:pStyle w:val="12"/>
            </w:pPr>
            <w:r>
              <w:t>2.41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2.41</w:t>
            </w:r>
          </w:p>
        </w:tc>
        <w:tc>
          <w:tcPr>
            <w:tcW w:w="1134" w:type="dxa"/>
            <w:vAlign w:val="center"/>
          </w:tcPr>
          <w:p>
            <w:pPr>
              <w:pStyle w:val="12"/>
            </w:pPr>
            <w:r>
              <w:t>2.41</w:t>
            </w:r>
          </w:p>
        </w:tc>
        <w:tc>
          <w:tcPr>
            <w:tcW w:w="1134" w:type="dxa"/>
            <w:vAlign w:val="center"/>
          </w:tcPr>
          <w:p>
            <w:pPr>
              <w:pStyle w:val="12"/>
            </w:pPr>
            <w:r>
              <w:t>2.41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2288.06</w:t>
            </w:r>
          </w:p>
        </w:tc>
        <w:tc>
          <w:tcPr>
            <w:tcW w:w="1361" w:type="dxa"/>
            <w:vAlign w:val="center"/>
          </w:tcPr>
          <w:p>
            <w:pPr>
              <w:pStyle w:val="16"/>
            </w:pPr>
            <w:r>
              <w:t>1883.67</w:t>
            </w:r>
          </w:p>
        </w:tc>
        <w:tc>
          <w:tcPr>
            <w:tcW w:w="1361" w:type="dxa"/>
            <w:vAlign w:val="center"/>
          </w:tcPr>
          <w:p>
            <w:pPr>
              <w:pStyle w:val="16"/>
            </w:pPr>
            <w:r>
              <w:t>404.39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1503.88</w:t>
            </w:r>
          </w:p>
        </w:tc>
        <w:tc>
          <w:tcPr>
            <w:tcW w:w="1361" w:type="dxa"/>
            <w:vAlign w:val="center"/>
          </w:tcPr>
          <w:p>
            <w:pPr>
              <w:pStyle w:val="12"/>
            </w:pPr>
            <w:r>
              <w:t>1407.77</w:t>
            </w:r>
          </w:p>
        </w:tc>
        <w:tc>
          <w:tcPr>
            <w:tcW w:w="1361" w:type="dxa"/>
            <w:vAlign w:val="center"/>
          </w:tcPr>
          <w:p>
            <w:pPr>
              <w:pStyle w:val="12"/>
            </w:pPr>
            <w:r>
              <w:t>96.11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1489.48</w:t>
            </w:r>
          </w:p>
        </w:tc>
        <w:tc>
          <w:tcPr>
            <w:tcW w:w="1361" w:type="dxa"/>
            <w:vAlign w:val="center"/>
          </w:tcPr>
          <w:p>
            <w:pPr>
              <w:pStyle w:val="12"/>
            </w:pPr>
            <w:r>
              <w:t>1407.77</w:t>
            </w:r>
          </w:p>
        </w:tc>
        <w:tc>
          <w:tcPr>
            <w:tcW w:w="1361" w:type="dxa"/>
            <w:vAlign w:val="center"/>
          </w:tcPr>
          <w:p>
            <w:pPr>
              <w:pStyle w:val="12"/>
            </w:pPr>
            <w:r>
              <w:t>81.71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569.84</w:t>
            </w:r>
          </w:p>
        </w:tc>
        <w:tc>
          <w:tcPr>
            <w:tcW w:w="1361" w:type="dxa"/>
            <w:vAlign w:val="center"/>
          </w:tcPr>
          <w:p>
            <w:pPr>
              <w:pStyle w:val="12"/>
            </w:pPr>
            <w:r>
              <w:t>569.84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81.71</w:t>
            </w:r>
          </w:p>
        </w:tc>
        <w:tc>
          <w:tcPr>
            <w:tcW w:w="1361" w:type="dxa"/>
            <w:vAlign w:val="center"/>
          </w:tcPr>
          <w:p>
            <w:pPr>
              <w:pStyle w:val="12"/>
            </w:pPr>
          </w:p>
        </w:tc>
        <w:tc>
          <w:tcPr>
            <w:tcW w:w="1361" w:type="dxa"/>
            <w:vAlign w:val="center"/>
          </w:tcPr>
          <w:p>
            <w:pPr>
              <w:pStyle w:val="12"/>
            </w:pPr>
            <w:r>
              <w:t>81.71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837.93</w:t>
            </w:r>
          </w:p>
        </w:tc>
        <w:tc>
          <w:tcPr>
            <w:tcW w:w="1361" w:type="dxa"/>
            <w:vAlign w:val="center"/>
          </w:tcPr>
          <w:p>
            <w:pPr>
              <w:pStyle w:val="12"/>
            </w:pPr>
            <w:r>
              <w:t>837.93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340.55</w:t>
            </w:r>
          </w:p>
        </w:tc>
        <w:tc>
          <w:tcPr>
            <w:tcW w:w="1361" w:type="dxa"/>
            <w:vAlign w:val="center"/>
          </w:tcPr>
          <w:p>
            <w:pPr>
              <w:pStyle w:val="12"/>
            </w:pPr>
            <w:r>
              <w:t>305.63</w:t>
            </w:r>
          </w:p>
        </w:tc>
        <w:tc>
          <w:tcPr>
            <w:tcW w:w="1361" w:type="dxa"/>
            <w:vAlign w:val="center"/>
          </w:tcPr>
          <w:p>
            <w:pPr>
              <w:pStyle w:val="12"/>
            </w:pPr>
            <w:r>
              <w:t>34.92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305.63</w:t>
            </w:r>
          </w:p>
        </w:tc>
        <w:tc>
          <w:tcPr>
            <w:tcW w:w="1361" w:type="dxa"/>
            <w:vAlign w:val="center"/>
          </w:tcPr>
          <w:p>
            <w:pPr>
              <w:pStyle w:val="12"/>
            </w:pPr>
            <w:r>
              <w:t>305.63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58.04</w:t>
            </w:r>
          </w:p>
        </w:tc>
        <w:tc>
          <w:tcPr>
            <w:tcW w:w="1361" w:type="dxa"/>
            <w:vAlign w:val="center"/>
          </w:tcPr>
          <w:p>
            <w:pPr>
              <w:pStyle w:val="12"/>
            </w:pPr>
            <w:r>
              <w:t>58.04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49.92</w:t>
            </w:r>
          </w:p>
        </w:tc>
        <w:tc>
          <w:tcPr>
            <w:tcW w:w="1361" w:type="dxa"/>
            <w:vAlign w:val="center"/>
          </w:tcPr>
          <w:p>
            <w:pPr>
              <w:pStyle w:val="12"/>
            </w:pPr>
            <w:r>
              <w:t>49.92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146.12</w:t>
            </w:r>
          </w:p>
        </w:tc>
        <w:tc>
          <w:tcPr>
            <w:tcW w:w="1361" w:type="dxa"/>
            <w:vAlign w:val="center"/>
          </w:tcPr>
          <w:p>
            <w:pPr>
              <w:pStyle w:val="12"/>
            </w:pPr>
            <w:r>
              <w:t>146.12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51.54</w:t>
            </w:r>
          </w:p>
        </w:tc>
        <w:tc>
          <w:tcPr>
            <w:tcW w:w="1361" w:type="dxa"/>
            <w:vAlign w:val="center"/>
          </w:tcPr>
          <w:p>
            <w:pPr>
              <w:pStyle w:val="12"/>
            </w:pPr>
            <w:r>
              <w:t>51.54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34.92</w:t>
            </w:r>
          </w:p>
        </w:tc>
        <w:tc>
          <w:tcPr>
            <w:tcW w:w="1361" w:type="dxa"/>
            <w:vAlign w:val="center"/>
          </w:tcPr>
          <w:p>
            <w:pPr>
              <w:pStyle w:val="12"/>
            </w:pPr>
          </w:p>
        </w:tc>
        <w:tc>
          <w:tcPr>
            <w:tcW w:w="1361" w:type="dxa"/>
            <w:vAlign w:val="center"/>
          </w:tcPr>
          <w:p>
            <w:pPr>
              <w:pStyle w:val="12"/>
            </w:pPr>
            <w:r>
              <w:t>34.92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34.92</w:t>
            </w:r>
          </w:p>
        </w:tc>
        <w:tc>
          <w:tcPr>
            <w:tcW w:w="1361" w:type="dxa"/>
            <w:vAlign w:val="center"/>
          </w:tcPr>
          <w:p>
            <w:pPr>
              <w:pStyle w:val="12"/>
            </w:pPr>
          </w:p>
        </w:tc>
        <w:tc>
          <w:tcPr>
            <w:tcW w:w="1361" w:type="dxa"/>
            <w:vAlign w:val="center"/>
          </w:tcPr>
          <w:p>
            <w:pPr>
              <w:pStyle w:val="12"/>
            </w:pPr>
            <w:r>
              <w:t>34.92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49.95</w:t>
            </w:r>
          </w:p>
        </w:tc>
        <w:tc>
          <w:tcPr>
            <w:tcW w:w="1361" w:type="dxa"/>
            <w:vAlign w:val="center"/>
          </w:tcPr>
          <w:p>
            <w:pPr>
              <w:pStyle w:val="12"/>
            </w:pPr>
            <w:r>
              <w:t>49.95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49.95</w:t>
            </w:r>
          </w:p>
        </w:tc>
        <w:tc>
          <w:tcPr>
            <w:tcW w:w="1361" w:type="dxa"/>
            <w:vAlign w:val="center"/>
          </w:tcPr>
          <w:p>
            <w:pPr>
              <w:pStyle w:val="12"/>
            </w:pPr>
            <w:r>
              <w:t>49.95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49.95</w:t>
            </w:r>
          </w:p>
        </w:tc>
        <w:tc>
          <w:tcPr>
            <w:tcW w:w="1361" w:type="dxa"/>
            <w:vAlign w:val="center"/>
          </w:tcPr>
          <w:p>
            <w:pPr>
              <w:pStyle w:val="12"/>
            </w:pPr>
            <w:r>
              <w:t>49.95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250.56</w:t>
            </w:r>
          </w:p>
        </w:tc>
        <w:tc>
          <w:tcPr>
            <w:tcW w:w="1361" w:type="dxa"/>
            <w:vAlign w:val="center"/>
          </w:tcPr>
          <w:p>
            <w:pPr>
              <w:pStyle w:val="12"/>
            </w:pPr>
          </w:p>
        </w:tc>
        <w:tc>
          <w:tcPr>
            <w:tcW w:w="1361" w:type="dxa"/>
            <w:vAlign w:val="center"/>
          </w:tcPr>
          <w:p>
            <w:pPr>
              <w:pStyle w:val="12"/>
            </w:pPr>
            <w:r>
              <w:t>250.56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33.47</w:t>
            </w:r>
          </w:p>
        </w:tc>
        <w:tc>
          <w:tcPr>
            <w:tcW w:w="1361" w:type="dxa"/>
            <w:vAlign w:val="center"/>
          </w:tcPr>
          <w:p>
            <w:pPr>
              <w:pStyle w:val="12"/>
            </w:pPr>
          </w:p>
        </w:tc>
        <w:tc>
          <w:tcPr>
            <w:tcW w:w="1361" w:type="dxa"/>
            <w:vAlign w:val="center"/>
          </w:tcPr>
          <w:p>
            <w:pPr>
              <w:pStyle w:val="12"/>
            </w:pPr>
            <w:r>
              <w:t>33.47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33.47</w:t>
            </w:r>
          </w:p>
        </w:tc>
        <w:tc>
          <w:tcPr>
            <w:tcW w:w="1361" w:type="dxa"/>
            <w:vAlign w:val="center"/>
          </w:tcPr>
          <w:p>
            <w:pPr>
              <w:pStyle w:val="12"/>
            </w:pPr>
          </w:p>
        </w:tc>
        <w:tc>
          <w:tcPr>
            <w:tcW w:w="1361" w:type="dxa"/>
            <w:vAlign w:val="center"/>
          </w:tcPr>
          <w:p>
            <w:pPr>
              <w:pStyle w:val="12"/>
            </w:pPr>
            <w:r>
              <w:t>33.47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217.09</w:t>
            </w:r>
          </w:p>
        </w:tc>
        <w:tc>
          <w:tcPr>
            <w:tcW w:w="1361" w:type="dxa"/>
            <w:vAlign w:val="center"/>
          </w:tcPr>
          <w:p>
            <w:pPr>
              <w:pStyle w:val="12"/>
            </w:pPr>
          </w:p>
        </w:tc>
        <w:tc>
          <w:tcPr>
            <w:tcW w:w="1361" w:type="dxa"/>
            <w:vAlign w:val="center"/>
          </w:tcPr>
          <w:p>
            <w:pPr>
              <w:pStyle w:val="12"/>
            </w:pPr>
            <w:r>
              <w:t>217.09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217.09</w:t>
            </w:r>
          </w:p>
        </w:tc>
        <w:tc>
          <w:tcPr>
            <w:tcW w:w="1361" w:type="dxa"/>
            <w:vAlign w:val="center"/>
          </w:tcPr>
          <w:p>
            <w:pPr>
              <w:pStyle w:val="12"/>
            </w:pPr>
          </w:p>
        </w:tc>
        <w:tc>
          <w:tcPr>
            <w:tcW w:w="1361" w:type="dxa"/>
            <w:vAlign w:val="center"/>
          </w:tcPr>
          <w:p>
            <w:pPr>
              <w:pStyle w:val="12"/>
            </w:pPr>
            <w:r>
              <w:t>217.09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8.10</w:t>
            </w:r>
          </w:p>
        </w:tc>
        <w:tc>
          <w:tcPr>
            <w:tcW w:w="1361" w:type="dxa"/>
            <w:vAlign w:val="center"/>
          </w:tcPr>
          <w:p>
            <w:pPr>
              <w:pStyle w:val="12"/>
            </w:pPr>
          </w:p>
        </w:tc>
        <w:tc>
          <w:tcPr>
            <w:tcW w:w="1361" w:type="dxa"/>
            <w:vAlign w:val="center"/>
          </w:tcPr>
          <w:p>
            <w:pPr>
              <w:pStyle w:val="12"/>
            </w:pPr>
            <w:r>
              <w:t>8.10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8.10</w:t>
            </w:r>
          </w:p>
        </w:tc>
        <w:tc>
          <w:tcPr>
            <w:tcW w:w="1361" w:type="dxa"/>
            <w:vAlign w:val="center"/>
          </w:tcPr>
          <w:p>
            <w:pPr>
              <w:pStyle w:val="12"/>
            </w:pPr>
          </w:p>
        </w:tc>
        <w:tc>
          <w:tcPr>
            <w:tcW w:w="1361" w:type="dxa"/>
            <w:vAlign w:val="center"/>
          </w:tcPr>
          <w:p>
            <w:pPr>
              <w:pStyle w:val="12"/>
            </w:pPr>
            <w:r>
              <w:t>8.10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2140102</w:t>
            </w:r>
          </w:p>
        </w:tc>
        <w:tc>
          <w:tcPr>
            <w:tcW w:w="4535" w:type="dxa"/>
            <w:vAlign w:val="center"/>
          </w:tcPr>
          <w:p>
            <w:pPr>
              <w:pStyle w:val="13"/>
            </w:pPr>
            <w:r>
              <w:t>一般行政管理事务</w:t>
            </w:r>
          </w:p>
        </w:tc>
        <w:tc>
          <w:tcPr>
            <w:tcW w:w="1361" w:type="dxa"/>
            <w:vAlign w:val="center"/>
          </w:tcPr>
          <w:p>
            <w:pPr>
              <w:pStyle w:val="12"/>
            </w:pPr>
            <w:r>
              <w:t>8.10</w:t>
            </w:r>
          </w:p>
        </w:tc>
        <w:tc>
          <w:tcPr>
            <w:tcW w:w="1361" w:type="dxa"/>
            <w:vAlign w:val="center"/>
          </w:tcPr>
          <w:p>
            <w:pPr>
              <w:pStyle w:val="12"/>
            </w:pPr>
          </w:p>
        </w:tc>
        <w:tc>
          <w:tcPr>
            <w:tcW w:w="1361" w:type="dxa"/>
            <w:vAlign w:val="center"/>
          </w:tcPr>
          <w:p>
            <w:pPr>
              <w:pStyle w:val="12"/>
            </w:pPr>
            <w:r>
              <w:t>8.10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120.32</w:t>
            </w:r>
          </w:p>
        </w:tc>
        <w:tc>
          <w:tcPr>
            <w:tcW w:w="1361" w:type="dxa"/>
            <w:vAlign w:val="center"/>
          </w:tcPr>
          <w:p>
            <w:pPr>
              <w:pStyle w:val="12"/>
            </w:pPr>
            <w:r>
              <w:t>120.32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120.32</w:t>
            </w:r>
          </w:p>
        </w:tc>
        <w:tc>
          <w:tcPr>
            <w:tcW w:w="1361" w:type="dxa"/>
            <w:vAlign w:val="center"/>
          </w:tcPr>
          <w:p>
            <w:pPr>
              <w:pStyle w:val="12"/>
            </w:pPr>
            <w:r>
              <w:t>120.32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120.32</w:t>
            </w:r>
          </w:p>
        </w:tc>
        <w:tc>
          <w:tcPr>
            <w:tcW w:w="1361" w:type="dxa"/>
            <w:vAlign w:val="center"/>
          </w:tcPr>
          <w:p>
            <w:pPr>
              <w:pStyle w:val="12"/>
            </w:pPr>
            <w:r>
              <w:t>120.32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2.41</w:t>
            </w:r>
          </w:p>
        </w:tc>
        <w:tc>
          <w:tcPr>
            <w:tcW w:w="1361" w:type="dxa"/>
            <w:vAlign w:val="center"/>
          </w:tcPr>
          <w:p>
            <w:pPr>
              <w:pStyle w:val="12"/>
            </w:pPr>
          </w:p>
        </w:tc>
        <w:tc>
          <w:tcPr>
            <w:tcW w:w="1361" w:type="dxa"/>
            <w:vAlign w:val="center"/>
          </w:tcPr>
          <w:p>
            <w:pPr>
              <w:pStyle w:val="12"/>
            </w:pPr>
            <w:r>
              <w:t>2.41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2.41</w:t>
            </w:r>
          </w:p>
        </w:tc>
        <w:tc>
          <w:tcPr>
            <w:tcW w:w="1361" w:type="dxa"/>
            <w:vAlign w:val="center"/>
          </w:tcPr>
          <w:p>
            <w:pPr>
              <w:pStyle w:val="12"/>
            </w:pPr>
          </w:p>
        </w:tc>
        <w:tc>
          <w:tcPr>
            <w:tcW w:w="1361" w:type="dxa"/>
            <w:vAlign w:val="center"/>
          </w:tcPr>
          <w:p>
            <w:pPr>
              <w:pStyle w:val="12"/>
            </w:pPr>
            <w:r>
              <w:t>2.41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2.41</w:t>
            </w:r>
          </w:p>
        </w:tc>
        <w:tc>
          <w:tcPr>
            <w:tcW w:w="1361" w:type="dxa"/>
            <w:vAlign w:val="center"/>
          </w:tcPr>
          <w:p>
            <w:pPr>
              <w:pStyle w:val="12"/>
            </w:pPr>
          </w:p>
        </w:tc>
        <w:tc>
          <w:tcPr>
            <w:tcW w:w="1361" w:type="dxa"/>
            <w:vAlign w:val="center"/>
          </w:tcPr>
          <w:p>
            <w:pPr>
              <w:pStyle w:val="12"/>
            </w:pPr>
            <w:r>
              <w:t>2.41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2288.06</w:t>
            </w:r>
          </w:p>
        </w:tc>
        <w:tc>
          <w:tcPr>
            <w:tcW w:w="3402" w:type="dxa"/>
            <w:vAlign w:val="center"/>
          </w:tcPr>
          <w:p>
            <w:pPr>
              <w:pStyle w:val="13"/>
            </w:pPr>
            <w:r>
              <w:t>一、一般公共服务支出</w:t>
            </w:r>
          </w:p>
        </w:tc>
        <w:tc>
          <w:tcPr>
            <w:tcW w:w="1474" w:type="dxa"/>
            <w:vAlign w:val="center"/>
          </w:tcPr>
          <w:p>
            <w:pPr>
              <w:pStyle w:val="12"/>
            </w:pPr>
            <w:r>
              <w:t>1503.88</w:t>
            </w:r>
          </w:p>
        </w:tc>
        <w:tc>
          <w:tcPr>
            <w:tcW w:w="1474" w:type="dxa"/>
            <w:vAlign w:val="center"/>
          </w:tcPr>
          <w:p>
            <w:pPr>
              <w:pStyle w:val="12"/>
            </w:pPr>
            <w:r>
              <w:t>1503.88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7.29</w:t>
            </w:r>
          </w:p>
        </w:tc>
        <w:tc>
          <w:tcPr>
            <w:tcW w:w="1474" w:type="dxa"/>
            <w:vAlign w:val="center"/>
          </w:tcPr>
          <w:p>
            <w:pPr>
              <w:pStyle w:val="12"/>
            </w:pPr>
            <w:r>
              <w:t>7.29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340.55</w:t>
            </w:r>
          </w:p>
        </w:tc>
        <w:tc>
          <w:tcPr>
            <w:tcW w:w="1474" w:type="dxa"/>
            <w:vAlign w:val="center"/>
          </w:tcPr>
          <w:p>
            <w:pPr>
              <w:pStyle w:val="12"/>
            </w:pPr>
            <w:r>
              <w:t>340.55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49.95</w:t>
            </w:r>
          </w:p>
        </w:tc>
        <w:tc>
          <w:tcPr>
            <w:tcW w:w="1474" w:type="dxa"/>
            <w:vAlign w:val="center"/>
          </w:tcPr>
          <w:p>
            <w:pPr>
              <w:pStyle w:val="12"/>
            </w:pPr>
            <w:r>
              <w:t>49.95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250.56</w:t>
            </w:r>
          </w:p>
        </w:tc>
        <w:tc>
          <w:tcPr>
            <w:tcW w:w="1474" w:type="dxa"/>
            <w:vAlign w:val="center"/>
          </w:tcPr>
          <w:p>
            <w:pPr>
              <w:pStyle w:val="12"/>
            </w:pPr>
            <w:r>
              <w:t>250.56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8.10</w:t>
            </w:r>
          </w:p>
        </w:tc>
        <w:tc>
          <w:tcPr>
            <w:tcW w:w="1474" w:type="dxa"/>
            <w:vAlign w:val="center"/>
          </w:tcPr>
          <w:p>
            <w:pPr>
              <w:pStyle w:val="12"/>
            </w:pPr>
            <w:r>
              <w:t>8.10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120.32</w:t>
            </w:r>
          </w:p>
        </w:tc>
        <w:tc>
          <w:tcPr>
            <w:tcW w:w="1474" w:type="dxa"/>
            <w:vAlign w:val="center"/>
          </w:tcPr>
          <w:p>
            <w:pPr>
              <w:pStyle w:val="12"/>
            </w:pPr>
            <w:r>
              <w:t>120.32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2.41</w:t>
            </w:r>
          </w:p>
        </w:tc>
        <w:tc>
          <w:tcPr>
            <w:tcW w:w="1474" w:type="dxa"/>
            <w:vAlign w:val="center"/>
          </w:tcPr>
          <w:p>
            <w:pPr>
              <w:pStyle w:val="12"/>
            </w:pPr>
            <w:r>
              <w:t>2.41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2288.06</w:t>
            </w:r>
          </w:p>
        </w:tc>
        <w:tc>
          <w:tcPr>
            <w:tcW w:w="3402" w:type="dxa"/>
            <w:vAlign w:val="center"/>
          </w:tcPr>
          <w:p>
            <w:pPr>
              <w:pStyle w:val="15"/>
            </w:pPr>
            <w:r>
              <w:t>本年支出合计</w:t>
            </w:r>
          </w:p>
        </w:tc>
        <w:tc>
          <w:tcPr>
            <w:tcW w:w="1474" w:type="dxa"/>
            <w:vAlign w:val="center"/>
          </w:tcPr>
          <w:p>
            <w:pPr>
              <w:pStyle w:val="16"/>
            </w:pPr>
            <w:r>
              <w:t>2288.06</w:t>
            </w:r>
          </w:p>
        </w:tc>
        <w:tc>
          <w:tcPr>
            <w:tcW w:w="1474" w:type="dxa"/>
            <w:vAlign w:val="center"/>
          </w:tcPr>
          <w:p>
            <w:pPr>
              <w:pStyle w:val="16"/>
            </w:pPr>
            <w:r>
              <w:t>2288.06</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2288.06</w:t>
            </w:r>
          </w:p>
        </w:tc>
        <w:tc>
          <w:tcPr>
            <w:tcW w:w="3402" w:type="dxa"/>
            <w:vAlign w:val="center"/>
          </w:tcPr>
          <w:p>
            <w:pPr>
              <w:pStyle w:val="15"/>
            </w:pPr>
            <w:r>
              <w:t>支出总计</w:t>
            </w:r>
          </w:p>
        </w:tc>
        <w:tc>
          <w:tcPr>
            <w:tcW w:w="1474" w:type="dxa"/>
            <w:vAlign w:val="center"/>
          </w:tcPr>
          <w:p>
            <w:pPr>
              <w:pStyle w:val="16"/>
            </w:pPr>
            <w:r>
              <w:t>2288.06</w:t>
            </w:r>
          </w:p>
        </w:tc>
        <w:tc>
          <w:tcPr>
            <w:tcW w:w="1474" w:type="dxa"/>
            <w:vAlign w:val="center"/>
          </w:tcPr>
          <w:p>
            <w:pPr>
              <w:pStyle w:val="16"/>
            </w:pPr>
            <w:r>
              <w:t>2288.06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2288.06</w:t>
            </w:r>
          </w:p>
        </w:tc>
        <w:tc>
          <w:tcPr>
            <w:tcW w:w="2551" w:type="dxa"/>
            <w:vAlign w:val="center"/>
          </w:tcPr>
          <w:p>
            <w:pPr>
              <w:pStyle w:val="16"/>
            </w:pPr>
            <w:r>
              <w:t>1883.67</w:t>
            </w:r>
          </w:p>
        </w:tc>
        <w:tc>
          <w:tcPr>
            <w:tcW w:w="2551" w:type="dxa"/>
            <w:vAlign w:val="center"/>
          </w:tcPr>
          <w:p>
            <w:pPr>
              <w:pStyle w:val="16"/>
            </w:pPr>
            <w:r>
              <w:t>404.39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1503.88</w:t>
            </w:r>
          </w:p>
        </w:tc>
        <w:tc>
          <w:tcPr>
            <w:tcW w:w="2551" w:type="dxa"/>
            <w:vAlign w:val="center"/>
          </w:tcPr>
          <w:p>
            <w:pPr>
              <w:pStyle w:val="12"/>
            </w:pPr>
            <w:r>
              <w:t>1407.77</w:t>
            </w:r>
          </w:p>
        </w:tc>
        <w:tc>
          <w:tcPr>
            <w:tcW w:w="2551" w:type="dxa"/>
            <w:vAlign w:val="center"/>
          </w:tcPr>
          <w:p>
            <w:pPr>
              <w:pStyle w:val="12"/>
            </w:pPr>
            <w:r>
              <w:t>96.11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1489.48</w:t>
            </w:r>
          </w:p>
        </w:tc>
        <w:tc>
          <w:tcPr>
            <w:tcW w:w="2551" w:type="dxa"/>
            <w:vAlign w:val="center"/>
          </w:tcPr>
          <w:p>
            <w:pPr>
              <w:pStyle w:val="12"/>
            </w:pPr>
            <w:r>
              <w:t>1407.77</w:t>
            </w:r>
          </w:p>
        </w:tc>
        <w:tc>
          <w:tcPr>
            <w:tcW w:w="2551" w:type="dxa"/>
            <w:vAlign w:val="center"/>
          </w:tcPr>
          <w:p>
            <w:pPr>
              <w:pStyle w:val="12"/>
            </w:pPr>
            <w:r>
              <w:t>81.71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569.84</w:t>
            </w:r>
          </w:p>
        </w:tc>
        <w:tc>
          <w:tcPr>
            <w:tcW w:w="2551" w:type="dxa"/>
            <w:vAlign w:val="center"/>
          </w:tcPr>
          <w:p>
            <w:pPr>
              <w:pStyle w:val="12"/>
            </w:pPr>
            <w:r>
              <w:t>569.84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81.71</w:t>
            </w:r>
          </w:p>
        </w:tc>
        <w:tc>
          <w:tcPr>
            <w:tcW w:w="2551" w:type="dxa"/>
            <w:vAlign w:val="center"/>
          </w:tcPr>
          <w:p>
            <w:pPr>
              <w:pStyle w:val="12"/>
            </w:pPr>
          </w:p>
        </w:tc>
        <w:tc>
          <w:tcPr>
            <w:tcW w:w="2551" w:type="dxa"/>
            <w:vAlign w:val="center"/>
          </w:tcPr>
          <w:p>
            <w:pPr>
              <w:pStyle w:val="12"/>
            </w:pPr>
            <w:r>
              <w:t>81.71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837.93</w:t>
            </w:r>
          </w:p>
        </w:tc>
        <w:tc>
          <w:tcPr>
            <w:tcW w:w="2551" w:type="dxa"/>
            <w:vAlign w:val="center"/>
          </w:tcPr>
          <w:p>
            <w:pPr>
              <w:pStyle w:val="12"/>
            </w:pPr>
            <w:r>
              <w:t>837.93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340.55</w:t>
            </w:r>
          </w:p>
        </w:tc>
        <w:tc>
          <w:tcPr>
            <w:tcW w:w="2551" w:type="dxa"/>
            <w:vAlign w:val="center"/>
          </w:tcPr>
          <w:p>
            <w:pPr>
              <w:pStyle w:val="12"/>
            </w:pPr>
            <w:r>
              <w:t>305.63</w:t>
            </w:r>
          </w:p>
        </w:tc>
        <w:tc>
          <w:tcPr>
            <w:tcW w:w="2551" w:type="dxa"/>
            <w:vAlign w:val="center"/>
          </w:tcPr>
          <w:p>
            <w:pPr>
              <w:pStyle w:val="12"/>
            </w:pPr>
            <w:r>
              <w:t>34.92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305.63</w:t>
            </w:r>
          </w:p>
        </w:tc>
        <w:tc>
          <w:tcPr>
            <w:tcW w:w="2551" w:type="dxa"/>
            <w:vAlign w:val="center"/>
          </w:tcPr>
          <w:p>
            <w:pPr>
              <w:pStyle w:val="12"/>
            </w:pPr>
            <w:r>
              <w:t>305.63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58.04</w:t>
            </w:r>
          </w:p>
        </w:tc>
        <w:tc>
          <w:tcPr>
            <w:tcW w:w="2551" w:type="dxa"/>
            <w:vAlign w:val="center"/>
          </w:tcPr>
          <w:p>
            <w:pPr>
              <w:pStyle w:val="12"/>
            </w:pPr>
            <w:r>
              <w:t>58.04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49.92</w:t>
            </w:r>
          </w:p>
        </w:tc>
        <w:tc>
          <w:tcPr>
            <w:tcW w:w="2551" w:type="dxa"/>
            <w:vAlign w:val="center"/>
          </w:tcPr>
          <w:p>
            <w:pPr>
              <w:pStyle w:val="12"/>
            </w:pPr>
            <w:r>
              <w:t>49.92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146.12</w:t>
            </w:r>
          </w:p>
        </w:tc>
        <w:tc>
          <w:tcPr>
            <w:tcW w:w="2551" w:type="dxa"/>
            <w:vAlign w:val="center"/>
          </w:tcPr>
          <w:p>
            <w:pPr>
              <w:pStyle w:val="12"/>
            </w:pPr>
            <w:r>
              <w:t>146.12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51.54</w:t>
            </w:r>
          </w:p>
        </w:tc>
        <w:tc>
          <w:tcPr>
            <w:tcW w:w="2551" w:type="dxa"/>
            <w:vAlign w:val="center"/>
          </w:tcPr>
          <w:p>
            <w:pPr>
              <w:pStyle w:val="12"/>
            </w:pPr>
            <w:r>
              <w:t>51.54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34.92</w:t>
            </w:r>
          </w:p>
        </w:tc>
        <w:tc>
          <w:tcPr>
            <w:tcW w:w="2551" w:type="dxa"/>
            <w:vAlign w:val="center"/>
          </w:tcPr>
          <w:p>
            <w:pPr>
              <w:pStyle w:val="12"/>
            </w:pPr>
          </w:p>
        </w:tc>
        <w:tc>
          <w:tcPr>
            <w:tcW w:w="2551" w:type="dxa"/>
            <w:vAlign w:val="center"/>
          </w:tcPr>
          <w:p>
            <w:pPr>
              <w:pStyle w:val="12"/>
            </w:pPr>
            <w:r>
              <w:t>34.92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34.92</w:t>
            </w:r>
          </w:p>
        </w:tc>
        <w:tc>
          <w:tcPr>
            <w:tcW w:w="2551" w:type="dxa"/>
            <w:vAlign w:val="center"/>
          </w:tcPr>
          <w:p>
            <w:pPr>
              <w:pStyle w:val="12"/>
            </w:pPr>
          </w:p>
        </w:tc>
        <w:tc>
          <w:tcPr>
            <w:tcW w:w="2551" w:type="dxa"/>
            <w:vAlign w:val="center"/>
          </w:tcPr>
          <w:p>
            <w:pPr>
              <w:pStyle w:val="12"/>
            </w:pPr>
            <w:r>
              <w:t>34.92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49.95</w:t>
            </w:r>
          </w:p>
        </w:tc>
        <w:tc>
          <w:tcPr>
            <w:tcW w:w="2551" w:type="dxa"/>
            <w:vAlign w:val="center"/>
          </w:tcPr>
          <w:p>
            <w:pPr>
              <w:pStyle w:val="12"/>
            </w:pPr>
            <w:r>
              <w:t>49.95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49.95</w:t>
            </w:r>
          </w:p>
        </w:tc>
        <w:tc>
          <w:tcPr>
            <w:tcW w:w="2551" w:type="dxa"/>
            <w:vAlign w:val="center"/>
          </w:tcPr>
          <w:p>
            <w:pPr>
              <w:pStyle w:val="12"/>
            </w:pPr>
            <w:r>
              <w:t>49.95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49.95</w:t>
            </w:r>
          </w:p>
        </w:tc>
        <w:tc>
          <w:tcPr>
            <w:tcW w:w="2551" w:type="dxa"/>
            <w:vAlign w:val="center"/>
          </w:tcPr>
          <w:p>
            <w:pPr>
              <w:pStyle w:val="12"/>
            </w:pPr>
            <w:r>
              <w:t>49.95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250.56</w:t>
            </w:r>
          </w:p>
        </w:tc>
        <w:tc>
          <w:tcPr>
            <w:tcW w:w="2551" w:type="dxa"/>
            <w:vAlign w:val="center"/>
          </w:tcPr>
          <w:p>
            <w:pPr>
              <w:pStyle w:val="12"/>
            </w:pPr>
          </w:p>
        </w:tc>
        <w:tc>
          <w:tcPr>
            <w:tcW w:w="2551" w:type="dxa"/>
            <w:vAlign w:val="center"/>
          </w:tcPr>
          <w:p>
            <w:pPr>
              <w:pStyle w:val="12"/>
            </w:pPr>
            <w:r>
              <w:t>250.56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33.47</w:t>
            </w:r>
          </w:p>
        </w:tc>
        <w:tc>
          <w:tcPr>
            <w:tcW w:w="2551" w:type="dxa"/>
            <w:vAlign w:val="center"/>
          </w:tcPr>
          <w:p>
            <w:pPr>
              <w:pStyle w:val="12"/>
            </w:pPr>
          </w:p>
        </w:tc>
        <w:tc>
          <w:tcPr>
            <w:tcW w:w="2551" w:type="dxa"/>
            <w:vAlign w:val="center"/>
          </w:tcPr>
          <w:p>
            <w:pPr>
              <w:pStyle w:val="12"/>
            </w:pPr>
            <w:r>
              <w:t>33.47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33.47</w:t>
            </w:r>
          </w:p>
        </w:tc>
        <w:tc>
          <w:tcPr>
            <w:tcW w:w="2551" w:type="dxa"/>
            <w:vAlign w:val="center"/>
          </w:tcPr>
          <w:p>
            <w:pPr>
              <w:pStyle w:val="12"/>
            </w:pPr>
          </w:p>
        </w:tc>
        <w:tc>
          <w:tcPr>
            <w:tcW w:w="2551" w:type="dxa"/>
            <w:vAlign w:val="center"/>
          </w:tcPr>
          <w:p>
            <w:pPr>
              <w:pStyle w:val="12"/>
            </w:pPr>
            <w:r>
              <w:t>33.47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217.09</w:t>
            </w:r>
          </w:p>
        </w:tc>
        <w:tc>
          <w:tcPr>
            <w:tcW w:w="2551" w:type="dxa"/>
            <w:vAlign w:val="center"/>
          </w:tcPr>
          <w:p>
            <w:pPr>
              <w:pStyle w:val="12"/>
            </w:pPr>
          </w:p>
        </w:tc>
        <w:tc>
          <w:tcPr>
            <w:tcW w:w="2551" w:type="dxa"/>
            <w:vAlign w:val="center"/>
          </w:tcPr>
          <w:p>
            <w:pPr>
              <w:pStyle w:val="12"/>
            </w:pPr>
            <w:r>
              <w:t>217.09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217.09</w:t>
            </w:r>
          </w:p>
        </w:tc>
        <w:tc>
          <w:tcPr>
            <w:tcW w:w="2551" w:type="dxa"/>
            <w:vAlign w:val="center"/>
          </w:tcPr>
          <w:p>
            <w:pPr>
              <w:pStyle w:val="12"/>
            </w:pPr>
          </w:p>
        </w:tc>
        <w:tc>
          <w:tcPr>
            <w:tcW w:w="2551" w:type="dxa"/>
            <w:vAlign w:val="center"/>
          </w:tcPr>
          <w:p>
            <w:pPr>
              <w:pStyle w:val="12"/>
            </w:pPr>
            <w:r>
              <w:t>217.09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8.10</w:t>
            </w:r>
          </w:p>
        </w:tc>
        <w:tc>
          <w:tcPr>
            <w:tcW w:w="2551" w:type="dxa"/>
            <w:vAlign w:val="center"/>
          </w:tcPr>
          <w:p>
            <w:pPr>
              <w:pStyle w:val="12"/>
            </w:pPr>
          </w:p>
        </w:tc>
        <w:tc>
          <w:tcPr>
            <w:tcW w:w="2551" w:type="dxa"/>
            <w:vAlign w:val="center"/>
          </w:tcPr>
          <w:p>
            <w:pPr>
              <w:pStyle w:val="12"/>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8.10</w:t>
            </w:r>
          </w:p>
        </w:tc>
        <w:tc>
          <w:tcPr>
            <w:tcW w:w="2551" w:type="dxa"/>
            <w:vAlign w:val="center"/>
          </w:tcPr>
          <w:p>
            <w:pPr>
              <w:pStyle w:val="12"/>
            </w:pPr>
          </w:p>
        </w:tc>
        <w:tc>
          <w:tcPr>
            <w:tcW w:w="2551" w:type="dxa"/>
            <w:vAlign w:val="center"/>
          </w:tcPr>
          <w:p>
            <w:pPr>
              <w:pStyle w:val="12"/>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2140102</w:t>
            </w:r>
          </w:p>
        </w:tc>
        <w:tc>
          <w:tcPr>
            <w:tcW w:w="4535" w:type="dxa"/>
            <w:vAlign w:val="center"/>
          </w:tcPr>
          <w:p>
            <w:pPr>
              <w:pStyle w:val="13"/>
            </w:pPr>
            <w:r>
              <w:t>一般行政管理事务</w:t>
            </w:r>
          </w:p>
        </w:tc>
        <w:tc>
          <w:tcPr>
            <w:tcW w:w="2551" w:type="dxa"/>
            <w:vAlign w:val="center"/>
          </w:tcPr>
          <w:p>
            <w:pPr>
              <w:pStyle w:val="12"/>
            </w:pPr>
            <w:r>
              <w:t>8.10</w:t>
            </w:r>
          </w:p>
        </w:tc>
        <w:tc>
          <w:tcPr>
            <w:tcW w:w="2551" w:type="dxa"/>
            <w:vAlign w:val="center"/>
          </w:tcPr>
          <w:p>
            <w:pPr>
              <w:pStyle w:val="12"/>
            </w:pPr>
          </w:p>
        </w:tc>
        <w:tc>
          <w:tcPr>
            <w:tcW w:w="2551" w:type="dxa"/>
            <w:vAlign w:val="center"/>
          </w:tcPr>
          <w:p>
            <w:pPr>
              <w:pStyle w:val="12"/>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120.32</w:t>
            </w:r>
          </w:p>
        </w:tc>
        <w:tc>
          <w:tcPr>
            <w:tcW w:w="2551" w:type="dxa"/>
            <w:vAlign w:val="center"/>
          </w:tcPr>
          <w:p>
            <w:pPr>
              <w:pStyle w:val="12"/>
            </w:pPr>
            <w:r>
              <w:t>120.32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120.32</w:t>
            </w:r>
          </w:p>
        </w:tc>
        <w:tc>
          <w:tcPr>
            <w:tcW w:w="2551" w:type="dxa"/>
            <w:vAlign w:val="center"/>
          </w:tcPr>
          <w:p>
            <w:pPr>
              <w:pStyle w:val="12"/>
            </w:pPr>
            <w:r>
              <w:t>120.32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120.32</w:t>
            </w:r>
          </w:p>
        </w:tc>
        <w:tc>
          <w:tcPr>
            <w:tcW w:w="2551" w:type="dxa"/>
            <w:vAlign w:val="center"/>
          </w:tcPr>
          <w:p>
            <w:pPr>
              <w:pStyle w:val="12"/>
            </w:pPr>
            <w:r>
              <w:t>120.32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2.41</w:t>
            </w:r>
          </w:p>
        </w:tc>
        <w:tc>
          <w:tcPr>
            <w:tcW w:w="2551" w:type="dxa"/>
            <w:vAlign w:val="center"/>
          </w:tcPr>
          <w:p>
            <w:pPr>
              <w:pStyle w:val="12"/>
            </w:pPr>
          </w:p>
        </w:tc>
        <w:tc>
          <w:tcPr>
            <w:tcW w:w="2551" w:type="dxa"/>
            <w:vAlign w:val="center"/>
          </w:tcPr>
          <w:p>
            <w:pPr>
              <w:pStyle w:val="12"/>
            </w:pPr>
            <w:r>
              <w:t>2.41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2.41</w:t>
            </w:r>
          </w:p>
        </w:tc>
        <w:tc>
          <w:tcPr>
            <w:tcW w:w="2551" w:type="dxa"/>
            <w:vAlign w:val="center"/>
          </w:tcPr>
          <w:p>
            <w:pPr>
              <w:pStyle w:val="12"/>
            </w:pPr>
          </w:p>
        </w:tc>
        <w:tc>
          <w:tcPr>
            <w:tcW w:w="2551" w:type="dxa"/>
            <w:vAlign w:val="center"/>
          </w:tcPr>
          <w:p>
            <w:pPr>
              <w:pStyle w:val="12"/>
            </w:pPr>
            <w:r>
              <w:t>2.41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2.41</w:t>
            </w:r>
          </w:p>
        </w:tc>
        <w:tc>
          <w:tcPr>
            <w:tcW w:w="2551" w:type="dxa"/>
            <w:vAlign w:val="center"/>
          </w:tcPr>
          <w:p>
            <w:pPr>
              <w:pStyle w:val="12"/>
            </w:pPr>
          </w:p>
        </w:tc>
        <w:tc>
          <w:tcPr>
            <w:tcW w:w="2551" w:type="dxa"/>
            <w:vAlign w:val="center"/>
          </w:tcPr>
          <w:p>
            <w:pPr>
              <w:pStyle w:val="12"/>
            </w:pPr>
            <w:r>
              <w:t>2.41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1883.67</w:t>
            </w:r>
          </w:p>
        </w:tc>
        <w:tc>
          <w:tcPr>
            <w:tcW w:w="2551" w:type="dxa"/>
            <w:vAlign w:val="center"/>
          </w:tcPr>
          <w:p>
            <w:pPr>
              <w:pStyle w:val="16"/>
            </w:pPr>
            <w:r>
              <w:t>1774.63</w:t>
            </w:r>
          </w:p>
        </w:tc>
        <w:tc>
          <w:tcPr>
            <w:tcW w:w="2551" w:type="dxa"/>
            <w:vAlign w:val="center"/>
          </w:tcPr>
          <w:p>
            <w:pPr>
              <w:pStyle w:val="16"/>
            </w:pPr>
            <w:r>
              <w:t>109.04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1662.39</w:t>
            </w:r>
          </w:p>
        </w:tc>
        <w:tc>
          <w:tcPr>
            <w:tcW w:w="2551" w:type="dxa"/>
            <w:vAlign w:val="center"/>
          </w:tcPr>
          <w:p>
            <w:pPr>
              <w:pStyle w:val="12"/>
            </w:pPr>
            <w:r>
              <w:t>1662.39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567.84</w:t>
            </w:r>
          </w:p>
        </w:tc>
        <w:tc>
          <w:tcPr>
            <w:tcW w:w="2551" w:type="dxa"/>
            <w:vAlign w:val="center"/>
          </w:tcPr>
          <w:p>
            <w:pPr>
              <w:pStyle w:val="12"/>
            </w:pPr>
            <w:r>
              <w:t>567.84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204.73</w:t>
            </w:r>
          </w:p>
        </w:tc>
        <w:tc>
          <w:tcPr>
            <w:tcW w:w="2551" w:type="dxa"/>
            <w:vAlign w:val="center"/>
          </w:tcPr>
          <w:p>
            <w:pPr>
              <w:pStyle w:val="12"/>
            </w:pPr>
            <w:r>
              <w:t>204.73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82.35</w:t>
            </w:r>
          </w:p>
        </w:tc>
        <w:tc>
          <w:tcPr>
            <w:tcW w:w="2551" w:type="dxa"/>
            <w:vAlign w:val="center"/>
          </w:tcPr>
          <w:p>
            <w:pPr>
              <w:pStyle w:val="12"/>
            </w:pPr>
            <w:r>
              <w:t>82.35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432.03</w:t>
            </w:r>
          </w:p>
        </w:tc>
        <w:tc>
          <w:tcPr>
            <w:tcW w:w="2551" w:type="dxa"/>
            <w:vAlign w:val="center"/>
          </w:tcPr>
          <w:p>
            <w:pPr>
              <w:pStyle w:val="12"/>
            </w:pPr>
            <w:r>
              <w:t>432.03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146.12</w:t>
            </w:r>
          </w:p>
        </w:tc>
        <w:tc>
          <w:tcPr>
            <w:tcW w:w="2551" w:type="dxa"/>
            <w:vAlign w:val="center"/>
          </w:tcPr>
          <w:p>
            <w:pPr>
              <w:pStyle w:val="12"/>
            </w:pPr>
            <w:r>
              <w:t>146.12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51.54</w:t>
            </w:r>
          </w:p>
        </w:tc>
        <w:tc>
          <w:tcPr>
            <w:tcW w:w="2551" w:type="dxa"/>
            <w:vAlign w:val="center"/>
          </w:tcPr>
          <w:p>
            <w:pPr>
              <w:pStyle w:val="12"/>
            </w:pPr>
            <w:r>
              <w:t>51.54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49.95</w:t>
            </w:r>
          </w:p>
        </w:tc>
        <w:tc>
          <w:tcPr>
            <w:tcW w:w="2551" w:type="dxa"/>
            <w:vAlign w:val="center"/>
          </w:tcPr>
          <w:p>
            <w:pPr>
              <w:pStyle w:val="12"/>
            </w:pPr>
            <w:r>
              <w:t>49.95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7.50</w:t>
            </w:r>
          </w:p>
        </w:tc>
        <w:tc>
          <w:tcPr>
            <w:tcW w:w="2551" w:type="dxa"/>
            <w:vAlign w:val="center"/>
          </w:tcPr>
          <w:p>
            <w:pPr>
              <w:pStyle w:val="12"/>
            </w:pPr>
            <w:r>
              <w:t>7.50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120.32</w:t>
            </w:r>
          </w:p>
        </w:tc>
        <w:tc>
          <w:tcPr>
            <w:tcW w:w="2551" w:type="dxa"/>
            <w:vAlign w:val="center"/>
          </w:tcPr>
          <w:p>
            <w:pPr>
              <w:pStyle w:val="12"/>
            </w:pPr>
            <w:r>
              <w:t>120.32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109.04</w:t>
            </w:r>
          </w:p>
        </w:tc>
        <w:tc>
          <w:tcPr>
            <w:tcW w:w="2551" w:type="dxa"/>
            <w:vAlign w:val="center"/>
          </w:tcPr>
          <w:p>
            <w:pPr>
              <w:pStyle w:val="12"/>
            </w:pPr>
          </w:p>
        </w:tc>
        <w:tc>
          <w:tcPr>
            <w:tcW w:w="2551" w:type="dxa"/>
            <w:vAlign w:val="center"/>
          </w:tcPr>
          <w:p>
            <w:pPr>
              <w:pStyle w:val="12"/>
            </w:pPr>
            <w:r>
              <w:t>109.04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32.72</w:t>
            </w:r>
          </w:p>
        </w:tc>
        <w:tc>
          <w:tcPr>
            <w:tcW w:w="2551" w:type="dxa"/>
            <w:vAlign w:val="center"/>
          </w:tcPr>
          <w:p>
            <w:pPr>
              <w:pStyle w:val="12"/>
            </w:pPr>
          </w:p>
        </w:tc>
        <w:tc>
          <w:tcPr>
            <w:tcW w:w="2551" w:type="dxa"/>
            <w:vAlign w:val="center"/>
          </w:tcPr>
          <w:p>
            <w:pPr>
              <w:pStyle w:val="12"/>
            </w:pPr>
            <w:r>
              <w:t>32.72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11.10</w:t>
            </w:r>
          </w:p>
        </w:tc>
        <w:tc>
          <w:tcPr>
            <w:tcW w:w="2551" w:type="dxa"/>
            <w:vAlign w:val="center"/>
          </w:tcPr>
          <w:p>
            <w:pPr>
              <w:pStyle w:val="12"/>
            </w:pPr>
          </w:p>
        </w:tc>
        <w:tc>
          <w:tcPr>
            <w:tcW w:w="2551" w:type="dxa"/>
            <w:vAlign w:val="center"/>
          </w:tcPr>
          <w:p>
            <w:pPr>
              <w:pStyle w:val="12"/>
            </w:pPr>
            <w:r>
              <w:t>11.10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7.51</w:t>
            </w:r>
          </w:p>
        </w:tc>
        <w:tc>
          <w:tcPr>
            <w:tcW w:w="2551" w:type="dxa"/>
            <w:vAlign w:val="center"/>
          </w:tcPr>
          <w:p>
            <w:pPr>
              <w:pStyle w:val="12"/>
            </w:pPr>
          </w:p>
        </w:tc>
        <w:tc>
          <w:tcPr>
            <w:tcW w:w="2551" w:type="dxa"/>
            <w:vAlign w:val="center"/>
          </w:tcPr>
          <w:p>
            <w:pPr>
              <w:pStyle w:val="12"/>
            </w:pPr>
            <w:r>
              <w:t>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14.70</w:t>
            </w:r>
          </w:p>
        </w:tc>
        <w:tc>
          <w:tcPr>
            <w:tcW w:w="2551" w:type="dxa"/>
            <w:vAlign w:val="center"/>
          </w:tcPr>
          <w:p>
            <w:pPr>
              <w:pStyle w:val="12"/>
            </w:pPr>
          </w:p>
        </w:tc>
        <w:tc>
          <w:tcPr>
            <w:tcW w:w="2551" w:type="dxa"/>
            <w:vAlign w:val="center"/>
          </w:tcPr>
          <w:p>
            <w:pPr>
              <w:pStyle w:val="12"/>
            </w:pPr>
            <w:r>
              <w:t>14.70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11.61</w:t>
            </w:r>
          </w:p>
        </w:tc>
        <w:tc>
          <w:tcPr>
            <w:tcW w:w="2551" w:type="dxa"/>
            <w:vAlign w:val="center"/>
          </w:tcPr>
          <w:p>
            <w:pPr>
              <w:pStyle w:val="12"/>
            </w:pPr>
          </w:p>
        </w:tc>
        <w:tc>
          <w:tcPr>
            <w:tcW w:w="2551" w:type="dxa"/>
            <w:vAlign w:val="center"/>
          </w:tcPr>
          <w:p>
            <w:pPr>
              <w:pStyle w:val="12"/>
            </w:pPr>
            <w:r>
              <w:t>11.61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9.72</w:t>
            </w:r>
          </w:p>
        </w:tc>
        <w:tc>
          <w:tcPr>
            <w:tcW w:w="2551" w:type="dxa"/>
            <w:vAlign w:val="center"/>
          </w:tcPr>
          <w:p>
            <w:pPr>
              <w:pStyle w:val="12"/>
            </w:pPr>
          </w:p>
        </w:tc>
        <w:tc>
          <w:tcPr>
            <w:tcW w:w="2551" w:type="dxa"/>
            <w:vAlign w:val="center"/>
          </w:tcPr>
          <w:p>
            <w:pPr>
              <w:pStyle w:val="12"/>
            </w:pPr>
            <w:r>
              <w:t>9.72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16.68</w:t>
            </w:r>
          </w:p>
        </w:tc>
        <w:tc>
          <w:tcPr>
            <w:tcW w:w="2551" w:type="dxa"/>
            <w:vAlign w:val="center"/>
          </w:tcPr>
          <w:p>
            <w:pPr>
              <w:pStyle w:val="12"/>
            </w:pPr>
          </w:p>
        </w:tc>
        <w:tc>
          <w:tcPr>
            <w:tcW w:w="2551" w:type="dxa"/>
            <w:vAlign w:val="center"/>
          </w:tcPr>
          <w:p>
            <w:pPr>
              <w:pStyle w:val="12"/>
            </w:pPr>
            <w:r>
              <w:t>16.68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4.99</w:t>
            </w:r>
          </w:p>
        </w:tc>
        <w:tc>
          <w:tcPr>
            <w:tcW w:w="2551" w:type="dxa"/>
            <w:vAlign w:val="center"/>
          </w:tcPr>
          <w:p>
            <w:pPr>
              <w:pStyle w:val="12"/>
            </w:pPr>
          </w:p>
        </w:tc>
        <w:tc>
          <w:tcPr>
            <w:tcW w:w="2551" w:type="dxa"/>
            <w:vAlign w:val="center"/>
          </w:tcPr>
          <w:p>
            <w:pPr>
              <w:pStyle w:val="12"/>
            </w:pPr>
            <w:r>
              <w:t>4.99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112.24</w:t>
            </w:r>
          </w:p>
        </w:tc>
        <w:tc>
          <w:tcPr>
            <w:tcW w:w="2551" w:type="dxa"/>
            <w:vAlign w:val="center"/>
          </w:tcPr>
          <w:p>
            <w:pPr>
              <w:pStyle w:val="12"/>
            </w:pPr>
            <w:r>
              <w:t>112.24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106.43</w:t>
            </w:r>
          </w:p>
        </w:tc>
        <w:tc>
          <w:tcPr>
            <w:tcW w:w="2551" w:type="dxa"/>
            <w:vAlign w:val="center"/>
          </w:tcPr>
          <w:p>
            <w:pPr>
              <w:pStyle w:val="12"/>
            </w:pPr>
            <w:r>
              <w:t>106.43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5.81</w:t>
            </w:r>
          </w:p>
        </w:tc>
        <w:tc>
          <w:tcPr>
            <w:tcW w:w="2551" w:type="dxa"/>
            <w:vAlign w:val="center"/>
          </w:tcPr>
          <w:p>
            <w:pPr>
              <w:pStyle w:val="12"/>
            </w:pPr>
            <w:r>
              <w:t>5.81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13.42</w:t>
            </w:r>
          </w:p>
        </w:tc>
        <w:tc>
          <w:tcPr>
            <w:tcW w:w="2381" w:type="dxa"/>
            <w:vAlign w:val="center"/>
          </w:tcPr>
          <w:p>
            <w:pPr>
              <w:pStyle w:val="16"/>
            </w:pPr>
            <w:r>
              <w:t>13.42</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13.42</w:t>
            </w:r>
          </w:p>
        </w:tc>
        <w:tc>
          <w:tcPr>
            <w:tcW w:w="2381" w:type="dxa"/>
            <w:vAlign w:val="center"/>
          </w:tcPr>
          <w:p>
            <w:pPr>
              <w:pStyle w:val="12"/>
            </w:pPr>
            <w:r>
              <w:t>13.42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9.72</w:t>
            </w:r>
          </w:p>
        </w:tc>
        <w:tc>
          <w:tcPr>
            <w:tcW w:w="2381" w:type="dxa"/>
            <w:vAlign w:val="center"/>
          </w:tcPr>
          <w:p>
            <w:pPr>
              <w:pStyle w:val="12"/>
            </w:pPr>
            <w:r>
              <w:t>9.72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9.72</w:t>
            </w:r>
          </w:p>
        </w:tc>
        <w:tc>
          <w:tcPr>
            <w:tcW w:w="2381" w:type="dxa"/>
            <w:vAlign w:val="center"/>
          </w:tcPr>
          <w:p>
            <w:pPr>
              <w:pStyle w:val="12"/>
            </w:pPr>
            <w:r>
              <w:t>9.72</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3.70</w:t>
            </w:r>
          </w:p>
        </w:tc>
        <w:tc>
          <w:tcPr>
            <w:tcW w:w="2381" w:type="dxa"/>
            <w:vAlign w:val="center"/>
          </w:tcPr>
          <w:p>
            <w:pPr>
              <w:pStyle w:val="12"/>
            </w:pPr>
            <w:r>
              <w:t>3.70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保定市徐水区大因镇人民政府2025年部门预算信息公开情况说明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保定市徐水区大因镇人民政府2025年部门预算信息公开情况说明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按照《中华人民共和国预算法》、《地方预决算公开操作规程》和《关于进一步推进预算公开工作的实施意见》规定，现将保定市徐水区大因镇人民政府2025年部门预算公开如下：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根据《保定市徐水区大因镇人民政府职能配置、内设机构和人员编制规定》，保定市徐水区大因镇人民政府的主要职责是：</w:t>
      </w:r>
    </w:p>
    <w:p>
      <w:pPr>
        <w:pStyle w:val="18"/>
      </w:pPr>
      <w:r>
        <w:t>(一）检查监督代表法、选举法及实施办报贯彻实施；承担人大换届选举及人事任免服务工作；负责对乡镇政府组成人员和乡镇人民法院主要负责人的目标责任书、述职报告的督办工作。</w:t>
      </w:r>
    </w:p>
    <w:p>
      <w:pPr>
        <w:pStyle w:val="18"/>
      </w:pPr>
      <w: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pStyle w:val="18"/>
      </w:pPr>
      <w: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pStyle w:val="18"/>
      </w:pPr>
      <w:r>
        <w:t>（四）组织指导基层政权和社区建设；推进社会工作人员队伍建设。</w:t>
      </w:r>
    </w:p>
    <w:p>
      <w:pPr>
        <w:pStyle w:val="18"/>
      </w:pPr>
      <w:r>
        <w:t>（五）水利水电项目的建设与维护管理。</w:t>
      </w:r>
    </w:p>
    <w:p>
      <w:pPr>
        <w:pStyle w:val="18"/>
      </w:pPr>
      <w:r>
        <w:t>（六）负责乡镇防汛抗旱组织建设，应急调度，建设应急度汛、抗旱应急、海堤、山洪灾害防治项目，储备管理防汛抗旱物资，建设水利信息化基础设施，提高乡镇抗御水旱灾害能力。</w:t>
      </w:r>
    </w:p>
    <w:p>
      <w:pPr>
        <w:pStyle w:val="18"/>
      </w:pPr>
      <w:r>
        <w:t xml:space="preserve">（七）乡镇公用设施建设、安全和应急管理；落实村庄的小城镇建设政策；指导农村住房建设、住房安全和危房改造；发送小城镇和村庄人居环境。 </w:t>
      </w:r>
    </w:p>
    <w:p>
      <w:pPr>
        <w:pStyle w:val="18"/>
      </w:pPr>
      <w:r>
        <w:t>（八）完成交通基础设施投资；管理乡镇重点工程建设、工程质量和安全生产，对项目招投标活动进行监督管理。</w:t>
      </w:r>
    </w:p>
    <w:p>
      <w:pPr>
        <w:pStyle w:val="18"/>
      </w:pPr>
      <w:r>
        <w:t>（九）协助完成国家下达的广播电视直播卫星户户通工程、农村电影工作、数字影院升级改造、农家书屋建设、全民阅读活动、老放映员生活补助以及应急广播体系建设等任务目标。</w:t>
      </w:r>
    </w:p>
    <w:p>
      <w:pPr>
        <w:pStyle w:val="18"/>
      </w:pPr>
      <w:r>
        <w:t>（十）通过贯彻实施新型农村合作医疗、疾病应急救助、城乡居民大病保险以及公费医疗等制度，保障人民群众公平享有所需医疗服务权益。</w:t>
      </w:r>
    </w:p>
    <w:p>
      <w:pPr>
        <w:pStyle w:val="18"/>
      </w:pPr>
      <w:r>
        <w:t>（十一）提供各类计划生育技术服务，开展出生人口性别比治理以及流动人口计划生育管理等各项工作。</w:t>
      </w:r>
    </w:p>
    <w:p>
      <w:pPr>
        <w:pStyle w:val="18"/>
      </w:pPr>
      <w:r>
        <w:t>（十二）承担系统综合业务管理和部门综合事务管理。</w:t>
      </w:r>
    </w:p>
    <w:p>
      <w:pPr>
        <w:pStyle w:val="18"/>
      </w:pPr>
      <w: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pStyle w:val="18"/>
      </w:pPr>
      <w:r>
        <w:t>（十四）负责正常信访、非访、突发性及群体性事件的办理；提供相关服务保障；协助区信访局处理群众进京上访；信访事项督查、复查复核、听证。</w:t>
      </w:r>
    </w:p>
    <w:p>
      <w:pPr>
        <w:pStyle w:val="18"/>
      </w:pPr>
      <w:r>
        <w:t>（十五）以农村教育为重点，推进义务教育均衡发展，建立中小学校舍安全保障机制，发送薄弱学校办学条件，促进公共教育资源向农村和经济欠发达地区倾斜。</w:t>
      </w:r>
    </w:p>
    <w:p>
      <w:pPr>
        <w:pStyle w:val="18"/>
      </w:pPr>
      <w:r>
        <w:t>（十六）承担全乡安全生产综合监督管理责任，依法行使综合监督管理职权；根据《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pStyle w:val="18"/>
      </w:pPr>
      <w:r>
        <w:t>（十七）统计、汇总、核查、会商灾情，统一发布灾情；组织协调紧急转移安置灾民；承办救灾款物分配和监管，物资调运，组织民房恢复重建及灾民生活救助，指导紧急救灾和灾后生产恢复。</w:t>
      </w:r>
    </w:p>
    <w:p>
      <w:pPr>
        <w:pStyle w:val="18"/>
      </w:pPr>
      <w:r>
        <w:t>（十八）按照国家、省部署，对全乡主要粮食作物和猪、牛、羊、鸡等畜产品生产实施良种补贴。</w:t>
      </w:r>
    </w:p>
    <w:p>
      <w:pPr>
        <w:pStyle w:val="18"/>
      </w:pPr>
      <w:r>
        <w:t>（十九）推进农村集体产权制度改革，完善农村土地承包制度，引导农村土地合理流转。创新农业经营主体；根据国家要求开展农村土地承包经营确权登记试点，并逐步向全乡全面推开。</w:t>
      </w:r>
    </w:p>
    <w:p>
      <w:pPr>
        <w:pStyle w:val="18"/>
      </w:pPr>
      <w:r>
        <w:t>（二十）通过实施农村面貌改造提升行动，加快建设社会主义新农村。</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保定市徐水区大因镇人民政府本级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按照预算管理有关规定，目前部门预算的编制实行综合预算管理，即全部收入和支出都反映在预算中。保定市徐水区大因镇人民政府机关及所属事业单位的收支包含在部门预算中。</w:t>
      </w:r>
    </w:p>
    <w:p>
      <w:pPr>
        <w:pStyle w:val="19"/>
      </w:pPr>
      <w:r>
        <w:t>1、收入说明</w:t>
      </w:r>
    </w:p>
    <w:p>
      <w:pPr>
        <w:pStyle w:val="19"/>
      </w:pPr>
      <w:r>
        <w:t>反映本部门当年全部收入。2025年预算收入2288.06万元，其中：一般公共预算收入2288.06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大因镇人民政府年度部门预算中支出预算的总体情况。2025年支出预算2288.06万元，其中基本支出1883.67万元，包括人员经费1774.63万元和日常公用经费109.04万元；项目支出404.39万元，主要为村级组织三项经费217.09万元，国防公路建设工役制人员生活困难补贴、“三线”铁路建设民兵人员补助46.64万元，机关事务管理运行保障经费49.57万元，其他个人部分支出35.88万元，解决历史遗留等问题等26.76万元，其他项目支出28.45万元。</w:t>
      </w:r>
    </w:p>
    <w:p>
      <w:pPr>
        <w:pStyle w:val="19"/>
      </w:pPr>
      <w:r>
        <w:t>3、比上年增减情况</w:t>
      </w:r>
    </w:p>
    <w:p>
      <w:pPr>
        <w:pStyle w:val="19"/>
      </w:pPr>
      <w:r>
        <w:t>2025年预算收支安排2288.06万元，较2024年预算减少64.57万元，其中：基本支出减少54.24万元，主要为2024年人员调出，人员经费减少。项目支出减少10.33万元，主要为三线铁路建设民兵补助项目人员减少，“三馆一站”免费开放项目资金未列入2025年年初预算。</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19"/>
      </w:pPr>
      <w:r>
        <w:t>2025年，我</w:t>
      </w:r>
      <w:r>
        <w:rPr>
          <w:rFonts w:hint="eastAsia"/>
          <w:lang w:val="en-US" w:eastAsia="zh-CN"/>
        </w:rPr>
        <w:t>部门</w:t>
      </w:r>
      <w:r>
        <w:t>机关运行经费共计安排</w:t>
      </w:r>
      <w:r>
        <w:rPr>
          <w:rFonts w:hint="eastAsia"/>
        </w:rPr>
        <w:t>109.04万元，主要用于日常维修、办公用房水电费、办公用房取暖费、 办公用房物业管理费等日常运行支出。</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9"/>
        <w:rPr>
          <w:rFonts w:hint="default" w:eastAsia="方正仿宋_GBK"/>
          <w:lang w:val="en-US" w:eastAsia="zh-CN"/>
        </w:rPr>
      </w:pPr>
      <w:r>
        <w:t>2025年，我</w:t>
      </w:r>
      <w:r>
        <w:rPr>
          <w:rFonts w:hint="eastAsia"/>
          <w:lang w:val="en-US" w:eastAsia="zh-CN"/>
        </w:rPr>
        <w:t>部门</w:t>
      </w:r>
      <w:r>
        <w:t>财政拨款“三公”经费预算安排</w:t>
      </w:r>
      <w:r>
        <w:rPr>
          <w:rFonts w:hint="eastAsia"/>
        </w:rPr>
        <w:t>13.42万元，其中因公出国（境）费0.00万元； 公务用车购置及运维费9.72万元（其中：公务用车购置费为0.00万元，公务用车运维费9.72万元)； 公务接待费3.70万元。</w:t>
      </w:r>
      <w:r>
        <w:rPr>
          <w:rFonts w:hint="eastAsia"/>
          <w:lang w:val="en-US" w:eastAsia="zh-CN"/>
        </w:rPr>
        <w:t>与</w:t>
      </w:r>
      <w:r>
        <w:rPr>
          <w:rFonts w:hint="default"/>
          <w:lang w:val="en-US" w:eastAsia="zh-CN"/>
        </w:rPr>
        <w:t>2024</w:t>
      </w:r>
      <w:r>
        <w:rPr>
          <w:rFonts w:hint="eastAsia"/>
          <w:lang w:val="en-US" w:eastAsia="zh-CN"/>
        </w:rPr>
        <w:t>年相比无变化。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 xml:space="preserve">以习近平新时代中国特色社会主义思想为指导，全面贯彻落实党的二十大以及中央经济工作会议精神，根据区委区政府工作部署，结合本地区实际，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巩固脱贫攻坚成果，促进地区经济发展；整治非法、污染企业，加强土地管控，保护大气环境，提升群众满意度和幸福感；健全工作机制，扎实锤炼作风，全力攻坚克难，全面提高单位工作制度化、规范化水平，努力开创工作新局面。 </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（一）协调维护社会稳定，维护镇村稳定</w:t>
      </w:r>
    </w:p>
    <w:p>
      <w:pPr>
        <w:pStyle w:val="23"/>
      </w:pPr>
      <w:r>
        <w:t>绩效目标：协调维护社会稳定和国家安全，以创建和谐稳定的社会环境为目标。</w:t>
      </w:r>
    </w:p>
    <w:p>
      <w:pPr>
        <w:pStyle w:val="23"/>
      </w:pPr>
      <w:r>
        <w:t>绩效指标：矛盾纠纷调处成功率达到90%及以上；信访案件处置及时率不低于90%；矛盾纠纷事件较上一年无较大增加，稳定水平提高。</w:t>
      </w:r>
    </w:p>
    <w:p>
      <w:pPr>
        <w:pStyle w:val="23"/>
      </w:pPr>
      <w:r>
        <w:t>（二）维持村级组织正常运转，促进发展</w:t>
      </w:r>
    </w:p>
    <w:p>
      <w:pPr>
        <w:pStyle w:val="23"/>
      </w:pPr>
      <w:r>
        <w:t>绩效目标：维持村级组织正常运转，搞好服务保障，促进乡村社会和经济发展，促进社会稳定水平逐步提高。</w:t>
      </w:r>
    </w:p>
    <w:p>
      <w:pPr>
        <w:pStyle w:val="23"/>
      </w:pPr>
      <w:r>
        <w:t>绩效指标：经费覆盖村数达到25个，项目支出预算数达100%，村级各项经费的拨付及时率达90%及以上；群众满意率达到90%及以上。</w:t>
      </w:r>
    </w:p>
    <w:p>
      <w:pPr>
        <w:pStyle w:val="23"/>
      </w:pPr>
      <w:r>
        <w:t>（三）乡镇综合事务管理，保障正常运转</w:t>
      </w:r>
    </w:p>
    <w:p>
      <w:pPr>
        <w:pStyle w:val="23"/>
      </w:pPr>
      <w:r>
        <w:t>绩效目标：扎实做好人大、党建、纪检、团委等各项工作，保障机关工作正常运转，财政资金使用效益。</w:t>
      </w:r>
    </w:p>
    <w:p>
      <w:pPr>
        <w:pStyle w:val="23"/>
      </w:pPr>
      <w:r>
        <w:t>绩效指标：保障工作明显提升；综合事务管理工作完成率达到90%以上；受益对象满意度达到85%以上。</w:t>
      </w:r>
    </w:p>
    <w:p>
      <w:pPr>
        <w:pStyle w:val="23"/>
      </w:pPr>
      <w:r>
        <w:t>（四）做好大气污染防治，改善农村环境</w:t>
      </w:r>
    </w:p>
    <w:p>
      <w:pPr>
        <w:pStyle w:val="23"/>
      </w:pPr>
      <w:r>
        <w:t>绩效目标：做好全年大气污染防治工作，把大气污染防治工作作为一项重要内容常态化。</w:t>
      </w:r>
    </w:p>
    <w:p>
      <w:pPr>
        <w:pStyle w:val="23"/>
      </w:pPr>
      <w:r>
        <w:t>绩效指标：宣传覆盖率达100%，辖区全年空气质量达标率达95%及以上。</w:t>
      </w:r>
    </w:p>
    <w:p>
      <w:pPr>
        <w:pStyle w:val="23"/>
      </w:pPr>
      <w:r>
        <w:t>（五）落实安全生产诚信管理</w:t>
      </w:r>
    </w:p>
    <w:p>
      <w:pPr>
        <w:pStyle w:val="23"/>
      </w:pPr>
      <w:r>
        <w:t>绩效目标：对重点行业和作业场所职业卫生安全生产加强行政执法监察；开展重大危险源执法检查工作；开展安全事故检查及安全生产宣传教育活动；促进企业全面落实安全生产诚信管理。</w:t>
      </w:r>
    </w:p>
    <w:p>
      <w:pPr>
        <w:pStyle w:val="23"/>
      </w:pPr>
      <w:r>
        <w:t>绩效指标：安全生产信息员设置覆盖镇所有村；安全生产信息员补助发放及时率达95%及以上；全年无安全生产相关事件发生。</w:t>
      </w:r>
    </w:p>
    <w:p>
      <w:pPr>
        <w:pStyle w:val="23"/>
      </w:pPr>
      <w:r>
        <w:t>（六）实现镇村地震安全建设常态化</w:t>
      </w:r>
    </w:p>
    <w:p>
      <w:pPr>
        <w:pStyle w:val="23"/>
      </w:pPr>
      <w:r>
        <w:t>绩效目标：实现城乡地震安全建设常态化，提高防震减灾宣传效果，提升社会公众防震避险意识和技能。</w:t>
      </w:r>
    </w:p>
    <w:p>
      <w:pPr>
        <w:pStyle w:val="23"/>
      </w:pPr>
      <w:r>
        <w:t>绩效指标：地震群测群防队伍覆盖全镇各村；维持地震群测群防队伍的稳定，有效降低地震灾害造成的人身及财产损失；地震员补贴发放及时率达95%及以上。</w:t>
      </w:r>
    </w:p>
    <w:p>
      <w:pPr>
        <w:pStyle w:val="23"/>
      </w:pPr>
      <w:r>
        <w:t>（七）继续加强扶贫工作，巩固脱贫攻坚成果</w:t>
      </w:r>
    </w:p>
    <w:p>
      <w:pPr>
        <w:pStyle w:val="23"/>
      </w:pPr>
      <w:r>
        <w:t>绩效目标：加强扶贫项目资金绩效管理，创新工作机制，提高资金使用效益和扶贫成效，为实现公共利益和安置脱贫劳动力、农村低收入人口就业为目的，公益性岗位安置脱贫人口就业,确保不发生规模性返贫,为全面推进乡村振兴奠定更加坚实的基础。</w:t>
      </w:r>
    </w:p>
    <w:p>
      <w:pPr>
        <w:pStyle w:val="23"/>
      </w:pPr>
      <w:r>
        <w:t>绩效指标：投入33.4684万元资金，乡村公益岗位补助标准为护林员、河道管护员、环保员、就业服务岗每人每月500元，涉及47人；乡村服务岗每人每月300元，涉及5人。同时为每名乡村公益岗位人员购置人身意外保险667元/年。建档立卡贫困户公益性岗位人员工资到位率100%，保险购置率100%，受益对象满意度达95%以上。</w:t>
      </w:r>
    </w:p>
    <w:p>
      <w:pPr>
        <w:pStyle w:val="23"/>
      </w:pPr>
      <w:r>
        <w:t>（八）及时足额发放补贴，解决相关人员生活困难问题</w:t>
      </w:r>
    </w:p>
    <w:p>
      <w:pPr>
        <w:pStyle w:val="23"/>
      </w:pPr>
      <w:r>
        <w:t>绩效目标：及时发放“三线”铁路建设民兵、京原公路工役制人员、村级退役军人服务站吸收参战（进藏）退役军人补贴，解决相关人员生活困难问题，维持全镇稳定。</w:t>
      </w:r>
    </w:p>
    <w:p>
      <w:pPr>
        <w:pStyle w:val="23"/>
      </w:pPr>
      <w:r>
        <w:t>绩效指标：补贴发放准确率达100%，受益人员满意度达85%及以上。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1、完善制度建设。规范财务资产管理。完善财务管理制度，严格审批程序，加强固定资产登记、使用和报废和处置管理，做到支出合理，物尽其用。</w:t>
      </w:r>
    </w:p>
    <w:p>
      <w:pPr>
        <w:pStyle w:val="24"/>
      </w:pPr>
      <w:r>
        <w:t>2、加强支出管理。将年度工作目标任务细化分解，落实到岗、落实到人。通过优化支出结构，编细编实预算，尽快启动项目，及时支付资金，确保支出进度达标。</w:t>
      </w:r>
    </w:p>
    <w:p>
      <w:pPr>
        <w:pStyle w:val="24"/>
      </w:pPr>
      <w:r>
        <w:t>3、加强绩效运行监控。本年度项目预算绩效目标设置准确、合理、可量化，做好对上年度部门预算绩效自评和重点评价工作，对评价中发现的问题及时整改。调整优化支出结构，提高财政资金使用效益。</w:t>
      </w:r>
    </w:p>
    <w:p>
      <w:pPr>
        <w:pStyle w:val="24"/>
      </w:pPr>
      <w:r>
        <w:t>4、做好绩效自评。每月开展一次绩效自评工作，保障项目资金支付及时性，对未完成支付指标项目加强监督管理，6月份整体支出进度达50%，11月份达100%。</w:t>
      </w:r>
    </w:p>
    <w:p>
      <w:pPr>
        <w:pStyle w:val="24"/>
      </w:pPr>
      <w:r>
        <w:t>5、规范财务资产管理。完善资产管理制度，规范操作流程，严格资产购置审批制度，加强业务学习及培训。</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工作。加强人员培训，提高本部门职工业务素质；加强调研，提出优化财政资金配置，提高资金使用效益的意见；加大宣传力度，强化预算绩效管理意识，促进预算绩效管理水平进一步提高。</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1、“三线”铁路建设民兵生活补贴项目绩效目标表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13062525P00018810015A</w:t>
            </w:r>
          </w:p>
        </w:tc>
        <w:tc>
          <w:tcPr>
            <w:tcW w:w="2835" w:type="dxa"/>
            <w:vAlign w:val="center"/>
          </w:tcPr>
          <w:p>
            <w:pPr>
              <w:pStyle w:val="11"/>
            </w:pPr>
            <w:r>
              <w:t>项目名称</w:t>
            </w:r>
          </w:p>
        </w:tc>
        <w:tc>
          <w:tcPr>
            <w:tcW w:w="6095" w:type="dxa"/>
            <w:gridSpan w:val="3"/>
            <w:vAlign w:val="center"/>
          </w:tcPr>
          <w:p>
            <w:pPr>
              <w:pStyle w:val="13"/>
            </w:pPr>
            <w:r>
              <w:t>“三线”铁路建设民兵生活补贴项目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38.54</w:t>
            </w:r>
          </w:p>
        </w:tc>
        <w:tc>
          <w:tcPr>
            <w:tcW w:w="2835" w:type="dxa"/>
            <w:vAlign w:val="center"/>
          </w:tcPr>
          <w:p>
            <w:pPr>
              <w:pStyle w:val="11"/>
            </w:pPr>
            <w:r>
              <w:t>其中：财政    资金</w:t>
            </w:r>
          </w:p>
        </w:tc>
        <w:tc>
          <w:tcPr>
            <w:tcW w:w="2551" w:type="dxa"/>
            <w:vAlign w:val="center"/>
          </w:tcPr>
          <w:p>
            <w:pPr>
              <w:pStyle w:val="13"/>
            </w:pPr>
            <w:r>
              <w:t>38.54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项目资金用于发放“三线”铁路建设民兵生活补贴医疗补贴，解决“三线”铁路建设民兵生活困难保障问题。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1.及时向被补贴人员262人发放“三线”铁路建设民兵生活补贴医疗补贴。</w:t>
            </w:r>
          </w:p>
          <w:p>
            <w:pPr>
              <w:pStyle w:val="13"/>
            </w:pPr>
            <w:r>
              <w:t>2.生活补贴及医疗补贴按年发放。</w:t>
            </w:r>
          </w:p>
          <w:p>
            <w:pPr>
              <w:pStyle w:val="13"/>
            </w:pPr>
            <w:r>
              <w:t>3.解决“三线”铁路建设民兵生活困难保障问题。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补贴人员数量</w:t>
            </w:r>
          </w:p>
        </w:tc>
        <w:tc>
          <w:tcPr>
            <w:tcW w:w="5386" w:type="dxa"/>
            <w:vAlign w:val="center"/>
          </w:tcPr>
          <w:p>
            <w:pPr>
              <w:pStyle w:val="13"/>
            </w:pPr>
            <w:r>
              <w:t>“三线”铁路建设健在民兵人员数</w:t>
            </w:r>
          </w:p>
        </w:tc>
        <w:tc>
          <w:tcPr>
            <w:tcW w:w="2268" w:type="dxa"/>
            <w:vAlign w:val="center"/>
          </w:tcPr>
          <w:p>
            <w:pPr>
              <w:pStyle w:val="13"/>
            </w:pPr>
            <w:r>
              <w:t>185人</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补贴人员数量</w:t>
            </w:r>
          </w:p>
        </w:tc>
        <w:tc>
          <w:tcPr>
            <w:tcW w:w="5386" w:type="dxa"/>
            <w:vAlign w:val="center"/>
          </w:tcPr>
          <w:p>
            <w:pPr>
              <w:pStyle w:val="13"/>
            </w:pPr>
            <w:r>
              <w:t>“三线”铁路建设过世民兵配偶人员数</w:t>
            </w:r>
          </w:p>
        </w:tc>
        <w:tc>
          <w:tcPr>
            <w:tcW w:w="2268" w:type="dxa"/>
            <w:vAlign w:val="center"/>
          </w:tcPr>
          <w:p>
            <w:pPr>
              <w:pStyle w:val="13"/>
            </w:pPr>
            <w:r>
              <w:t>77人</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反映补贴发放准确度情况</w:t>
            </w:r>
          </w:p>
          <w:p>
            <w:pPr>
              <w:pStyle w:val="13"/>
            </w:pPr>
          </w:p>
        </w:tc>
        <w:tc>
          <w:tcPr>
            <w:tcW w:w="2268" w:type="dxa"/>
            <w:vAlign w:val="center"/>
          </w:tcPr>
          <w:p>
            <w:pPr>
              <w:pStyle w:val="13"/>
            </w:pPr>
            <w:r>
              <w:t>100%</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反映补贴发放完成及时度情况</w:t>
            </w:r>
          </w:p>
        </w:tc>
        <w:tc>
          <w:tcPr>
            <w:tcW w:w="2268" w:type="dxa"/>
            <w:vAlign w:val="center"/>
          </w:tcPr>
          <w:p>
            <w:pPr>
              <w:pStyle w:val="13"/>
            </w:pPr>
            <w:r>
              <w:t>≥95%</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≤38.54万元</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补贴人员生活改善率</w:t>
            </w:r>
          </w:p>
        </w:tc>
        <w:tc>
          <w:tcPr>
            <w:tcW w:w="5386" w:type="dxa"/>
            <w:vAlign w:val="center"/>
          </w:tcPr>
          <w:p>
            <w:pPr>
              <w:pStyle w:val="13"/>
            </w:pPr>
            <w:r>
              <w:t>补贴用于生活保障方面的金额占补贴金额的比例</w:t>
            </w:r>
          </w:p>
        </w:tc>
        <w:tc>
          <w:tcPr>
            <w:tcW w:w="2268" w:type="dxa"/>
            <w:vAlign w:val="center"/>
          </w:tcPr>
          <w:p>
            <w:pPr>
              <w:pStyle w:val="13"/>
            </w:pPr>
            <w:r>
              <w:t>100%</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补贴人员满意率</w:t>
            </w:r>
          </w:p>
        </w:tc>
        <w:tc>
          <w:tcPr>
            <w:tcW w:w="5386" w:type="dxa"/>
            <w:vAlign w:val="center"/>
          </w:tcPr>
          <w:p>
            <w:pPr>
              <w:pStyle w:val="13"/>
            </w:pPr>
            <w:r>
              <w:t>指补贴人员的满意度情况</w:t>
            </w:r>
          </w:p>
        </w:tc>
        <w:tc>
          <w:tcPr>
            <w:tcW w:w="2268" w:type="dxa"/>
            <w:vAlign w:val="center"/>
          </w:tcPr>
          <w:p>
            <w:pPr>
              <w:pStyle w:val="13"/>
            </w:pPr>
            <w:r>
              <w:t>≥85%</w:t>
            </w:r>
          </w:p>
        </w:tc>
        <w:tc>
          <w:tcPr>
            <w:tcW w:w="1276" w:type="dxa"/>
            <w:vAlign w:val="center"/>
          </w:tcPr>
          <w:p>
            <w:pPr>
              <w:pStyle w:val="13"/>
            </w:pPr>
            <w:r>
              <w:t>依据满意度调查问卷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13062525P00023210104M</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w:t>
            </w:r>
          </w:p>
        </w:tc>
        <w:tc>
          <w:tcPr>
            <w:tcW w:w="2835" w:type="dxa"/>
            <w:vAlign w:val="center"/>
          </w:tcPr>
          <w:p>
            <w:pPr>
              <w:pStyle w:val="11"/>
            </w:pPr>
            <w:r>
              <w:t>其中：财政    资金</w:t>
            </w:r>
          </w:p>
        </w:tc>
        <w:tc>
          <w:tcPr>
            <w:tcW w:w="2551" w:type="dxa"/>
            <w:vAlign w:val="center"/>
          </w:tcPr>
          <w:p>
            <w:pPr>
              <w:pStyle w:val="13"/>
            </w:pPr>
            <w:r>
              <w:t>1.90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项目资金用于发放38名安全生产信息员津贴，加强基层安全生产保障能力的建设，确保满足安全生产工作的实际需要，进一步加大安全生产延伸到基层，掌握全区的安全生产动态。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1.2025年此项经费1.9万元，用于发放38名安全生产信息员津贴，每半年度支付一次。</w:t>
            </w:r>
          </w:p>
          <w:p>
            <w:pPr>
              <w:pStyle w:val="13"/>
            </w:pPr>
            <w:r>
              <w:t>2.加强基层安全生产保障能力的建设，确保满足安全生产工作的实际需要，进一步加大安全生产延伸到基层，掌握全区的安全生产动态。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全区各乡镇设立安全生产信息员总人数</w:t>
            </w:r>
          </w:p>
        </w:tc>
        <w:tc>
          <w:tcPr>
            <w:tcW w:w="2268" w:type="dxa"/>
            <w:vAlign w:val="center"/>
          </w:tcPr>
          <w:p>
            <w:pPr>
              <w:pStyle w:val="13"/>
            </w:pPr>
            <w:r>
              <w:t>38人</w:t>
            </w:r>
          </w:p>
        </w:tc>
        <w:tc>
          <w:tcPr>
            <w:tcW w:w="127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岗位补贴人平均标准情况</w:t>
            </w:r>
          </w:p>
        </w:tc>
        <w:tc>
          <w:tcPr>
            <w:tcW w:w="2268" w:type="dxa"/>
            <w:vAlign w:val="center"/>
          </w:tcPr>
          <w:p>
            <w:pPr>
              <w:pStyle w:val="13"/>
            </w:pPr>
            <w:r>
              <w:t>500元/人/年</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0次</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13062525P000162100313</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37.94</w:t>
            </w:r>
          </w:p>
        </w:tc>
        <w:tc>
          <w:tcPr>
            <w:tcW w:w="2835" w:type="dxa"/>
            <w:vAlign w:val="center"/>
          </w:tcPr>
          <w:p>
            <w:pPr>
              <w:pStyle w:val="11"/>
            </w:pPr>
            <w:r>
              <w:t>其中：财政    资金</w:t>
            </w:r>
          </w:p>
        </w:tc>
        <w:tc>
          <w:tcPr>
            <w:tcW w:w="2551" w:type="dxa"/>
            <w:vAlign w:val="center"/>
          </w:tcPr>
          <w:p>
            <w:pPr>
              <w:pStyle w:val="13"/>
            </w:pPr>
            <w:r>
              <w:t>37.94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项目资金用于辖区内党员培训、组织党员活动、强化基层党建等的相关费用支出。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1.对辖区内1897名党员进行培训，组织活动，2025年控制在37.94万元，提高农村党员的综合素质.</w:t>
            </w:r>
          </w:p>
          <w:p>
            <w:pPr>
              <w:pStyle w:val="13"/>
            </w:pPr>
            <w:r>
              <w:t>2.通过实施此项目，使得村内党员活动正常开展，强化基层组织党的建设工作。</w:t>
            </w:r>
          </w:p>
          <w:p>
            <w:pPr>
              <w:pStyle w:val="13"/>
            </w:pPr>
            <w:r>
              <w:t>3.及时拨付村党组织活动经费，保障村党组织各项活动次数2次以上。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党员数量</w:t>
            </w:r>
          </w:p>
        </w:tc>
        <w:tc>
          <w:tcPr>
            <w:tcW w:w="5386" w:type="dxa"/>
            <w:vAlign w:val="center"/>
          </w:tcPr>
          <w:p>
            <w:pPr>
              <w:pStyle w:val="13"/>
            </w:pPr>
            <w:r>
              <w:t>指辖区内党员的数量</w:t>
            </w:r>
          </w:p>
        </w:tc>
        <w:tc>
          <w:tcPr>
            <w:tcW w:w="2268" w:type="dxa"/>
            <w:vAlign w:val="center"/>
          </w:tcPr>
          <w:p>
            <w:pPr>
              <w:pStyle w:val="13"/>
            </w:pPr>
            <w:r>
              <w:t>1897人</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党组织活动次数</w:t>
            </w:r>
          </w:p>
        </w:tc>
        <w:tc>
          <w:tcPr>
            <w:tcW w:w="5386" w:type="dxa"/>
            <w:vAlign w:val="center"/>
          </w:tcPr>
          <w:p>
            <w:pPr>
              <w:pStyle w:val="13"/>
            </w:pPr>
            <w:r>
              <w:t>指党组织开展各项活动的次数</w:t>
            </w:r>
          </w:p>
        </w:tc>
        <w:tc>
          <w:tcPr>
            <w:tcW w:w="2268" w:type="dxa"/>
            <w:vAlign w:val="center"/>
          </w:tcPr>
          <w:p>
            <w:pPr>
              <w:pStyle w:val="13"/>
            </w:pPr>
            <w:r>
              <w:t>≥2次</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指党员学习活动成果的验收合格率</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指组织参观学习的及时度情况</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5386" w:type="dxa"/>
            <w:vAlign w:val="center"/>
          </w:tcPr>
          <w:p>
            <w:pPr>
              <w:pStyle w:val="13"/>
            </w:pPr>
            <w:r>
              <w:t>对党组织活动需要的支出单位成本</w:t>
            </w:r>
          </w:p>
        </w:tc>
        <w:tc>
          <w:tcPr>
            <w:tcW w:w="2268" w:type="dxa"/>
            <w:vAlign w:val="center"/>
          </w:tcPr>
          <w:p>
            <w:pPr>
              <w:pStyle w:val="13"/>
            </w:pPr>
            <w:r>
              <w:t>≤200元/年/人</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反映农村党员综合素质提升程度</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反映农村党员的满意度</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4、村级退役军人服务站吸收参战（进藏）退役军人补贴绩效目标表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13062525P00009710011M</w:t>
            </w:r>
          </w:p>
        </w:tc>
        <w:tc>
          <w:tcPr>
            <w:tcW w:w="2835" w:type="dxa"/>
            <w:vAlign w:val="center"/>
          </w:tcPr>
          <w:p>
            <w:pPr>
              <w:pStyle w:val="11"/>
            </w:pPr>
            <w:r>
              <w:t>项目名称</w:t>
            </w:r>
          </w:p>
        </w:tc>
        <w:tc>
          <w:tcPr>
            <w:tcW w:w="6095" w:type="dxa"/>
            <w:gridSpan w:val="3"/>
            <w:vAlign w:val="center"/>
          </w:tcPr>
          <w:p>
            <w:pPr>
              <w:pStyle w:val="13"/>
            </w:pPr>
            <w:r>
              <w:t>村级退役军人服务站吸收参战（进藏）退役军人补贴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8.16</w:t>
            </w:r>
          </w:p>
        </w:tc>
        <w:tc>
          <w:tcPr>
            <w:tcW w:w="2835" w:type="dxa"/>
            <w:vAlign w:val="center"/>
          </w:tcPr>
          <w:p>
            <w:pPr>
              <w:pStyle w:val="11"/>
            </w:pPr>
            <w:r>
              <w:t>其中：财政    资金</w:t>
            </w:r>
          </w:p>
        </w:tc>
        <w:tc>
          <w:tcPr>
            <w:tcW w:w="2551" w:type="dxa"/>
            <w:vAlign w:val="center"/>
          </w:tcPr>
          <w:p>
            <w:pPr>
              <w:pStyle w:val="13"/>
            </w:pPr>
            <w:r>
              <w:t>8.16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项目资金用于发放村级退役军人服务站吸收参战（进藏）退役军人补贴，维护全镇稳定。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1.发放补贴人数共11人，其中副站长和战时三等功2人，需资金16800元/年；工作人员9人，需资金64800元/年。</w:t>
            </w:r>
          </w:p>
          <w:p>
            <w:pPr>
              <w:pStyle w:val="13"/>
            </w:pPr>
            <w:r>
              <w:t>2.通过发放村级退役军人服务站吸收参战（进藏）退役军人补贴，维护全镇稳定。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发放副站长和战时三等功补贴的人数</w:t>
            </w:r>
          </w:p>
        </w:tc>
        <w:tc>
          <w:tcPr>
            <w:tcW w:w="5386" w:type="dxa"/>
            <w:vAlign w:val="center"/>
          </w:tcPr>
          <w:p>
            <w:pPr>
              <w:pStyle w:val="13"/>
            </w:pPr>
            <w:r>
              <w:t>反映发放补贴人员数量</w:t>
            </w:r>
          </w:p>
        </w:tc>
        <w:tc>
          <w:tcPr>
            <w:tcW w:w="2268" w:type="dxa"/>
            <w:vAlign w:val="center"/>
          </w:tcPr>
          <w:p>
            <w:pPr>
              <w:pStyle w:val="13"/>
            </w:pPr>
            <w:r>
              <w:t>2人</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发放工作人员补贴的人数</w:t>
            </w:r>
          </w:p>
        </w:tc>
        <w:tc>
          <w:tcPr>
            <w:tcW w:w="5386" w:type="dxa"/>
            <w:vAlign w:val="center"/>
          </w:tcPr>
          <w:p>
            <w:pPr>
              <w:pStyle w:val="13"/>
            </w:pPr>
            <w:r>
              <w:t>反映发放补贴人员数量</w:t>
            </w:r>
          </w:p>
        </w:tc>
        <w:tc>
          <w:tcPr>
            <w:tcW w:w="2268" w:type="dxa"/>
            <w:vAlign w:val="center"/>
          </w:tcPr>
          <w:p>
            <w:pPr>
              <w:pStyle w:val="13"/>
            </w:pPr>
            <w:r>
              <w:t>9人</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反映按月发放到位情况</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副站长、三等工人员年标准</w:t>
            </w:r>
          </w:p>
        </w:tc>
        <w:tc>
          <w:tcPr>
            <w:tcW w:w="2268" w:type="dxa"/>
            <w:vAlign w:val="center"/>
          </w:tcPr>
          <w:p>
            <w:pPr>
              <w:pStyle w:val="13"/>
            </w:pPr>
            <w:r>
              <w:t>8400元/年</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普通工作人员年标准</w:t>
            </w:r>
          </w:p>
        </w:tc>
        <w:tc>
          <w:tcPr>
            <w:tcW w:w="2268" w:type="dxa"/>
            <w:vAlign w:val="center"/>
          </w:tcPr>
          <w:p>
            <w:pPr>
              <w:pStyle w:val="13"/>
            </w:pPr>
            <w:r>
              <w:t>7200元/年</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5386" w:type="dxa"/>
            <w:vAlign w:val="center"/>
          </w:tcPr>
          <w:p>
            <w:pPr>
              <w:pStyle w:val="13"/>
            </w:pPr>
            <w:r>
              <w:t>反映退役士兵上访次数</w:t>
            </w:r>
          </w:p>
        </w:tc>
        <w:tc>
          <w:tcPr>
            <w:tcW w:w="2268" w:type="dxa"/>
            <w:vAlign w:val="center"/>
          </w:tcPr>
          <w:p>
            <w:pPr>
              <w:pStyle w:val="13"/>
            </w:pPr>
            <w:r>
              <w:t>≤2次</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5386" w:type="dxa"/>
            <w:vAlign w:val="center"/>
          </w:tcPr>
          <w:p>
            <w:pPr>
              <w:pStyle w:val="13"/>
            </w:pPr>
            <w:r>
              <w:t>村级退役军人服务站吸收的参战（进藏）退役军人的满意度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13062525P00016210027W</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54.15</w:t>
            </w:r>
          </w:p>
        </w:tc>
        <w:tc>
          <w:tcPr>
            <w:tcW w:w="2835" w:type="dxa"/>
            <w:vAlign w:val="center"/>
          </w:tcPr>
          <w:p>
            <w:pPr>
              <w:pStyle w:val="11"/>
            </w:pPr>
            <w:r>
              <w:t>其中：财政    资金</w:t>
            </w:r>
          </w:p>
        </w:tc>
        <w:tc>
          <w:tcPr>
            <w:tcW w:w="2551" w:type="dxa"/>
            <w:vAlign w:val="center"/>
          </w:tcPr>
          <w:p>
            <w:pPr>
              <w:pStyle w:val="13"/>
            </w:pPr>
            <w:r>
              <w:t>54.15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项目资金用于辖区25个行政村内办公费、水电费等的支出，保障村内正常工作活动的开展。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1.正确使用村级组织办公经费用于村内公益事业,达到90%以上的群众满意。</w:t>
            </w:r>
          </w:p>
          <w:p>
            <w:pPr>
              <w:pStyle w:val="13"/>
            </w:pPr>
            <w:r>
              <w:t>2.通过实施此项目，促进社会稳定水平逐步提高，保障村内组织日常活动。</w:t>
            </w:r>
          </w:p>
          <w:p>
            <w:pPr>
              <w:pStyle w:val="13"/>
            </w:pPr>
            <w:r>
              <w:t>3.达到全镇25个行政村必要的办公用品费、办公设施维护费、水电暖费、报刊征订费等正常维持。全年需要54.15万元的资金保障.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考察村级组织办公经费实际保障的村庄数量情况</w:t>
            </w:r>
          </w:p>
        </w:tc>
        <w:tc>
          <w:tcPr>
            <w:tcW w:w="2268" w:type="dxa"/>
            <w:vAlign w:val="center"/>
          </w:tcPr>
          <w:p>
            <w:pPr>
              <w:pStyle w:val="13"/>
            </w:pPr>
            <w:r>
              <w:t>25个</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考察保障村级组织数量占辖区总村数比重情况</w:t>
            </w:r>
          </w:p>
        </w:tc>
        <w:tc>
          <w:tcPr>
            <w:tcW w:w="2268" w:type="dxa"/>
            <w:vAlign w:val="center"/>
          </w:tcPr>
          <w:p>
            <w:pPr>
              <w:pStyle w:val="13"/>
            </w:pPr>
            <w:r>
              <w:t>100%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考察资金拨付及时率情况</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考察项目支出控制在预算范围内情况</w:t>
            </w:r>
          </w:p>
        </w:tc>
        <w:tc>
          <w:tcPr>
            <w:tcW w:w="2268" w:type="dxa"/>
            <w:vAlign w:val="center"/>
          </w:tcPr>
          <w:p>
            <w:pPr>
              <w:pStyle w:val="13"/>
            </w:pPr>
            <w:r>
              <w:t>≤54.15万元</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考察村级组织在办公用品费、办公设施维护费、水电暖费等方面保障水平的提升比率情况</w:t>
            </w:r>
          </w:p>
        </w:tc>
        <w:tc>
          <w:tcPr>
            <w:tcW w:w="2268" w:type="dxa"/>
            <w:vAlign w:val="center"/>
          </w:tcPr>
          <w:p>
            <w:pPr>
              <w:pStyle w:val="13"/>
            </w:pPr>
            <w:r>
              <w:t>≥85%</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6、大气污染防治工作经费绩效目标表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13062525P00015410010U</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项目资金用于组织开展大气污染防治宣传活动，改善空气质量，推动大气环境质量持续提升。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1.组织开展大气污染防治宣传活动不少于10次，辖区内无着火点，推进生态文明建设。</w:t>
            </w:r>
          </w:p>
          <w:p>
            <w:pPr>
              <w:pStyle w:val="13"/>
            </w:pPr>
            <w:r>
              <w:t>2.改善空气质量，辖区年度空气质量达标率达95%以上，推动大气环境质量持续提升。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反映发动大气污染防治、禁烧等的宣传次数情况</w:t>
            </w:r>
          </w:p>
        </w:tc>
        <w:tc>
          <w:tcPr>
            <w:tcW w:w="2268" w:type="dxa"/>
            <w:vAlign w:val="center"/>
          </w:tcPr>
          <w:p>
            <w:pPr>
              <w:pStyle w:val="13"/>
            </w:pPr>
            <w:r>
              <w:t>≥10次</w:t>
            </w:r>
          </w:p>
        </w:tc>
        <w:tc>
          <w:tcPr>
            <w:tcW w:w="1276" w:type="dxa"/>
            <w:vAlign w:val="center"/>
          </w:tcPr>
          <w:p>
            <w:pPr>
              <w:pStyle w:val="13"/>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辖区发生火点数</w:t>
            </w:r>
          </w:p>
        </w:tc>
        <w:tc>
          <w:tcPr>
            <w:tcW w:w="5386" w:type="dxa"/>
            <w:vAlign w:val="center"/>
          </w:tcPr>
          <w:p>
            <w:pPr>
              <w:pStyle w:val="13"/>
            </w:pPr>
            <w:r>
              <w:t>反映年度内辖区发生火点的情况</w:t>
            </w:r>
          </w:p>
        </w:tc>
        <w:tc>
          <w:tcPr>
            <w:tcW w:w="2268" w:type="dxa"/>
            <w:vAlign w:val="center"/>
          </w:tcPr>
          <w:p>
            <w:pPr>
              <w:pStyle w:val="13"/>
            </w:pPr>
            <w:r>
              <w:t>0个</w:t>
            </w:r>
          </w:p>
        </w:tc>
        <w:tc>
          <w:tcPr>
            <w:tcW w:w="1276" w:type="dxa"/>
            <w:vAlign w:val="center"/>
          </w:tcPr>
          <w:p>
            <w:pPr>
              <w:pStyle w:val="13"/>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空气质量达标率</w:t>
            </w:r>
          </w:p>
        </w:tc>
        <w:tc>
          <w:tcPr>
            <w:tcW w:w="5386" w:type="dxa"/>
            <w:vAlign w:val="center"/>
          </w:tcPr>
          <w:p>
            <w:pPr>
              <w:pStyle w:val="13"/>
            </w:pPr>
            <w:r>
              <w:t>反映辖区空气质量的达标情况</w:t>
            </w:r>
          </w:p>
        </w:tc>
        <w:tc>
          <w:tcPr>
            <w:tcW w:w="2268" w:type="dxa"/>
            <w:vAlign w:val="center"/>
          </w:tcPr>
          <w:p>
            <w:pPr>
              <w:pStyle w:val="13"/>
            </w:pPr>
            <w:r>
              <w:t>≥95%</w:t>
            </w:r>
          </w:p>
        </w:tc>
        <w:tc>
          <w:tcPr>
            <w:tcW w:w="1276" w:type="dxa"/>
            <w:vAlign w:val="center"/>
          </w:tcPr>
          <w:p>
            <w:pPr>
              <w:pStyle w:val="13"/>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环境污染事件及时处置率</w:t>
            </w:r>
          </w:p>
        </w:tc>
        <w:tc>
          <w:tcPr>
            <w:tcW w:w="5386" w:type="dxa"/>
            <w:vAlign w:val="center"/>
          </w:tcPr>
          <w:p>
            <w:pPr>
              <w:pStyle w:val="13"/>
            </w:pPr>
            <w:r>
              <w:t>反映发生环境大气污染事件后的及时处置情况</w:t>
            </w:r>
          </w:p>
        </w:tc>
        <w:tc>
          <w:tcPr>
            <w:tcW w:w="2268" w:type="dxa"/>
            <w:vAlign w:val="center"/>
          </w:tcPr>
          <w:p>
            <w:pPr>
              <w:pStyle w:val="13"/>
            </w:pPr>
            <w:r>
              <w:t>100%</w:t>
            </w:r>
          </w:p>
        </w:tc>
        <w:tc>
          <w:tcPr>
            <w:tcW w:w="1276" w:type="dxa"/>
            <w:vAlign w:val="center"/>
          </w:tcPr>
          <w:p>
            <w:pPr>
              <w:pStyle w:val="13"/>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反映项目预算执行情况</w:t>
            </w:r>
          </w:p>
        </w:tc>
        <w:tc>
          <w:tcPr>
            <w:tcW w:w="2268" w:type="dxa"/>
            <w:vAlign w:val="center"/>
          </w:tcPr>
          <w:p>
            <w:pPr>
              <w:pStyle w:val="13"/>
            </w:pPr>
            <w:r>
              <w:t>≤5万元</w:t>
            </w:r>
          </w:p>
        </w:tc>
        <w:tc>
          <w:tcPr>
            <w:tcW w:w="1276" w:type="dxa"/>
            <w:vAlign w:val="center"/>
          </w:tcPr>
          <w:p>
            <w:pPr>
              <w:pStyle w:val="13"/>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环境质量改善</w:t>
            </w:r>
          </w:p>
        </w:tc>
        <w:tc>
          <w:tcPr>
            <w:tcW w:w="5386" w:type="dxa"/>
            <w:vAlign w:val="center"/>
          </w:tcPr>
          <w:p>
            <w:pPr>
              <w:pStyle w:val="13"/>
            </w:pPr>
            <w:r>
              <w:t>反映辖区环境空气质量改善情况</w:t>
            </w:r>
          </w:p>
        </w:tc>
        <w:tc>
          <w:tcPr>
            <w:tcW w:w="2268" w:type="dxa"/>
            <w:vAlign w:val="center"/>
          </w:tcPr>
          <w:p>
            <w:pPr>
              <w:pStyle w:val="13"/>
            </w:pPr>
            <w:r>
              <w:t>≥5%</w:t>
            </w:r>
          </w:p>
        </w:tc>
        <w:tc>
          <w:tcPr>
            <w:tcW w:w="1276" w:type="dxa"/>
            <w:vAlign w:val="center"/>
          </w:tcPr>
          <w:p>
            <w:pPr>
              <w:pStyle w:val="13"/>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反映辖区村民对大气污染防治工作的满意度情况</w:t>
            </w:r>
          </w:p>
        </w:tc>
        <w:tc>
          <w:tcPr>
            <w:tcW w:w="2268" w:type="dxa"/>
            <w:vAlign w:val="center"/>
          </w:tcPr>
          <w:p>
            <w:pPr>
              <w:pStyle w:val="13"/>
            </w:pPr>
            <w:r>
              <w:t>≥85%</w:t>
            </w:r>
          </w:p>
        </w:tc>
        <w:tc>
          <w:tcPr>
            <w:tcW w:w="1276" w:type="dxa"/>
            <w:vAlign w:val="center"/>
          </w:tcPr>
          <w:p>
            <w:pPr>
              <w:pStyle w:val="13"/>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7、大因镇2025年公益岗位补助及保险项目绩效目标表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13062525P00023210059R</w:t>
            </w:r>
          </w:p>
        </w:tc>
        <w:tc>
          <w:tcPr>
            <w:tcW w:w="2835" w:type="dxa"/>
            <w:vAlign w:val="center"/>
          </w:tcPr>
          <w:p>
            <w:pPr>
              <w:pStyle w:val="11"/>
            </w:pPr>
            <w:r>
              <w:t>项目名称</w:t>
            </w:r>
          </w:p>
        </w:tc>
        <w:tc>
          <w:tcPr>
            <w:tcW w:w="6095" w:type="dxa"/>
            <w:gridSpan w:val="3"/>
            <w:vAlign w:val="center"/>
          </w:tcPr>
          <w:p>
            <w:pPr>
              <w:pStyle w:val="13"/>
            </w:pPr>
            <w:r>
              <w:t>大因镇2025年公益岗位补助及保险项目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33.47</w:t>
            </w:r>
          </w:p>
        </w:tc>
        <w:tc>
          <w:tcPr>
            <w:tcW w:w="2835" w:type="dxa"/>
            <w:vAlign w:val="center"/>
          </w:tcPr>
          <w:p>
            <w:pPr>
              <w:pStyle w:val="11"/>
            </w:pPr>
            <w:r>
              <w:t>其中：财政    资金</w:t>
            </w:r>
          </w:p>
        </w:tc>
        <w:tc>
          <w:tcPr>
            <w:tcW w:w="2551" w:type="dxa"/>
            <w:vAlign w:val="center"/>
          </w:tcPr>
          <w:p>
            <w:pPr>
              <w:pStyle w:val="13"/>
            </w:pPr>
            <w:r>
              <w:t>33.47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项目资金用于发放公益性岗位人员补助及购买意外险，安置脱贫人口就业,确保不发生规模性返贫,为全面推进乡村振兴奠定更加坚实的基础。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33%</w:t>
            </w:r>
          </w:p>
        </w:tc>
        <w:tc>
          <w:tcPr>
            <w:tcW w:w="2835" w:type="dxa"/>
            <w:vAlign w:val="center"/>
          </w:tcPr>
          <w:p>
            <w:pPr>
              <w:pStyle w:val="14"/>
            </w:pPr>
            <w:r>
              <w:t>55%</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1.为实现公共利益和安置脱贫劳动力、农村低收入人口就业为目的，公益性岗位安置脱贫人口就业,确保不发生规模性返贫,为全面推进乡村振兴奠定更加坚实的基础。</w:t>
            </w:r>
          </w:p>
          <w:p>
            <w:pPr>
              <w:pStyle w:val="13"/>
            </w:pPr>
            <w:r>
              <w:t>2.投入33.4684万元资金，乡村公益岗位补助标准为护林员、河道管护员、环保员、就业服务岗每人每月500元，涉及47人；乡村服务岗每人每月300元，涉及5人。同时为每名乡村公益岗位人员购置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安置对象</w:t>
            </w:r>
          </w:p>
        </w:tc>
        <w:tc>
          <w:tcPr>
            <w:tcW w:w="5386" w:type="dxa"/>
            <w:vAlign w:val="center"/>
          </w:tcPr>
          <w:p>
            <w:pPr>
              <w:pStyle w:val="13"/>
            </w:pPr>
            <w:r>
              <w:t>反映有就业需求的有劳动能力和就业愿望的已脱贫人口和农村低收入人口数量的情况</w:t>
            </w:r>
          </w:p>
        </w:tc>
        <w:tc>
          <w:tcPr>
            <w:tcW w:w="2268" w:type="dxa"/>
            <w:vAlign w:val="center"/>
          </w:tcPr>
          <w:p>
            <w:pPr>
              <w:pStyle w:val="13"/>
            </w:pPr>
            <w:r>
              <w:t>≥52人</w:t>
            </w:r>
          </w:p>
        </w:tc>
        <w:tc>
          <w:tcPr>
            <w:tcW w:w="1276" w:type="dxa"/>
            <w:vAlign w:val="center"/>
          </w:tcPr>
          <w:p>
            <w:pPr>
              <w:pStyle w:val="13"/>
            </w:pPr>
            <w:r>
              <w:t>保定市徐水区巩固拓展脱贫攻坚成果领导小组关于印发《保定市徐水区乡村公益性岗位管理实施方案》的通知 徐巩固拓展[2023]6号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发放对象条件符合率</w:t>
            </w:r>
          </w:p>
        </w:tc>
        <w:tc>
          <w:tcPr>
            <w:tcW w:w="5386" w:type="dxa"/>
            <w:vAlign w:val="center"/>
          </w:tcPr>
          <w:p>
            <w:pPr>
              <w:pStyle w:val="13"/>
            </w:pPr>
            <w:r>
              <w:t>反映脱贫人口和防止返贫监测对象、农村低收入人口条件符合率的情况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反映按照目标时间补助金发放及时率的情况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反映护林员、河道管护员、环保员、就业服务岗补助金额的情况</w:t>
            </w:r>
          </w:p>
        </w:tc>
        <w:tc>
          <w:tcPr>
            <w:tcW w:w="2268" w:type="dxa"/>
            <w:vAlign w:val="center"/>
          </w:tcPr>
          <w:p>
            <w:pPr>
              <w:pStyle w:val="13"/>
            </w:pPr>
            <w:r>
              <w:t>500元/人/月</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反映乡村服务岗补助金额的情况</w:t>
            </w:r>
          </w:p>
        </w:tc>
        <w:tc>
          <w:tcPr>
            <w:tcW w:w="2268" w:type="dxa"/>
            <w:vAlign w:val="center"/>
          </w:tcPr>
          <w:p>
            <w:pPr>
              <w:pStyle w:val="13"/>
            </w:pPr>
            <w:r>
              <w:t>300元/人/月</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商业保险</w:t>
            </w:r>
          </w:p>
        </w:tc>
        <w:tc>
          <w:tcPr>
            <w:tcW w:w="5386" w:type="dxa"/>
            <w:vAlign w:val="center"/>
          </w:tcPr>
          <w:p>
            <w:pPr>
              <w:pStyle w:val="13"/>
            </w:pPr>
            <w:r>
              <w:t>反映人身意外保险金额的情况</w:t>
            </w:r>
          </w:p>
        </w:tc>
        <w:tc>
          <w:tcPr>
            <w:tcW w:w="2268" w:type="dxa"/>
            <w:vAlign w:val="center"/>
          </w:tcPr>
          <w:p>
            <w:pPr>
              <w:pStyle w:val="13"/>
            </w:pPr>
            <w:r>
              <w:t>667元/人/年</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稳岗促收</w:t>
            </w:r>
          </w:p>
        </w:tc>
        <w:tc>
          <w:tcPr>
            <w:tcW w:w="5386" w:type="dxa"/>
            <w:vAlign w:val="center"/>
          </w:tcPr>
          <w:p>
            <w:pPr>
              <w:pStyle w:val="13"/>
            </w:pPr>
            <w:r>
              <w:t>反映安置脱贫劳动力、农村低收入人口，确保不发生规模性返贫效率的情况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反映公益岗位人员满意度的情况</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13062525P00002410075P</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项目资金用于开展党建相关活动，提升党员综合素质，发挥党的引领示范作用，增强基层政治功能和组织能力。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40%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1.参与活动的党员不少于100人，开展党代会精神宣讲，提升党员综合素质，发挥党的引领示范作用。</w:t>
            </w:r>
          </w:p>
          <w:p>
            <w:pPr>
              <w:pStyle w:val="13"/>
            </w:pPr>
            <w:r>
              <w:t>2.提升党建创建水平，组织开展基层党组织活动不少于6次，党建工作考核通过率100%，党组织覆盖和工作覆盖明显提升，增强基层政治功能和组织能力。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开展党员活动次数</w:t>
            </w:r>
          </w:p>
        </w:tc>
        <w:tc>
          <w:tcPr>
            <w:tcW w:w="5386" w:type="dxa"/>
            <w:vAlign w:val="center"/>
          </w:tcPr>
          <w:p>
            <w:pPr>
              <w:pStyle w:val="13"/>
            </w:pPr>
            <w:r>
              <w:t>反映开展党员活动次数情况</w:t>
            </w:r>
          </w:p>
        </w:tc>
        <w:tc>
          <w:tcPr>
            <w:tcW w:w="2268" w:type="dxa"/>
            <w:vAlign w:val="center"/>
          </w:tcPr>
          <w:p>
            <w:pPr>
              <w:pStyle w:val="13"/>
            </w:pPr>
            <w:r>
              <w:t>≥6次</w:t>
            </w:r>
          </w:p>
        </w:tc>
        <w:tc>
          <w:tcPr>
            <w:tcW w:w="1276" w:type="dxa"/>
            <w:vAlign w:val="center"/>
          </w:tcPr>
          <w:p>
            <w:pPr>
              <w:pStyle w:val="13"/>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反映参与党员活动人数情况</w:t>
            </w:r>
          </w:p>
        </w:tc>
        <w:tc>
          <w:tcPr>
            <w:tcW w:w="2268" w:type="dxa"/>
            <w:vAlign w:val="center"/>
          </w:tcPr>
          <w:p>
            <w:pPr>
              <w:pStyle w:val="13"/>
            </w:pPr>
            <w:r>
              <w:t>≥100人</w:t>
            </w:r>
          </w:p>
        </w:tc>
        <w:tc>
          <w:tcPr>
            <w:tcW w:w="1276" w:type="dxa"/>
            <w:vAlign w:val="center"/>
          </w:tcPr>
          <w:p>
            <w:pPr>
              <w:pStyle w:val="13"/>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反映党建各项工作的考核通过率</w:t>
            </w:r>
          </w:p>
        </w:tc>
        <w:tc>
          <w:tcPr>
            <w:tcW w:w="2268" w:type="dxa"/>
            <w:vAlign w:val="center"/>
          </w:tcPr>
          <w:p>
            <w:pPr>
              <w:pStyle w:val="13"/>
            </w:pPr>
            <w:r>
              <w:t>100%</w:t>
            </w:r>
          </w:p>
        </w:tc>
        <w:tc>
          <w:tcPr>
            <w:tcW w:w="1276" w:type="dxa"/>
            <w:vAlign w:val="center"/>
          </w:tcPr>
          <w:p>
            <w:pPr>
              <w:pStyle w:val="13"/>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反映各项党建工作在规定时间内的完成情况</w:t>
            </w:r>
          </w:p>
        </w:tc>
        <w:tc>
          <w:tcPr>
            <w:tcW w:w="2268" w:type="dxa"/>
            <w:vAlign w:val="center"/>
          </w:tcPr>
          <w:p>
            <w:pPr>
              <w:pStyle w:val="13"/>
            </w:pPr>
            <w:r>
              <w:t>100%</w:t>
            </w:r>
          </w:p>
        </w:tc>
        <w:tc>
          <w:tcPr>
            <w:tcW w:w="1276" w:type="dxa"/>
            <w:vAlign w:val="center"/>
          </w:tcPr>
          <w:p>
            <w:pPr>
              <w:pStyle w:val="13"/>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反映项目预算执行情况</w:t>
            </w:r>
          </w:p>
        </w:tc>
        <w:tc>
          <w:tcPr>
            <w:tcW w:w="2268" w:type="dxa"/>
            <w:vAlign w:val="center"/>
          </w:tcPr>
          <w:p>
            <w:pPr>
              <w:pStyle w:val="13"/>
            </w:pPr>
            <w:r>
              <w:t>≤5万元</w:t>
            </w:r>
          </w:p>
        </w:tc>
        <w:tc>
          <w:tcPr>
            <w:tcW w:w="1276" w:type="dxa"/>
            <w:vAlign w:val="center"/>
          </w:tcPr>
          <w:p>
            <w:pPr>
              <w:pStyle w:val="13"/>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反映辖区党员的违纪通报情况</w:t>
            </w:r>
          </w:p>
        </w:tc>
        <w:tc>
          <w:tcPr>
            <w:tcW w:w="2268" w:type="dxa"/>
            <w:vAlign w:val="center"/>
          </w:tcPr>
          <w:p>
            <w:pPr>
              <w:pStyle w:val="13"/>
            </w:pPr>
            <w:r>
              <w:t>≤2次</w:t>
            </w:r>
          </w:p>
        </w:tc>
        <w:tc>
          <w:tcPr>
            <w:tcW w:w="1276" w:type="dxa"/>
            <w:vAlign w:val="center"/>
          </w:tcPr>
          <w:p>
            <w:pPr>
              <w:pStyle w:val="13"/>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反映辖区党员满意度情况</w:t>
            </w:r>
          </w:p>
        </w:tc>
        <w:tc>
          <w:tcPr>
            <w:tcW w:w="2268" w:type="dxa"/>
            <w:vAlign w:val="center"/>
          </w:tcPr>
          <w:p>
            <w:pPr>
              <w:pStyle w:val="13"/>
            </w:pPr>
            <w:r>
              <w:t>≥85%</w:t>
            </w:r>
          </w:p>
        </w:tc>
        <w:tc>
          <w:tcPr>
            <w:tcW w:w="1276" w:type="dxa"/>
            <w:vAlign w:val="center"/>
          </w:tcPr>
          <w:p>
            <w:pPr>
              <w:pStyle w:val="13"/>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13062525P000232101180</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0.51</w:t>
            </w:r>
          </w:p>
        </w:tc>
        <w:tc>
          <w:tcPr>
            <w:tcW w:w="2835" w:type="dxa"/>
            <w:vAlign w:val="center"/>
          </w:tcPr>
          <w:p>
            <w:pPr>
              <w:pStyle w:val="11"/>
            </w:pPr>
            <w:r>
              <w:t>其中：财政    资金</w:t>
            </w:r>
          </w:p>
        </w:tc>
        <w:tc>
          <w:tcPr>
            <w:tcW w:w="2551" w:type="dxa"/>
            <w:vAlign w:val="center"/>
          </w:tcPr>
          <w:p>
            <w:pPr>
              <w:pStyle w:val="13"/>
            </w:pPr>
            <w:r>
              <w:t>0.51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项目资金用于发放地震台站长及助理员28人津贴，通过项目实施，维持地震群测群防队伍的稳定。有效降低地震灾害造成的人身及财产损失。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1.通过项目实施，维持地震群测群防队伍的稳定。有效降低地震灾害造成的人身及财产损失。该项目主要用于补助地震群测群防队伍。</w:t>
            </w:r>
          </w:p>
          <w:p>
            <w:pPr>
              <w:pStyle w:val="13"/>
            </w:pPr>
            <w:r>
              <w:t>2.此项经费共计5100元，用于发放地震台站长及助理员28人津贴，每半年度支付一次。</w:t>
            </w:r>
          </w:p>
          <w:p>
            <w:pPr>
              <w:pStyle w:val="13"/>
            </w:pPr>
            <w:r>
              <w:t>3.地震群测群防是防震减灾工作的重要组成部分，事关国家公共安全和人民群众生命财产安全，特别对地震短临预报起着不可替代的作用。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28人</w:t>
            </w:r>
          </w:p>
        </w:tc>
        <w:tc>
          <w:tcPr>
            <w:tcW w:w="1276" w:type="dxa"/>
            <w:vAlign w:val="center"/>
          </w:tcPr>
          <w:p>
            <w:pPr>
              <w:pStyle w:val="13"/>
            </w:pPr>
            <w:r>
              <w:t>依据（【2008】保市府办227号）、各乡镇、城区办上报地震群测群防队伍人员名单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项目经费预算总成本</w:t>
            </w:r>
          </w:p>
        </w:tc>
        <w:tc>
          <w:tcPr>
            <w:tcW w:w="5386" w:type="dxa"/>
            <w:vAlign w:val="center"/>
          </w:tcPr>
          <w:p>
            <w:pPr>
              <w:pStyle w:val="13"/>
            </w:pPr>
            <w:r>
              <w:t>项目支出控制在预算范围内</w:t>
            </w:r>
          </w:p>
        </w:tc>
        <w:tc>
          <w:tcPr>
            <w:tcW w:w="2268" w:type="dxa"/>
            <w:vAlign w:val="center"/>
          </w:tcPr>
          <w:p>
            <w:pPr>
              <w:pStyle w:val="13"/>
            </w:pPr>
            <w:r>
              <w:t>≤5100元</w:t>
            </w:r>
          </w:p>
        </w:tc>
        <w:tc>
          <w:tcPr>
            <w:tcW w:w="1276" w:type="dxa"/>
            <w:vAlign w:val="center"/>
          </w:tcPr>
          <w:p>
            <w:pPr>
              <w:pStyle w:val="13"/>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13062525P00016210028G</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125.00</w:t>
            </w:r>
          </w:p>
        </w:tc>
        <w:tc>
          <w:tcPr>
            <w:tcW w:w="2835" w:type="dxa"/>
            <w:vAlign w:val="center"/>
          </w:tcPr>
          <w:p>
            <w:pPr>
              <w:pStyle w:val="11"/>
            </w:pPr>
            <w:r>
              <w:t>其中：财政    资金</w:t>
            </w:r>
          </w:p>
        </w:tc>
        <w:tc>
          <w:tcPr>
            <w:tcW w:w="2551" w:type="dxa"/>
            <w:vAlign w:val="center"/>
          </w:tcPr>
          <w:p>
            <w:pPr>
              <w:pStyle w:val="13"/>
            </w:pPr>
            <w:r>
              <w:t>125.00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项目资金用于保障辖区25个行政村组织日常活动、村内公益事业等的相关费用支出。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1.正确使用服务群众专项经费用于村内公益事业,达到90%以上的群众满意。</w:t>
            </w:r>
          </w:p>
          <w:p>
            <w:pPr>
              <w:pStyle w:val="13"/>
            </w:pPr>
            <w:r>
              <w:t>2.通过实施此项目，促进社会稳定水平逐步提高。保障村内组织日常活动。</w:t>
            </w:r>
          </w:p>
          <w:p>
            <w:pPr>
              <w:pStyle w:val="13"/>
            </w:pPr>
            <w:r>
              <w:t>3.对全镇25个行政村，按村均不低于5万元的标准保障正常运转，需125万元的资金保障。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服务保障村级数量</w:t>
            </w:r>
          </w:p>
        </w:tc>
        <w:tc>
          <w:tcPr>
            <w:tcW w:w="5386" w:type="dxa"/>
            <w:vAlign w:val="center"/>
          </w:tcPr>
          <w:p>
            <w:pPr>
              <w:pStyle w:val="13"/>
            </w:pPr>
            <w:r>
              <w:t>指项目经费服务保障村级组织的数量</w:t>
            </w:r>
          </w:p>
        </w:tc>
        <w:tc>
          <w:tcPr>
            <w:tcW w:w="2268" w:type="dxa"/>
            <w:vAlign w:val="center"/>
          </w:tcPr>
          <w:p>
            <w:pPr>
              <w:pStyle w:val="13"/>
            </w:pPr>
            <w:r>
              <w:t>25个</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指辖区内农村社区综合服务设施覆盖率</w:t>
            </w:r>
          </w:p>
        </w:tc>
        <w:tc>
          <w:tcPr>
            <w:tcW w:w="2268" w:type="dxa"/>
            <w:vAlign w:val="center"/>
          </w:tcPr>
          <w:p>
            <w:pPr>
              <w:pStyle w:val="13"/>
            </w:pPr>
            <w:r>
              <w:t>≥95%</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指服务群众相关工作完成的及时率情况</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指依照具体服务内容每村运行保障成本</w:t>
            </w:r>
          </w:p>
        </w:tc>
        <w:tc>
          <w:tcPr>
            <w:tcW w:w="2268" w:type="dxa"/>
            <w:vAlign w:val="center"/>
          </w:tcPr>
          <w:p>
            <w:pPr>
              <w:pStyle w:val="13"/>
            </w:pPr>
            <w:r>
              <w:t>5万元</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11、纪检保障经费绩效目标表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13062525P00002410072W</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项目资金用于开展纪检相关工作的支出，协助乡镇党委开展农村党风廉政建设和反腐败工作，巩固党在基层的执政基础。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w:t>
            </w:r>
          </w:p>
        </w:tc>
        <w:tc>
          <w:tcPr>
            <w:tcW w:w="2835" w:type="dxa"/>
            <w:vAlign w:val="center"/>
          </w:tcPr>
          <w:p>
            <w:pPr>
              <w:pStyle w:val="14"/>
            </w:pPr>
            <w:r>
              <w:t>30%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1.对辖区开展廉政警示教育和履职情况监督，开展对辖区村、单位的不定期巡查不少于10次，开展纪检监督案件调查办理，查办案件不少于6件。</w:t>
            </w:r>
          </w:p>
          <w:p>
            <w:pPr>
              <w:pStyle w:val="13"/>
            </w:pPr>
            <w:r>
              <w:t>2.协助乡镇党委开展农村党风廉政建设和反腐败工作，巩固党在基层的执政基础。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查办案件数量</w:t>
            </w:r>
          </w:p>
        </w:tc>
        <w:tc>
          <w:tcPr>
            <w:tcW w:w="5386" w:type="dxa"/>
            <w:vAlign w:val="center"/>
          </w:tcPr>
          <w:p>
            <w:pPr>
              <w:pStyle w:val="13"/>
            </w:pPr>
            <w:r>
              <w:t>反映查办案件的数量情况</w:t>
            </w:r>
          </w:p>
        </w:tc>
        <w:tc>
          <w:tcPr>
            <w:tcW w:w="2268" w:type="dxa"/>
            <w:vAlign w:val="center"/>
          </w:tcPr>
          <w:p>
            <w:pPr>
              <w:pStyle w:val="13"/>
            </w:pPr>
            <w:r>
              <w:t>≥6件</w:t>
            </w:r>
          </w:p>
        </w:tc>
        <w:tc>
          <w:tcPr>
            <w:tcW w:w="1276" w:type="dxa"/>
            <w:vAlign w:val="center"/>
          </w:tcPr>
          <w:p>
            <w:pPr>
              <w:pStyle w:val="13"/>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开展监督检查次数</w:t>
            </w:r>
          </w:p>
        </w:tc>
        <w:tc>
          <w:tcPr>
            <w:tcW w:w="5386" w:type="dxa"/>
            <w:vAlign w:val="center"/>
          </w:tcPr>
          <w:p>
            <w:pPr>
              <w:pStyle w:val="13"/>
            </w:pPr>
            <w:r>
              <w:t>反映开展单位内部及所辖行政村监督检查的次数</w:t>
            </w:r>
          </w:p>
        </w:tc>
        <w:tc>
          <w:tcPr>
            <w:tcW w:w="2268" w:type="dxa"/>
            <w:vAlign w:val="center"/>
          </w:tcPr>
          <w:p>
            <w:pPr>
              <w:pStyle w:val="13"/>
            </w:pPr>
            <w:r>
              <w:t>≥10次</w:t>
            </w:r>
          </w:p>
        </w:tc>
        <w:tc>
          <w:tcPr>
            <w:tcW w:w="1276" w:type="dxa"/>
            <w:vAlign w:val="center"/>
          </w:tcPr>
          <w:p>
            <w:pPr>
              <w:pStyle w:val="13"/>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案件查处完成率</w:t>
            </w:r>
          </w:p>
        </w:tc>
        <w:tc>
          <w:tcPr>
            <w:tcW w:w="5386" w:type="dxa"/>
            <w:vAlign w:val="center"/>
          </w:tcPr>
          <w:p>
            <w:pPr>
              <w:pStyle w:val="13"/>
            </w:pPr>
            <w:r>
              <w:t>反映查办案件的完成情况</w:t>
            </w:r>
          </w:p>
        </w:tc>
        <w:tc>
          <w:tcPr>
            <w:tcW w:w="2268" w:type="dxa"/>
            <w:vAlign w:val="center"/>
          </w:tcPr>
          <w:p>
            <w:pPr>
              <w:pStyle w:val="13"/>
            </w:pPr>
            <w:r>
              <w:t>≥90%</w:t>
            </w:r>
          </w:p>
        </w:tc>
        <w:tc>
          <w:tcPr>
            <w:tcW w:w="1276" w:type="dxa"/>
            <w:vAlign w:val="center"/>
          </w:tcPr>
          <w:p>
            <w:pPr>
              <w:pStyle w:val="13"/>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案件办结及时率</w:t>
            </w:r>
          </w:p>
        </w:tc>
        <w:tc>
          <w:tcPr>
            <w:tcW w:w="5386" w:type="dxa"/>
            <w:vAlign w:val="center"/>
          </w:tcPr>
          <w:p>
            <w:pPr>
              <w:pStyle w:val="13"/>
            </w:pPr>
            <w:r>
              <w:t>反映案件在规定时间内的办结情况</w:t>
            </w:r>
          </w:p>
        </w:tc>
        <w:tc>
          <w:tcPr>
            <w:tcW w:w="2268" w:type="dxa"/>
            <w:vAlign w:val="center"/>
          </w:tcPr>
          <w:p>
            <w:pPr>
              <w:pStyle w:val="13"/>
            </w:pPr>
            <w:r>
              <w:t>≥90%</w:t>
            </w:r>
          </w:p>
        </w:tc>
        <w:tc>
          <w:tcPr>
            <w:tcW w:w="1276" w:type="dxa"/>
            <w:vAlign w:val="center"/>
          </w:tcPr>
          <w:p>
            <w:pPr>
              <w:pStyle w:val="13"/>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反映项目预算执行情况</w:t>
            </w:r>
          </w:p>
        </w:tc>
        <w:tc>
          <w:tcPr>
            <w:tcW w:w="2268" w:type="dxa"/>
            <w:vAlign w:val="center"/>
          </w:tcPr>
          <w:p>
            <w:pPr>
              <w:pStyle w:val="13"/>
            </w:pPr>
            <w:r>
              <w:t>≤4.4万元</w:t>
            </w:r>
          </w:p>
        </w:tc>
        <w:tc>
          <w:tcPr>
            <w:tcW w:w="1276" w:type="dxa"/>
            <w:vAlign w:val="center"/>
          </w:tcPr>
          <w:p>
            <w:pPr>
              <w:pStyle w:val="13"/>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政治生态提升率</w:t>
            </w:r>
          </w:p>
        </w:tc>
        <w:tc>
          <w:tcPr>
            <w:tcW w:w="5386" w:type="dxa"/>
            <w:vAlign w:val="center"/>
          </w:tcPr>
          <w:p>
            <w:pPr>
              <w:pStyle w:val="13"/>
            </w:pPr>
            <w:r>
              <w:t>反映单位及辖区党风政风的提升情况</w:t>
            </w:r>
          </w:p>
        </w:tc>
        <w:tc>
          <w:tcPr>
            <w:tcW w:w="2268" w:type="dxa"/>
            <w:vAlign w:val="center"/>
          </w:tcPr>
          <w:p>
            <w:pPr>
              <w:pStyle w:val="13"/>
            </w:pPr>
            <w:r>
              <w:t>≥80%</w:t>
            </w:r>
          </w:p>
        </w:tc>
        <w:tc>
          <w:tcPr>
            <w:tcW w:w="1276" w:type="dxa"/>
            <w:vAlign w:val="center"/>
          </w:tcPr>
          <w:p>
            <w:pPr>
              <w:pStyle w:val="13"/>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反映社会公众或服务对象对纪检工作的满意度情况</w:t>
            </w:r>
          </w:p>
        </w:tc>
        <w:tc>
          <w:tcPr>
            <w:tcW w:w="2268" w:type="dxa"/>
            <w:vAlign w:val="center"/>
          </w:tcPr>
          <w:p>
            <w:pPr>
              <w:pStyle w:val="13"/>
            </w:pPr>
            <w:r>
              <w:t>≥80%</w:t>
            </w:r>
          </w:p>
        </w:tc>
        <w:tc>
          <w:tcPr>
            <w:tcW w:w="1276" w:type="dxa"/>
            <w:vAlign w:val="center"/>
          </w:tcPr>
          <w:p>
            <w:pPr>
              <w:pStyle w:val="13"/>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12、京原公路工作人员生活补贴项目绩效目标表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13062525P00018810016X</w:t>
            </w:r>
          </w:p>
        </w:tc>
        <w:tc>
          <w:tcPr>
            <w:tcW w:w="2835" w:type="dxa"/>
            <w:vAlign w:val="center"/>
          </w:tcPr>
          <w:p>
            <w:pPr>
              <w:pStyle w:val="11"/>
            </w:pPr>
            <w:r>
              <w:t>项目名称</w:t>
            </w:r>
          </w:p>
        </w:tc>
        <w:tc>
          <w:tcPr>
            <w:tcW w:w="6095" w:type="dxa"/>
            <w:gridSpan w:val="3"/>
            <w:vAlign w:val="center"/>
          </w:tcPr>
          <w:p>
            <w:pPr>
              <w:pStyle w:val="13"/>
            </w:pPr>
            <w:r>
              <w:t>京原公路工作人员生活补贴项目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8.10</w:t>
            </w:r>
          </w:p>
        </w:tc>
        <w:tc>
          <w:tcPr>
            <w:tcW w:w="2835" w:type="dxa"/>
            <w:vAlign w:val="center"/>
          </w:tcPr>
          <w:p>
            <w:pPr>
              <w:pStyle w:val="11"/>
            </w:pPr>
            <w:r>
              <w:t>其中：财政    资金</w:t>
            </w:r>
          </w:p>
        </w:tc>
        <w:tc>
          <w:tcPr>
            <w:tcW w:w="2551" w:type="dxa"/>
            <w:vAlign w:val="center"/>
          </w:tcPr>
          <w:p>
            <w:pPr>
              <w:pStyle w:val="13"/>
            </w:pPr>
            <w:r>
              <w:t>8.10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项目资金用于发放国防公路工役制人员生活保补贴，解决国防公路工役制人员15人生活保障问题。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1.及时发放国防公路工役制人员生活保补贴8.1万元，补贴按月发放到个人。</w:t>
            </w:r>
          </w:p>
          <w:p>
            <w:pPr>
              <w:pStyle w:val="13"/>
            </w:pPr>
            <w:r>
              <w:t>2.解决国防公路工役制人员15人生活保障问题。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补贴人员数量</w:t>
            </w:r>
          </w:p>
        </w:tc>
        <w:tc>
          <w:tcPr>
            <w:tcW w:w="5386" w:type="dxa"/>
            <w:vAlign w:val="center"/>
          </w:tcPr>
          <w:p>
            <w:pPr>
              <w:pStyle w:val="13"/>
            </w:pPr>
            <w:r>
              <w:t>京原公路项目补贴人员数</w:t>
            </w:r>
          </w:p>
        </w:tc>
        <w:tc>
          <w:tcPr>
            <w:tcW w:w="2268" w:type="dxa"/>
            <w:vAlign w:val="center"/>
          </w:tcPr>
          <w:p>
            <w:pPr>
              <w:pStyle w:val="13"/>
            </w:pPr>
            <w:r>
              <w:t>15人</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补贴发放准确率情况</w:t>
            </w:r>
          </w:p>
        </w:tc>
        <w:tc>
          <w:tcPr>
            <w:tcW w:w="2268" w:type="dxa"/>
            <w:vAlign w:val="center"/>
          </w:tcPr>
          <w:p>
            <w:pPr>
              <w:pStyle w:val="13"/>
            </w:pPr>
            <w:r>
              <w:t>100%</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发放完成及时情况</w:t>
            </w:r>
          </w:p>
        </w:tc>
        <w:tc>
          <w:tcPr>
            <w:tcW w:w="2268" w:type="dxa"/>
            <w:vAlign w:val="center"/>
          </w:tcPr>
          <w:p>
            <w:pPr>
              <w:pStyle w:val="13"/>
            </w:pPr>
            <w:r>
              <w:t>≥95%</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≤8.1万元</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补贴人员生活改善率</w:t>
            </w:r>
          </w:p>
        </w:tc>
        <w:tc>
          <w:tcPr>
            <w:tcW w:w="5386" w:type="dxa"/>
            <w:vAlign w:val="center"/>
          </w:tcPr>
          <w:p>
            <w:pPr>
              <w:pStyle w:val="13"/>
            </w:pPr>
            <w:r>
              <w:t>受补贴人员生活改善受益情况</w:t>
            </w:r>
          </w:p>
        </w:tc>
        <w:tc>
          <w:tcPr>
            <w:tcW w:w="2268" w:type="dxa"/>
            <w:vAlign w:val="center"/>
          </w:tcPr>
          <w:p>
            <w:pPr>
              <w:pStyle w:val="13"/>
            </w:pPr>
            <w:r>
              <w:t>100%</w:t>
            </w:r>
          </w:p>
        </w:tc>
        <w:tc>
          <w:tcPr>
            <w:tcW w:w="1276" w:type="dxa"/>
            <w:vAlign w:val="center"/>
          </w:tcPr>
          <w:p>
            <w:pPr>
              <w:pStyle w:val="13"/>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受补贴人员满意率</w:t>
            </w:r>
          </w:p>
        </w:tc>
        <w:tc>
          <w:tcPr>
            <w:tcW w:w="5386" w:type="dxa"/>
            <w:vAlign w:val="center"/>
          </w:tcPr>
          <w:p>
            <w:pPr>
              <w:pStyle w:val="13"/>
            </w:pPr>
            <w:r>
              <w:t>受补贴人员满意情况</w:t>
            </w:r>
          </w:p>
        </w:tc>
        <w:tc>
          <w:tcPr>
            <w:tcW w:w="2268" w:type="dxa"/>
            <w:vAlign w:val="center"/>
          </w:tcPr>
          <w:p>
            <w:pPr>
              <w:pStyle w:val="13"/>
            </w:pPr>
            <w:r>
              <w:t>≥85%</w:t>
            </w:r>
          </w:p>
        </w:tc>
        <w:tc>
          <w:tcPr>
            <w:tcW w:w="1276" w:type="dxa"/>
            <w:vAlign w:val="center"/>
          </w:tcPr>
          <w:p>
            <w:pPr>
              <w:pStyle w:val="13"/>
            </w:pPr>
            <w:r>
              <w:t>依据满意度调查结果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13、人大工作经费绩效目标表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13062525P000024100744</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项目资金用于乡镇人大相关工作支出，落实好党对乡镇工作的领导，将人大工作纳入乡镇整体工作布局，促进乡镇人大工作制度化、规范化、程序化。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40%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1.每年至少举行1次乡镇人代会，人大代表出席率不低于80%，全年组织开展代表活动不少于3次，促进基层民主政治建设。</w:t>
            </w:r>
          </w:p>
          <w:p>
            <w:pPr>
              <w:pStyle w:val="13"/>
            </w:pPr>
            <w:r>
              <w:t>2.落实好党对乡镇工作的领导，将人大工作纳入乡镇整体工作布局，促进乡镇人大工作制度化、规范化、程序化。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反映召开人代会的次数情况</w:t>
            </w:r>
          </w:p>
        </w:tc>
        <w:tc>
          <w:tcPr>
            <w:tcW w:w="2268" w:type="dxa"/>
            <w:vAlign w:val="center"/>
          </w:tcPr>
          <w:p>
            <w:pPr>
              <w:pStyle w:val="13"/>
            </w:pPr>
            <w:r>
              <w:t>≥1次</w:t>
            </w:r>
          </w:p>
        </w:tc>
        <w:tc>
          <w:tcPr>
            <w:tcW w:w="1276" w:type="dxa"/>
            <w:vAlign w:val="center"/>
          </w:tcPr>
          <w:p>
            <w:pPr>
              <w:pStyle w:val="13"/>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反映组织开展代表活动的情况</w:t>
            </w:r>
          </w:p>
        </w:tc>
        <w:tc>
          <w:tcPr>
            <w:tcW w:w="2268" w:type="dxa"/>
            <w:vAlign w:val="center"/>
          </w:tcPr>
          <w:p>
            <w:pPr>
              <w:pStyle w:val="13"/>
            </w:pPr>
            <w:r>
              <w:t>≥3次</w:t>
            </w:r>
          </w:p>
        </w:tc>
        <w:tc>
          <w:tcPr>
            <w:tcW w:w="1276" w:type="dxa"/>
            <w:vAlign w:val="center"/>
          </w:tcPr>
          <w:p>
            <w:pPr>
              <w:pStyle w:val="13"/>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反映人代会人大代表的出席情况</w:t>
            </w:r>
          </w:p>
        </w:tc>
        <w:tc>
          <w:tcPr>
            <w:tcW w:w="2268" w:type="dxa"/>
            <w:vAlign w:val="center"/>
          </w:tcPr>
          <w:p>
            <w:pPr>
              <w:pStyle w:val="13"/>
            </w:pPr>
            <w:r>
              <w:t>≥80%</w:t>
            </w:r>
          </w:p>
        </w:tc>
        <w:tc>
          <w:tcPr>
            <w:tcW w:w="1276" w:type="dxa"/>
            <w:vAlign w:val="center"/>
          </w:tcPr>
          <w:p>
            <w:pPr>
              <w:pStyle w:val="13"/>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反映人大工作经费对人大日常工作保障的及时度情况</w:t>
            </w:r>
          </w:p>
        </w:tc>
        <w:tc>
          <w:tcPr>
            <w:tcW w:w="2268" w:type="dxa"/>
            <w:vAlign w:val="center"/>
          </w:tcPr>
          <w:p>
            <w:pPr>
              <w:pStyle w:val="13"/>
            </w:pPr>
            <w:r>
              <w:t>≥90%</w:t>
            </w:r>
          </w:p>
        </w:tc>
        <w:tc>
          <w:tcPr>
            <w:tcW w:w="1276" w:type="dxa"/>
            <w:vAlign w:val="center"/>
          </w:tcPr>
          <w:p>
            <w:pPr>
              <w:pStyle w:val="13"/>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反映人大各项工作、会议在规定时间内的完成情况</w:t>
            </w:r>
          </w:p>
        </w:tc>
        <w:tc>
          <w:tcPr>
            <w:tcW w:w="2268" w:type="dxa"/>
            <w:vAlign w:val="center"/>
          </w:tcPr>
          <w:p>
            <w:pPr>
              <w:pStyle w:val="13"/>
            </w:pPr>
            <w:r>
              <w:t>100%</w:t>
            </w:r>
          </w:p>
        </w:tc>
        <w:tc>
          <w:tcPr>
            <w:tcW w:w="1276" w:type="dxa"/>
            <w:vAlign w:val="center"/>
          </w:tcPr>
          <w:p>
            <w:pPr>
              <w:pStyle w:val="13"/>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反映项目预算控制情况</w:t>
            </w:r>
          </w:p>
        </w:tc>
        <w:tc>
          <w:tcPr>
            <w:tcW w:w="2268" w:type="dxa"/>
            <w:vAlign w:val="center"/>
          </w:tcPr>
          <w:p>
            <w:pPr>
              <w:pStyle w:val="13"/>
            </w:pPr>
            <w:r>
              <w:t>≤3万元</w:t>
            </w:r>
          </w:p>
        </w:tc>
        <w:tc>
          <w:tcPr>
            <w:tcW w:w="1276" w:type="dxa"/>
            <w:vAlign w:val="center"/>
          </w:tcPr>
          <w:p>
            <w:pPr>
              <w:pStyle w:val="13"/>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反映人大代表提议的案件数量情况</w:t>
            </w:r>
          </w:p>
        </w:tc>
        <w:tc>
          <w:tcPr>
            <w:tcW w:w="2268" w:type="dxa"/>
            <w:vAlign w:val="center"/>
          </w:tcPr>
          <w:p>
            <w:pPr>
              <w:pStyle w:val="13"/>
            </w:pPr>
            <w:r>
              <w:t>≥1件</w:t>
            </w:r>
          </w:p>
        </w:tc>
        <w:tc>
          <w:tcPr>
            <w:tcW w:w="1276" w:type="dxa"/>
            <w:vAlign w:val="center"/>
          </w:tcPr>
          <w:p>
            <w:pPr>
              <w:pStyle w:val="13"/>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反映人大代表的满意度情况</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14、团委综合事务管理经费绩效目标表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13062525P00002410076B</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项目资金用于组织开展团组织活动，保障乡镇团委工作顺利开展。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40%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1.组织开展团组织活动2次以上，参与团组织活动不少于50人，各项团委工作通过考核，保障乡镇团委工作顺利开展。</w:t>
            </w:r>
          </w:p>
          <w:p>
            <w:pPr>
              <w:pStyle w:val="13"/>
            </w:pPr>
            <w:r>
              <w:t>2.贯彻上级青少年和共青团工作要求，健全联系青年、服务大局的基层团组织体系。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反映组织团员活动的情况</w:t>
            </w:r>
          </w:p>
        </w:tc>
        <w:tc>
          <w:tcPr>
            <w:tcW w:w="2268" w:type="dxa"/>
            <w:vAlign w:val="center"/>
          </w:tcPr>
          <w:p>
            <w:pPr>
              <w:pStyle w:val="13"/>
            </w:pPr>
            <w:r>
              <w:t>≥2次</w:t>
            </w:r>
          </w:p>
        </w:tc>
        <w:tc>
          <w:tcPr>
            <w:tcW w:w="1276" w:type="dxa"/>
            <w:vAlign w:val="center"/>
          </w:tcPr>
          <w:p>
            <w:pPr>
              <w:pStyle w:val="13"/>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参与团组织活动人数</w:t>
            </w:r>
          </w:p>
        </w:tc>
        <w:tc>
          <w:tcPr>
            <w:tcW w:w="5386" w:type="dxa"/>
            <w:vAlign w:val="center"/>
          </w:tcPr>
          <w:p>
            <w:pPr>
              <w:pStyle w:val="13"/>
            </w:pPr>
            <w:r>
              <w:t>反映参与团组织活动的人数情况</w:t>
            </w:r>
          </w:p>
        </w:tc>
        <w:tc>
          <w:tcPr>
            <w:tcW w:w="2268" w:type="dxa"/>
            <w:vAlign w:val="center"/>
          </w:tcPr>
          <w:p>
            <w:pPr>
              <w:pStyle w:val="13"/>
            </w:pPr>
            <w:r>
              <w:t>≥50人</w:t>
            </w:r>
          </w:p>
        </w:tc>
        <w:tc>
          <w:tcPr>
            <w:tcW w:w="1276" w:type="dxa"/>
            <w:vAlign w:val="center"/>
          </w:tcPr>
          <w:p>
            <w:pPr>
              <w:pStyle w:val="13"/>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反映团委各项工作的考核通过情况</w:t>
            </w:r>
          </w:p>
        </w:tc>
        <w:tc>
          <w:tcPr>
            <w:tcW w:w="2268" w:type="dxa"/>
            <w:vAlign w:val="center"/>
          </w:tcPr>
          <w:p>
            <w:pPr>
              <w:pStyle w:val="13"/>
            </w:pPr>
            <w:r>
              <w:t>100%</w:t>
            </w:r>
          </w:p>
        </w:tc>
        <w:tc>
          <w:tcPr>
            <w:tcW w:w="1276" w:type="dxa"/>
            <w:vAlign w:val="center"/>
          </w:tcPr>
          <w:p>
            <w:pPr>
              <w:pStyle w:val="13"/>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团委经费保障及时率</w:t>
            </w:r>
          </w:p>
        </w:tc>
        <w:tc>
          <w:tcPr>
            <w:tcW w:w="5386" w:type="dxa"/>
            <w:vAlign w:val="center"/>
          </w:tcPr>
          <w:p>
            <w:pPr>
              <w:pStyle w:val="13"/>
            </w:pPr>
            <w:r>
              <w:t>反映团委各项活动及时得到团委经费保障的情况</w:t>
            </w:r>
          </w:p>
        </w:tc>
        <w:tc>
          <w:tcPr>
            <w:tcW w:w="2268" w:type="dxa"/>
            <w:vAlign w:val="center"/>
          </w:tcPr>
          <w:p>
            <w:pPr>
              <w:pStyle w:val="13"/>
            </w:pPr>
            <w:r>
              <w:t>≥90%</w:t>
            </w:r>
          </w:p>
        </w:tc>
        <w:tc>
          <w:tcPr>
            <w:tcW w:w="1276" w:type="dxa"/>
            <w:vAlign w:val="center"/>
          </w:tcPr>
          <w:p>
            <w:pPr>
              <w:pStyle w:val="13"/>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反映团委各项工作在规定时间内的完成情况</w:t>
            </w:r>
          </w:p>
        </w:tc>
        <w:tc>
          <w:tcPr>
            <w:tcW w:w="2268" w:type="dxa"/>
            <w:vAlign w:val="center"/>
          </w:tcPr>
          <w:p>
            <w:pPr>
              <w:pStyle w:val="13"/>
            </w:pPr>
            <w:r>
              <w:t>100%</w:t>
            </w:r>
          </w:p>
        </w:tc>
        <w:tc>
          <w:tcPr>
            <w:tcW w:w="1276" w:type="dxa"/>
            <w:vAlign w:val="center"/>
          </w:tcPr>
          <w:p>
            <w:pPr>
              <w:pStyle w:val="13"/>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反映项目预算控制情况</w:t>
            </w:r>
          </w:p>
        </w:tc>
        <w:tc>
          <w:tcPr>
            <w:tcW w:w="2268" w:type="dxa"/>
            <w:vAlign w:val="center"/>
          </w:tcPr>
          <w:p>
            <w:pPr>
              <w:pStyle w:val="13"/>
            </w:pPr>
            <w:r>
              <w:t>≤2万元</w:t>
            </w:r>
          </w:p>
        </w:tc>
        <w:tc>
          <w:tcPr>
            <w:tcW w:w="1276" w:type="dxa"/>
            <w:vAlign w:val="center"/>
          </w:tcPr>
          <w:p>
            <w:pPr>
              <w:pStyle w:val="13"/>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带动广大青年对党团组织的凝聚力</w:t>
            </w:r>
          </w:p>
        </w:tc>
        <w:tc>
          <w:tcPr>
            <w:tcW w:w="5386" w:type="dxa"/>
            <w:vAlign w:val="center"/>
          </w:tcPr>
          <w:p>
            <w:pPr>
              <w:pStyle w:val="13"/>
            </w:pPr>
            <w:r>
              <w:t>反映团委工作的开展对党团组织的凝聚力的提升情况</w:t>
            </w:r>
          </w:p>
        </w:tc>
        <w:tc>
          <w:tcPr>
            <w:tcW w:w="2268" w:type="dxa"/>
            <w:vAlign w:val="center"/>
          </w:tcPr>
          <w:p>
            <w:pPr>
              <w:pStyle w:val="13"/>
            </w:pPr>
            <w:r>
              <w:t>≥20%</w:t>
            </w:r>
          </w:p>
        </w:tc>
        <w:tc>
          <w:tcPr>
            <w:tcW w:w="1276" w:type="dxa"/>
            <w:vAlign w:val="center"/>
          </w:tcPr>
          <w:p>
            <w:pPr>
              <w:pStyle w:val="13"/>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参加活动团员满意度</w:t>
            </w:r>
          </w:p>
        </w:tc>
        <w:tc>
          <w:tcPr>
            <w:tcW w:w="5386" w:type="dxa"/>
            <w:vAlign w:val="center"/>
          </w:tcPr>
          <w:p>
            <w:pPr>
              <w:pStyle w:val="13"/>
            </w:pPr>
            <w:r>
              <w:t>反映参加活动团员的满意度情况</w:t>
            </w:r>
          </w:p>
        </w:tc>
        <w:tc>
          <w:tcPr>
            <w:tcW w:w="2268" w:type="dxa"/>
            <w:vAlign w:val="center"/>
          </w:tcPr>
          <w:p>
            <w:pPr>
              <w:pStyle w:val="13"/>
            </w:pPr>
            <w:r>
              <w:t>≥90%</w:t>
            </w:r>
          </w:p>
        </w:tc>
        <w:tc>
          <w:tcPr>
            <w:tcW w:w="1276" w:type="dxa"/>
            <w:vAlign w:val="center"/>
          </w:tcPr>
          <w:p>
            <w:pPr>
              <w:pStyle w:val="13"/>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15、退役军人公益岗人员工资绩效目标表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13062525P00022910021R</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26.76</w:t>
            </w:r>
          </w:p>
        </w:tc>
        <w:tc>
          <w:tcPr>
            <w:tcW w:w="2835" w:type="dxa"/>
            <w:vAlign w:val="center"/>
          </w:tcPr>
          <w:p>
            <w:pPr>
              <w:pStyle w:val="11"/>
            </w:pPr>
            <w:r>
              <w:t>其中：财政    资金</w:t>
            </w:r>
          </w:p>
        </w:tc>
        <w:tc>
          <w:tcPr>
            <w:tcW w:w="2551" w:type="dxa"/>
            <w:vAlign w:val="center"/>
          </w:tcPr>
          <w:p>
            <w:pPr>
              <w:pStyle w:val="13"/>
            </w:pPr>
            <w:r>
              <w:t>26.76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项目资金用于发放9名退役军人公益岗人员工资，确保全镇稳定，保障退役军人专岗人员更好发挥作用。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1.确保全镇稳定，保障退役军人专岗人员更好发挥作用。</w:t>
            </w:r>
          </w:p>
          <w:p>
            <w:pPr>
              <w:pStyle w:val="13"/>
            </w:pPr>
            <w:r>
              <w:t>2.确保及时足额发放9名退役军人公益岗人员工资。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9人</w:t>
            </w:r>
          </w:p>
        </w:tc>
        <w:tc>
          <w:tcPr>
            <w:tcW w:w="1276" w:type="dxa"/>
            <w:vAlign w:val="center"/>
          </w:tcPr>
          <w:p>
            <w:pPr>
              <w:pStyle w:val="13"/>
            </w:pPr>
            <w:r>
              <w:t>保定市徐水区人民政府专题会议纪要【2017】81号徐水区部分军队退役人员政策落实专题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反映项目资金足额发放补贴人数占全部人数比例</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反映项目资金按月发放到位情况</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≤267600元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反映公益岗人员因为生活补贴上访的次数情况</w:t>
            </w:r>
          </w:p>
        </w:tc>
        <w:tc>
          <w:tcPr>
            <w:tcW w:w="2268" w:type="dxa"/>
            <w:vAlign w:val="center"/>
          </w:tcPr>
          <w:p>
            <w:pPr>
              <w:pStyle w:val="13"/>
            </w:pPr>
            <w:r>
              <w:t>≤2次</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13062525P00003010011J</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项目资金用于解决矛盾纠纷，建立维稳保障长效机制，维护社会安全稳定。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1.帮助群众解决疑难问题，化解矛盾纠纷案件不少于10件，矛盾纠纷事件调处成功率不低于90%。</w:t>
            </w:r>
          </w:p>
          <w:p>
            <w:pPr>
              <w:pStyle w:val="13"/>
            </w:pPr>
            <w:r>
              <w:t>2.加强乡镇基层治理能力，推行网格化管理服务，建立维稳保障长效机制，维护社会安全稳定。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反映排查、化解矛盾纠纷的事件的数量</w:t>
            </w:r>
          </w:p>
        </w:tc>
        <w:tc>
          <w:tcPr>
            <w:tcW w:w="2268" w:type="dxa"/>
            <w:vAlign w:val="center"/>
          </w:tcPr>
          <w:p>
            <w:pPr>
              <w:pStyle w:val="13"/>
            </w:pPr>
            <w:r>
              <w:t>≥10件</w:t>
            </w:r>
          </w:p>
        </w:tc>
        <w:tc>
          <w:tcPr>
            <w:tcW w:w="1276" w:type="dxa"/>
            <w:vAlign w:val="center"/>
          </w:tcPr>
          <w:p>
            <w:pPr>
              <w:pStyle w:val="13"/>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矛盾纠纷调处成功率</w:t>
            </w:r>
          </w:p>
        </w:tc>
        <w:tc>
          <w:tcPr>
            <w:tcW w:w="5386" w:type="dxa"/>
            <w:vAlign w:val="center"/>
          </w:tcPr>
          <w:p>
            <w:pPr>
              <w:pStyle w:val="13"/>
            </w:pPr>
            <w:r>
              <w:t>反映矛盾纠纷事件调处成功的比率</w:t>
            </w:r>
          </w:p>
        </w:tc>
        <w:tc>
          <w:tcPr>
            <w:tcW w:w="2268" w:type="dxa"/>
            <w:vAlign w:val="center"/>
          </w:tcPr>
          <w:p>
            <w:pPr>
              <w:pStyle w:val="13"/>
            </w:pPr>
            <w:r>
              <w:t>≥90%</w:t>
            </w:r>
          </w:p>
        </w:tc>
        <w:tc>
          <w:tcPr>
            <w:tcW w:w="1276" w:type="dxa"/>
            <w:vAlign w:val="center"/>
          </w:tcPr>
          <w:p>
            <w:pPr>
              <w:pStyle w:val="13"/>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反映完成处置的涉稳舆情事件占总涉稳舆情事件的比率</w:t>
            </w:r>
          </w:p>
        </w:tc>
        <w:tc>
          <w:tcPr>
            <w:tcW w:w="2268" w:type="dxa"/>
            <w:vAlign w:val="center"/>
          </w:tcPr>
          <w:p>
            <w:pPr>
              <w:pStyle w:val="13"/>
            </w:pPr>
            <w:r>
              <w:t>≥90%</w:t>
            </w:r>
          </w:p>
        </w:tc>
        <w:tc>
          <w:tcPr>
            <w:tcW w:w="1276" w:type="dxa"/>
            <w:vAlign w:val="center"/>
          </w:tcPr>
          <w:p>
            <w:pPr>
              <w:pStyle w:val="13"/>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解决信访案件及时率</w:t>
            </w:r>
          </w:p>
        </w:tc>
        <w:tc>
          <w:tcPr>
            <w:tcW w:w="5386" w:type="dxa"/>
            <w:vAlign w:val="center"/>
          </w:tcPr>
          <w:p>
            <w:pPr>
              <w:pStyle w:val="13"/>
            </w:pPr>
            <w:r>
              <w:t>反映信访事件处置的及时率</w:t>
            </w:r>
          </w:p>
        </w:tc>
        <w:tc>
          <w:tcPr>
            <w:tcW w:w="2268" w:type="dxa"/>
            <w:vAlign w:val="center"/>
          </w:tcPr>
          <w:p>
            <w:pPr>
              <w:pStyle w:val="13"/>
            </w:pPr>
            <w:r>
              <w:t>≥90%</w:t>
            </w:r>
          </w:p>
        </w:tc>
        <w:tc>
          <w:tcPr>
            <w:tcW w:w="1276" w:type="dxa"/>
            <w:vAlign w:val="center"/>
          </w:tcPr>
          <w:p>
            <w:pPr>
              <w:pStyle w:val="13"/>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反映项目预算执行情况</w:t>
            </w:r>
          </w:p>
        </w:tc>
        <w:tc>
          <w:tcPr>
            <w:tcW w:w="2268" w:type="dxa"/>
            <w:vAlign w:val="center"/>
          </w:tcPr>
          <w:p>
            <w:pPr>
              <w:pStyle w:val="13"/>
            </w:pPr>
            <w:r>
              <w:t>≤5万元</w:t>
            </w:r>
          </w:p>
        </w:tc>
        <w:tc>
          <w:tcPr>
            <w:tcW w:w="1276" w:type="dxa"/>
            <w:vAlign w:val="center"/>
          </w:tcPr>
          <w:p>
            <w:pPr>
              <w:pStyle w:val="13"/>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社会稳定水平提升率</w:t>
            </w:r>
          </w:p>
        </w:tc>
        <w:tc>
          <w:tcPr>
            <w:tcW w:w="5386" w:type="dxa"/>
            <w:vAlign w:val="center"/>
          </w:tcPr>
          <w:p>
            <w:pPr>
              <w:pStyle w:val="13"/>
            </w:pPr>
            <w:r>
              <w:t>反映社会稳定水平的提升情况</w:t>
            </w:r>
          </w:p>
        </w:tc>
        <w:tc>
          <w:tcPr>
            <w:tcW w:w="2268" w:type="dxa"/>
            <w:vAlign w:val="center"/>
          </w:tcPr>
          <w:p>
            <w:pPr>
              <w:pStyle w:val="13"/>
            </w:pPr>
            <w:r>
              <w:t>≥10%</w:t>
            </w:r>
          </w:p>
        </w:tc>
        <w:tc>
          <w:tcPr>
            <w:tcW w:w="1276" w:type="dxa"/>
            <w:vAlign w:val="center"/>
          </w:tcPr>
          <w:p>
            <w:pPr>
              <w:pStyle w:val="13"/>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调处满意度</w:t>
            </w:r>
          </w:p>
        </w:tc>
        <w:tc>
          <w:tcPr>
            <w:tcW w:w="5386" w:type="dxa"/>
            <w:vAlign w:val="center"/>
          </w:tcPr>
          <w:p>
            <w:pPr>
              <w:pStyle w:val="13"/>
            </w:pPr>
            <w:r>
              <w:t>反映矛盾纠纷当事人对调处结果的满意度情况</w:t>
            </w:r>
          </w:p>
        </w:tc>
        <w:tc>
          <w:tcPr>
            <w:tcW w:w="2268" w:type="dxa"/>
            <w:vAlign w:val="center"/>
          </w:tcPr>
          <w:p>
            <w:pPr>
              <w:pStyle w:val="13"/>
            </w:pPr>
            <w:r>
              <w:t>≥80%</w:t>
            </w:r>
          </w:p>
        </w:tc>
        <w:tc>
          <w:tcPr>
            <w:tcW w:w="1276" w:type="dxa"/>
            <w:vAlign w:val="center"/>
          </w:tcPr>
          <w:p>
            <w:pPr>
              <w:pStyle w:val="13"/>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17、乡镇武装工作经费绩效目标表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13062525P00002610001H</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项目资金用于组织民兵训练、完成征兵工作，加强乡镇武装阵地达标建设，做好装备器材配备等基础设施建设，提升国防后备力量。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1.年度组织不少于1次的民兵训练，完成征兵人数不少于5人，装备器材、服装配备数量不少于3种，完成上级交办的各项工作任务。</w:t>
            </w:r>
          </w:p>
          <w:p>
            <w:pPr>
              <w:pStyle w:val="13"/>
            </w:pPr>
            <w:r>
              <w:t>2.加强乡镇武装阵地达标建设，做好装备器材配备等基础设施建设，提升国防后备力量。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本年度完成征兵数量</w:t>
            </w:r>
          </w:p>
        </w:tc>
        <w:tc>
          <w:tcPr>
            <w:tcW w:w="5386" w:type="dxa"/>
            <w:vAlign w:val="center"/>
          </w:tcPr>
          <w:p>
            <w:pPr>
              <w:pStyle w:val="13"/>
            </w:pPr>
            <w:r>
              <w:t>反映本年度完成的上级下达的征兵数量情况</w:t>
            </w:r>
          </w:p>
        </w:tc>
        <w:tc>
          <w:tcPr>
            <w:tcW w:w="2268" w:type="dxa"/>
            <w:vAlign w:val="center"/>
          </w:tcPr>
          <w:p>
            <w:pPr>
              <w:pStyle w:val="13"/>
            </w:pPr>
            <w:r>
              <w:t>≥5人</w:t>
            </w:r>
          </w:p>
        </w:tc>
        <w:tc>
          <w:tcPr>
            <w:tcW w:w="1276" w:type="dxa"/>
            <w:vAlign w:val="center"/>
          </w:tcPr>
          <w:p>
            <w:pPr>
              <w:pStyle w:val="13"/>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反映本年度组织的民兵训练次数情况</w:t>
            </w:r>
          </w:p>
        </w:tc>
        <w:tc>
          <w:tcPr>
            <w:tcW w:w="2268" w:type="dxa"/>
            <w:vAlign w:val="center"/>
          </w:tcPr>
          <w:p>
            <w:pPr>
              <w:pStyle w:val="13"/>
            </w:pPr>
            <w:r>
              <w:t>≥1次</w:t>
            </w:r>
          </w:p>
        </w:tc>
        <w:tc>
          <w:tcPr>
            <w:tcW w:w="1276" w:type="dxa"/>
            <w:vAlign w:val="center"/>
          </w:tcPr>
          <w:p>
            <w:pPr>
              <w:pStyle w:val="13"/>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反映单位装备器材、服装配备数量情况</w:t>
            </w:r>
          </w:p>
        </w:tc>
        <w:tc>
          <w:tcPr>
            <w:tcW w:w="2268" w:type="dxa"/>
            <w:vAlign w:val="center"/>
          </w:tcPr>
          <w:p>
            <w:pPr>
              <w:pStyle w:val="13"/>
            </w:pPr>
            <w:r>
              <w:t>≥3种</w:t>
            </w:r>
          </w:p>
        </w:tc>
        <w:tc>
          <w:tcPr>
            <w:tcW w:w="1276" w:type="dxa"/>
            <w:vAlign w:val="center"/>
          </w:tcPr>
          <w:p>
            <w:pPr>
              <w:pStyle w:val="13"/>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反映单位装备器材完好情况</w:t>
            </w:r>
          </w:p>
        </w:tc>
        <w:tc>
          <w:tcPr>
            <w:tcW w:w="2268" w:type="dxa"/>
            <w:vAlign w:val="center"/>
          </w:tcPr>
          <w:p>
            <w:pPr>
              <w:pStyle w:val="13"/>
            </w:pPr>
            <w:r>
              <w:t>≥90%</w:t>
            </w:r>
          </w:p>
        </w:tc>
        <w:tc>
          <w:tcPr>
            <w:tcW w:w="1276" w:type="dxa"/>
            <w:vAlign w:val="center"/>
          </w:tcPr>
          <w:p>
            <w:pPr>
              <w:pStyle w:val="13"/>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反映民兵训练的出勤情况</w:t>
            </w:r>
          </w:p>
        </w:tc>
        <w:tc>
          <w:tcPr>
            <w:tcW w:w="2268" w:type="dxa"/>
            <w:vAlign w:val="center"/>
          </w:tcPr>
          <w:p>
            <w:pPr>
              <w:pStyle w:val="13"/>
            </w:pPr>
            <w:r>
              <w:t>≥90%</w:t>
            </w:r>
          </w:p>
        </w:tc>
        <w:tc>
          <w:tcPr>
            <w:tcW w:w="1276" w:type="dxa"/>
            <w:vAlign w:val="center"/>
          </w:tcPr>
          <w:p>
            <w:pPr>
              <w:pStyle w:val="13"/>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反映征兵工作在规定时间内的完成情况</w:t>
            </w:r>
          </w:p>
        </w:tc>
        <w:tc>
          <w:tcPr>
            <w:tcW w:w="2268" w:type="dxa"/>
            <w:vAlign w:val="center"/>
          </w:tcPr>
          <w:p>
            <w:pPr>
              <w:pStyle w:val="13"/>
            </w:pPr>
            <w:r>
              <w:t>100%</w:t>
            </w:r>
          </w:p>
        </w:tc>
        <w:tc>
          <w:tcPr>
            <w:tcW w:w="1276" w:type="dxa"/>
            <w:vAlign w:val="center"/>
          </w:tcPr>
          <w:p>
            <w:pPr>
              <w:pStyle w:val="13"/>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反映项目预算控制情况</w:t>
            </w:r>
          </w:p>
        </w:tc>
        <w:tc>
          <w:tcPr>
            <w:tcW w:w="2268" w:type="dxa"/>
            <w:vAlign w:val="center"/>
          </w:tcPr>
          <w:p>
            <w:pPr>
              <w:pStyle w:val="13"/>
            </w:pPr>
            <w:r>
              <w:t>≤3万元</w:t>
            </w:r>
          </w:p>
        </w:tc>
        <w:tc>
          <w:tcPr>
            <w:tcW w:w="1276" w:type="dxa"/>
            <w:vAlign w:val="center"/>
          </w:tcPr>
          <w:p>
            <w:pPr>
              <w:pStyle w:val="13"/>
            </w:pPr>
            <w:r>
              <w:t>徐办字【2018】36号《关于做好基层武装阵地建设经费保障的通知》，乡镇武装工作经费项目实施计划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反映经过训练的基层民兵能力的提升情况</w:t>
            </w:r>
          </w:p>
        </w:tc>
        <w:tc>
          <w:tcPr>
            <w:tcW w:w="2268" w:type="dxa"/>
            <w:vAlign w:val="center"/>
          </w:tcPr>
          <w:p>
            <w:pPr>
              <w:pStyle w:val="13"/>
            </w:pPr>
            <w:r>
              <w:t>≥90%</w:t>
            </w:r>
          </w:p>
        </w:tc>
        <w:tc>
          <w:tcPr>
            <w:tcW w:w="1276" w:type="dxa"/>
            <w:vAlign w:val="center"/>
          </w:tcPr>
          <w:p>
            <w:pPr>
              <w:pStyle w:val="13"/>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反映接受训练的民兵满意度情况</w:t>
            </w:r>
          </w:p>
        </w:tc>
        <w:tc>
          <w:tcPr>
            <w:tcW w:w="2268" w:type="dxa"/>
            <w:vAlign w:val="center"/>
          </w:tcPr>
          <w:p>
            <w:pPr>
              <w:pStyle w:val="13"/>
            </w:pPr>
            <w:r>
              <w:t>≥80%</w:t>
            </w:r>
          </w:p>
        </w:tc>
        <w:tc>
          <w:tcPr>
            <w:tcW w:w="1276" w:type="dxa"/>
            <w:vAlign w:val="center"/>
          </w:tcPr>
          <w:p>
            <w:pPr>
              <w:pStyle w:val="13"/>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18、选任专职人民调解员经费绩效目标表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13062525P00004610015A</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7.29</w:t>
            </w:r>
          </w:p>
        </w:tc>
        <w:tc>
          <w:tcPr>
            <w:tcW w:w="2835" w:type="dxa"/>
            <w:vAlign w:val="center"/>
          </w:tcPr>
          <w:p>
            <w:pPr>
              <w:pStyle w:val="11"/>
            </w:pPr>
            <w:r>
              <w:t>其中：财政    资金</w:t>
            </w:r>
          </w:p>
        </w:tc>
        <w:tc>
          <w:tcPr>
            <w:tcW w:w="2551" w:type="dxa"/>
            <w:vAlign w:val="center"/>
          </w:tcPr>
          <w:p>
            <w:pPr>
              <w:pStyle w:val="13"/>
            </w:pPr>
            <w:r>
              <w:t>7.29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项目资金用于发放3名人民调解员工资，做好人民调解工作，更好、更快调解诉前案件和信访案件。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w:t>
            </w:r>
          </w:p>
        </w:tc>
        <w:tc>
          <w:tcPr>
            <w:tcW w:w="2835" w:type="dxa"/>
            <w:vAlign w:val="center"/>
          </w:tcPr>
          <w:p>
            <w:pPr>
              <w:pStyle w:val="14"/>
            </w:pPr>
            <w:r>
              <w:t>51%</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1.全年调解人民调解案件72件，做好人民调解工作，更好、更快调解诉前案件和信访案件。</w:t>
            </w:r>
          </w:p>
          <w:p>
            <w:pPr>
              <w:pStyle w:val="13"/>
            </w:pPr>
            <w:r>
              <w:t>2.全年资金投入7.29万元，保障3名专职调解员工资、保险经费支出，按月发放调解员工资，及时缴纳意外保险。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调解案件数量</w:t>
            </w:r>
          </w:p>
        </w:tc>
        <w:tc>
          <w:tcPr>
            <w:tcW w:w="5386" w:type="dxa"/>
            <w:vAlign w:val="center"/>
          </w:tcPr>
          <w:p>
            <w:pPr>
              <w:pStyle w:val="13"/>
            </w:pPr>
            <w:r>
              <w:t>全年调解案件数量情况</w:t>
            </w:r>
          </w:p>
        </w:tc>
        <w:tc>
          <w:tcPr>
            <w:tcW w:w="2268" w:type="dxa"/>
            <w:vAlign w:val="center"/>
          </w:tcPr>
          <w:p>
            <w:pPr>
              <w:pStyle w:val="13"/>
            </w:pPr>
            <w:r>
              <w:t>≥72件</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5386" w:type="dxa"/>
            <w:vAlign w:val="center"/>
          </w:tcPr>
          <w:p>
            <w:pPr>
              <w:pStyle w:val="13"/>
            </w:pPr>
            <w:r>
              <w:t>全镇共有专职人民调解员数量</w:t>
            </w:r>
          </w:p>
        </w:tc>
        <w:tc>
          <w:tcPr>
            <w:tcW w:w="2268" w:type="dxa"/>
            <w:vAlign w:val="center"/>
          </w:tcPr>
          <w:p>
            <w:pPr>
              <w:pStyle w:val="13"/>
            </w:pPr>
            <w:r>
              <w:t>3名</w:t>
            </w:r>
          </w:p>
        </w:tc>
        <w:tc>
          <w:tcPr>
            <w:tcW w:w="1276" w:type="dxa"/>
            <w:vAlign w:val="center"/>
          </w:tcPr>
          <w:p>
            <w:pPr>
              <w:pStyle w:val="13"/>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5386" w:type="dxa"/>
            <w:vAlign w:val="center"/>
          </w:tcPr>
          <w:p>
            <w:pPr>
              <w:pStyle w:val="13"/>
            </w:pPr>
            <w:r>
              <w:t>反映全年调解案件的成功率</w:t>
            </w:r>
          </w:p>
        </w:tc>
        <w:tc>
          <w:tcPr>
            <w:tcW w:w="2268" w:type="dxa"/>
            <w:vAlign w:val="center"/>
          </w:tcPr>
          <w:p>
            <w:pPr>
              <w:pStyle w:val="13"/>
            </w:pPr>
            <w:r>
              <w:t>≥96%</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5386" w:type="dxa"/>
            <w:vAlign w:val="center"/>
          </w:tcPr>
          <w:p>
            <w:pPr>
              <w:pStyle w:val="13"/>
            </w:pPr>
            <w:r>
              <w:t>反映全年化解纠纷及时率情况</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人员保险缴纳情况</w:t>
            </w:r>
          </w:p>
        </w:tc>
        <w:tc>
          <w:tcPr>
            <w:tcW w:w="5386" w:type="dxa"/>
            <w:vAlign w:val="center"/>
          </w:tcPr>
          <w:p>
            <w:pPr>
              <w:pStyle w:val="13"/>
            </w:pPr>
            <w:r>
              <w:t>反映人民调解员意外保险缴纳情况</w:t>
            </w:r>
          </w:p>
        </w:tc>
        <w:tc>
          <w:tcPr>
            <w:tcW w:w="2268" w:type="dxa"/>
            <w:vAlign w:val="center"/>
          </w:tcPr>
          <w:p>
            <w:pPr>
              <w:pStyle w:val="13"/>
            </w:pPr>
            <w:r>
              <w:t>300元/人/年</w:t>
            </w:r>
          </w:p>
        </w:tc>
        <w:tc>
          <w:tcPr>
            <w:tcW w:w="1276" w:type="dxa"/>
            <w:vAlign w:val="center"/>
          </w:tcPr>
          <w:p>
            <w:pPr>
              <w:pStyle w:val="13"/>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5386" w:type="dxa"/>
            <w:vAlign w:val="center"/>
          </w:tcPr>
          <w:p>
            <w:pPr>
              <w:pStyle w:val="13"/>
            </w:pPr>
            <w:r>
              <w:t>全年人员工资投入情况（2000元/月*12月*3人）</w:t>
            </w:r>
          </w:p>
        </w:tc>
        <w:tc>
          <w:tcPr>
            <w:tcW w:w="2268" w:type="dxa"/>
            <w:vAlign w:val="center"/>
          </w:tcPr>
          <w:p>
            <w:pPr>
              <w:pStyle w:val="13"/>
            </w:pPr>
            <w:r>
              <w:t>72000元/年</w:t>
            </w:r>
          </w:p>
        </w:tc>
        <w:tc>
          <w:tcPr>
            <w:tcW w:w="1276" w:type="dxa"/>
            <w:vAlign w:val="center"/>
          </w:tcPr>
          <w:p>
            <w:pPr>
              <w:pStyle w:val="13"/>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5386" w:type="dxa"/>
            <w:vAlign w:val="center"/>
          </w:tcPr>
          <w:p>
            <w:pPr>
              <w:pStyle w:val="13"/>
            </w:pPr>
            <w:r>
              <w:t>专职人民调解员全年办理案件数量提升率</w:t>
            </w:r>
          </w:p>
        </w:tc>
        <w:tc>
          <w:tcPr>
            <w:tcW w:w="2268" w:type="dxa"/>
            <w:vAlign w:val="center"/>
          </w:tcPr>
          <w:p>
            <w:pPr>
              <w:pStyle w:val="13"/>
            </w:pPr>
            <w:r>
              <w:t>≥2%</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调解对象对专职人民调解员工作的满意程度</w:t>
            </w:r>
          </w:p>
        </w:tc>
        <w:tc>
          <w:tcPr>
            <w:tcW w:w="2268" w:type="dxa"/>
            <w:vAlign w:val="center"/>
          </w:tcPr>
          <w:p>
            <w:pPr>
              <w:pStyle w:val="13"/>
            </w:pPr>
            <w:r>
              <w:t>≥90%</w:t>
            </w:r>
          </w:p>
        </w:tc>
        <w:tc>
          <w:tcPr>
            <w:tcW w:w="1276" w:type="dxa"/>
            <w:vAlign w:val="center"/>
          </w:tcPr>
          <w:p>
            <w:pPr>
              <w:pStyle w:val="13"/>
            </w:pPr>
            <w:r>
              <w:t>依据问卷调查结果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19、政府机关维护运行经费绩效目标表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13062525P00002410073G</w:t>
            </w:r>
          </w:p>
        </w:tc>
        <w:tc>
          <w:tcPr>
            <w:tcW w:w="2835" w:type="dxa"/>
            <w:vAlign w:val="center"/>
          </w:tcPr>
          <w:p>
            <w:pPr>
              <w:pStyle w:val="11"/>
            </w:pPr>
            <w:r>
              <w:t>项目名称</w:t>
            </w:r>
          </w:p>
        </w:tc>
        <w:tc>
          <w:tcPr>
            <w:tcW w:w="6095" w:type="dxa"/>
            <w:gridSpan w:val="3"/>
            <w:vAlign w:val="center"/>
          </w:tcPr>
          <w:p>
            <w:pPr>
              <w:pStyle w:val="13"/>
            </w:pPr>
            <w:r>
              <w:t>政府机关维护运行经费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35.17</w:t>
            </w:r>
          </w:p>
        </w:tc>
        <w:tc>
          <w:tcPr>
            <w:tcW w:w="2835" w:type="dxa"/>
            <w:vAlign w:val="center"/>
          </w:tcPr>
          <w:p>
            <w:pPr>
              <w:pStyle w:val="11"/>
            </w:pPr>
            <w:r>
              <w:t>其中：财政    资金</w:t>
            </w:r>
          </w:p>
        </w:tc>
        <w:tc>
          <w:tcPr>
            <w:tcW w:w="2551" w:type="dxa"/>
            <w:vAlign w:val="center"/>
          </w:tcPr>
          <w:p>
            <w:pPr>
              <w:pStyle w:val="13"/>
            </w:pPr>
            <w:r>
              <w:t>35.17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该项目资金用于支付单位劳务派遣人员工资，做好单位房屋、门窗等的维护修理，整治违建消除安全隐患，维持机关单位正常运转。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1.2.对单位损坏房屋、门窗、设备进行及时维护修理，单位办公用房设备正常运转率达95%以上。</w:t>
            </w:r>
          </w:p>
          <w:p>
            <w:pPr>
              <w:pStyle w:val="13"/>
            </w:pPr>
            <w:r>
              <w:t>2.3.做好单位来访人员、车辆登记及班车、食堂等后勤服务，保障机关办公区域正常运转。</w:t>
            </w:r>
          </w:p>
          <w:p>
            <w:pPr>
              <w:pStyle w:val="13"/>
            </w:pPr>
            <w:r>
              <w:t>3.1.整治消除违建安全隐患，保护群众生命财产安全，年度拆除违建不少于10个，无新增违法建筑。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违建拆除数量</w:t>
            </w:r>
          </w:p>
        </w:tc>
        <w:tc>
          <w:tcPr>
            <w:tcW w:w="5386" w:type="dxa"/>
            <w:vAlign w:val="center"/>
          </w:tcPr>
          <w:p>
            <w:pPr>
              <w:pStyle w:val="13"/>
            </w:pPr>
            <w:r>
              <w:t>反映拆除违法建筑的数量情况</w:t>
            </w:r>
          </w:p>
        </w:tc>
        <w:tc>
          <w:tcPr>
            <w:tcW w:w="2268" w:type="dxa"/>
            <w:vAlign w:val="center"/>
          </w:tcPr>
          <w:p>
            <w:pPr>
              <w:pStyle w:val="13"/>
            </w:pPr>
            <w:r>
              <w:t>≥10个</w:t>
            </w:r>
          </w:p>
        </w:tc>
        <w:tc>
          <w:tcPr>
            <w:tcW w:w="1276" w:type="dxa"/>
            <w:vAlign w:val="center"/>
          </w:tcPr>
          <w:p>
            <w:pPr>
              <w:pStyle w:val="13"/>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新增违建数量</w:t>
            </w:r>
          </w:p>
        </w:tc>
        <w:tc>
          <w:tcPr>
            <w:tcW w:w="5386" w:type="dxa"/>
            <w:vAlign w:val="center"/>
          </w:tcPr>
          <w:p>
            <w:pPr>
              <w:pStyle w:val="13"/>
            </w:pPr>
            <w:r>
              <w:t>反映年度新增违建数量</w:t>
            </w:r>
          </w:p>
        </w:tc>
        <w:tc>
          <w:tcPr>
            <w:tcW w:w="2268" w:type="dxa"/>
            <w:vAlign w:val="center"/>
          </w:tcPr>
          <w:p>
            <w:pPr>
              <w:pStyle w:val="13"/>
            </w:pPr>
            <w:r>
              <w:t>0个</w:t>
            </w:r>
          </w:p>
        </w:tc>
        <w:tc>
          <w:tcPr>
            <w:tcW w:w="1276" w:type="dxa"/>
            <w:vAlign w:val="center"/>
          </w:tcPr>
          <w:p>
            <w:pPr>
              <w:pStyle w:val="13"/>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劳务派遣人员数量</w:t>
            </w:r>
          </w:p>
        </w:tc>
        <w:tc>
          <w:tcPr>
            <w:tcW w:w="5386" w:type="dxa"/>
            <w:vAlign w:val="center"/>
          </w:tcPr>
          <w:p>
            <w:pPr>
              <w:pStyle w:val="13"/>
            </w:pPr>
            <w:r>
              <w:t>反映使用劳务派遣人员数量</w:t>
            </w:r>
          </w:p>
        </w:tc>
        <w:tc>
          <w:tcPr>
            <w:tcW w:w="2268" w:type="dxa"/>
            <w:vAlign w:val="center"/>
          </w:tcPr>
          <w:p>
            <w:pPr>
              <w:pStyle w:val="13"/>
            </w:pPr>
            <w:r>
              <w:t>4个</w:t>
            </w:r>
          </w:p>
        </w:tc>
        <w:tc>
          <w:tcPr>
            <w:tcW w:w="1276" w:type="dxa"/>
            <w:vAlign w:val="center"/>
          </w:tcPr>
          <w:p>
            <w:pPr>
              <w:pStyle w:val="13"/>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单位正常运转率</w:t>
            </w:r>
          </w:p>
        </w:tc>
        <w:tc>
          <w:tcPr>
            <w:tcW w:w="5386" w:type="dxa"/>
            <w:vAlign w:val="center"/>
          </w:tcPr>
          <w:p>
            <w:pPr>
              <w:pStyle w:val="13"/>
            </w:pPr>
            <w:r>
              <w:t>反映单位办公房屋、设备等的正常运转情况</w:t>
            </w:r>
          </w:p>
        </w:tc>
        <w:tc>
          <w:tcPr>
            <w:tcW w:w="2268" w:type="dxa"/>
            <w:vAlign w:val="center"/>
          </w:tcPr>
          <w:p>
            <w:pPr>
              <w:pStyle w:val="13"/>
            </w:pPr>
            <w:r>
              <w:t>≥95%</w:t>
            </w:r>
          </w:p>
        </w:tc>
        <w:tc>
          <w:tcPr>
            <w:tcW w:w="1276" w:type="dxa"/>
            <w:vAlign w:val="center"/>
          </w:tcPr>
          <w:p>
            <w:pPr>
              <w:pStyle w:val="13"/>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工作经费保障及时率</w:t>
            </w:r>
          </w:p>
        </w:tc>
        <w:tc>
          <w:tcPr>
            <w:tcW w:w="5386" w:type="dxa"/>
            <w:vAlign w:val="center"/>
          </w:tcPr>
          <w:p>
            <w:pPr>
              <w:pStyle w:val="13"/>
            </w:pPr>
            <w:r>
              <w:t>反映相关工作所需经费及时进行支付的情况</w:t>
            </w:r>
          </w:p>
        </w:tc>
        <w:tc>
          <w:tcPr>
            <w:tcW w:w="2268" w:type="dxa"/>
            <w:vAlign w:val="center"/>
          </w:tcPr>
          <w:p>
            <w:pPr>
              <w:pStyle w:val="13"/>
            </w:pPr>
            <w:r>
              <w:t>≥90%</w:t>
            </w:r>
          </w:p>
        </w:tc>
        <w:tc>
          <w:tcPr>
            <w:tcW w:w="1276" w:type="dxa"/>
            <w:vAlign w:val="center"/>
          </w:tcPr>
          <w:p>
            <w:pPr>
              <w:pStyle w:val="13"/>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办公经费成本控制数</w:t>
            </w:r>
          </w:p>
        </w:tc>
        <w:tc>
          <w:tcPr>
            <w:tcW w:w="5386" w:type="dxa"/>
            <w:vAlign w:val="center"/>
          </w:tcPr>
          <w:p>
            <w:pPr>
              <w:pStyle w:val="13"/>
            </w:pPr>
            <w:r>
              <w:t>反映项目中办公经费的预算执行情况</w:t>
            </w:r>
          </w:p>
        </w:tc>
        <w:tc>
          <w:tcPr>
            <w:tcW w:w="2268" w:type="dxa"/>
            <w:vAlign w:val="center"/>
          </w:tcPr>
          <w:p>
            <w:pPr>
              <w:pStyle w:val="13"/>
            </w:pPr>
            <w:r>
              <w:t>≤21.05万元</w:t>
            </w:r>
          </w:p>
        </w:tc>
        <w:tc>
          <w:tcPr>
            <w:tcW w:w="1276" w:type="dxa"/>
            <w:vAlign w:val="center"/>
          </w:tcPr>
          <w:p>
            <w:pPr>
              <w:pStyle w:val="13"/>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劳务派遣人员工资数</w:t>
            </w:r>
          </w:p>
        </w:tc>
        <w:tc>
          <w:tcPr>
            <w:tcW w:w="5386" w:type="dxa"/>
            <w:vAlign w:val="center"/>
          </w:tcPr>
          <w:p>
            <w:pPr>
              <w:pStyle w:val="13"/>
            </w:pPr>
            <w:r>
              <w:t>反映项目中劳务派遣人员工资的执行情况</w:t>
            </w:r>
          </w:p>
        </w:tc>
        <w:tc>
          <w:tcPr>
            <w:tcW w:w="2268" w:type="dxa"/>
            <w:vAlign w:val="center"/>
          </w:tcPr>
          <w:p>
            <w:pPr>
              <w:pStyle w:val="13"/>
            </w:pPr>
            <w:r>
              <w:t>≤14.12万元</w:t>
            </w:r>
          </w:p>
        </w:tc>
        <w:tc>
          <w:tcPr>
            <w:tcW w:w="1276" w:type="dxa"/>
            <w:vAlign w:val="center"/>
          </w:tcPr>
          <w:p>
            <w:pPr>
              <w:pStyle w:val="13"/>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公共服务水平提升率</w:t>
            </w:r>
          </w:p>
        </w:tc>
        <w:tc>
          <w:tcPr>
            <w:tcW w:w="5386" w:type="dxa"/>
            <w:vAlign w:val="center"/>
          </w:tcPr>
          <w:p>
            <w:pPr>
              <w:pStyle w:val="13"/>
            </w:pPr>
            <w:r>
              <w:t>反映单位公共服务水平提升情况</w:t>
            </w:r>
          </w:p>
        </w:tc>
        <w:tc>
          <w:tcPr>
            <w:tcW w:w="2268" w:type="dxa"/>
            <w:vAlign w:val="center"/>
          </w:tcPr>
          <w:p>
            <w:pPr>
              <w:pStyle w:val="13"/>
            </w:pPr>
            <w:r>
              <w:t>≥20%</w:t>
            </w:r>
          </w:p>
        </w:tc>
        <w:tc>
          <w:tcPr>
            <w:tcW w:w="1276" w:type="dxa"/>
            <w:vAlign w:val="center"/>
          </w:tcPr>
          <w:p>
            <w:pPr>
              <w:pStyle w:val="13"/>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反映群众满意度情况</w:t>
            </w:r>
          </w:p>
        </w:tc>
        <w:tc>
          <w:tcPr>
            <w:tcW w:w="2268" w:type="dxa"/>
            <w:vAlign w:val="center"/>
          </w:tcPr>
          <w:p>
            <w:pPr>
              <w:pStyle w:val="13"/>
            </w:pPr>
            <w:r>
              <w:t>≥80%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2.95</w:t>
            </w:r>
          </w:p>
        </w:tc>
        <w:tc>
          <w:tcPr>
            <w:tcW w:w="964" w:type="dxa"/>
            <w:vAlign w:val="center"/>
          </w:tcPr>
          <w:p>
            <w:pPr>
              <w:pStyle w:val="16"/>
            </w:pPr>
            <w:r>
              <w:t>2.95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保定市徐水区大因镇人民政府本级小计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2.95</w:t>
            </w:r>
          </w:p>
        </w:tc>
        <w:tc>
          <w:tcPr>
            <w:tcW w:w="964" w:type="dxa"/>
            <w:vAlign w:val="center"/>
          </w:tcPr>
          <w:p>
            <w:pPr>
              <w:pStyle w:val="16"/>
            </w:pPr>
            <w:r>
              <w:t>2.95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53.41</w:t>
            </w:r>
          </w:p>
        </w:tc>
        <w:tc>
          <w:tcPr>
            <w:tcW w:w="1134" w:type="dxa"/>
            <w:vAlign w:val="center"/>
          </w:tcPr>
          <w:p>
            <w:pPr>
              <w:pStyle w:val="13"/>
            </w:pPr>
            <w:r>
              <w:t>其他计算机</w:t>
            </w:r>
          </w:p>
        </w:tc>
        <w:tc>
          <w:tcPr>
            <w:tcW w:w="1134" w:type="dxa"/>
            <w:vAlign w:val="center"/>
          </w:tcPr>
          <w:p>
            <w:pPr>
              <w:pStyle w:val="13"/>
            </w:pPr>
            <w:r>
              <w:t>A02010199</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0.45</w:t>
            </w:r>
          </w:p>
        </w:tc>
        <w:tc>
          <w:tcPr>
            <w:tcW w:w="964" w:type="dxa"/>
            <w:vAlign w:val="center"/>
          </w:tcPr>
          <w:p>
            <w:pPr>
              <w:pStyle w:val="12"/>
            </w:pPr>
            <w:r>
              <w:t>2.25</w:t>
            </w:r>
          </w:p>
        </w:tc>
        <w:tc>
          <w:tcPr>
            <w:tcW w:w="964" w:type="dxa"/>
            <w:vAlign w:val="center"/>
          </w:tcPr>
          <w:p>
            <w:pPr>
              <w:pStyle w:val="12"/>
            </w:pPr>
            <w:r>
              <w:t>2.25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53.41</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0.20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53.41</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0.05</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保定市徐水区大因镇人民政府（含所属单位）上年末固定资产金额为649.98万元（详见下表）。本年度拟购置固定资产总额为3.05万元，已按要求列入政府采购预算，详见政府采购预算表。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649.98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2683</w:t>
            </w:r>
          </w:p>
        </w:tc>
        <w:tc>
          <w:tcPr>
            <w:tcW w:w="2835" w:type="dxa"/>
            <w:vAlign w:val="center"/>
          </w:tcPr>
          <w:p>
            <w:pPr>
              <w:pStyle w:val="12"/>
            </w:pPr>
            <w:r>
              <w:t>211.13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1533.58</w:t>
            </w:r>
          </w:p>
        </w:tc>
        <w:tc>
          <w:tcPr>
            <w:tcW w:w="2835" w:type="dxa"/>
            <w:vAlign w:val="center"/>
          </w:tcPr>
          <w:p>
            <w:pPr>
              <w:pStyle w:val="12"/>
            </w:pPr>
            <w:r>
              <w:t>120.68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12</w:t>
            </w:r>
          </w:p>
        </w:tc>
        <w:tc>
          <w:tcPr>
            <w:tcW w:w="2835" w:type="dxa"/>
            <w:vAlign w:val="center"/>
          </w:tcPr>
          <w:p>
            <w:pPr>
              <w:pStyle w:val="12"/>
            </w:pPr>
            <w:r>
              <w:t>61.76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2560</w:t>
            </w:r>
          </w:p>
        </w:tc>
        <w:tc>
          <w:tcPr>
            <w:tcW w:w="2835" w:type="dxa"/>
            <w:vAlign w:val="center"/>
          </w:tcPr>
          <w:p>
            <w:pPr>
              <w:pStyle w:val="12"/>
            </w:pPr>
            <w:r>
              <w:t>377.09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2BCC09"/>
    <w:multiLevelType w:val="singleLevel"/>
    <w:tmpl w:val="752BCC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D3FF6"/>
    <w:rsid w:val="110208E4"/>
    <w:rsid w:val="13F25CC8"/>
    <w:rsid w:val="15496AA3"/>
    <w:rsid w:val="303E3F5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TotalTime>22</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2025-02-24T10:15:00Z</dcterms:created>
  <dc:creator>Administrator</dc:creator>
  <cp:lastModifiedBy>simple smile</cp:lastModifiedBy>
  <dcterms:modified xsi:type="dcterms:W3CDTF">2025-05-12T01:35:53Z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FCAAA091B63642D6B173FFC5CAA99809</vt:lpwstr>
  </property>
</Properties>
</file>