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C686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EFCFD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市场监督管理局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500E4671">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59717FC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4630BA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693078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3E64B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4BE094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17AD0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7609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5D6B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B1C91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6F3FD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333B6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B8A2A9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F745A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B5C528">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eastAsia="zh-CN"/>
        </w:rPr>
        <w:t>十一</w:t>
      </w:r>
      <w:r>
        <w:rPr>
          <w:rFonts w:hint="eastAsia" w:cs="Times New Roman" w:asciiTheme="minorEastAsia" w:hAnsiTheme="minorEastAsia" w:eastAsiaTheme="minorEastAsia"/>
          <w:bCs/>
          <w:kern w:val="2"/>
          <w:sz w:val="36"/>
          <w:szCs w:val="36"/>
        </w:rPr>
        <w:t>月</w:t>
      </w:r>
    </w:p>
    <w:p w14:paraId="4002AA1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34F06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B6E43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9ADBD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6EF56AFC">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7699214E">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3ACC79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A78842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市场监督管理局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FDBDB7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ECE0AC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8A4FA7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10866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5AFC7E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154A1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200D9B8">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1CB6C0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73ADE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99180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76CEC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4B5CC9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1BB378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5974BB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0AB77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D3A58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FCFCE7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AE39BB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D16FFC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1F5BA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6241F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218FD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4EFC39">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3BEFC90">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72F382B">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B3BD97D">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3F27E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1C29DE7B">
      <w:pPr>
        <w:pStyle w:val="74"/>
        <w:widowControl/>
        <w:spacing w:line="520" w:lineRule="exact"/>
        <w:ind w:firstLine="640" w:firstLineChars="200"/>
        <w:jc w:val="both"/>
        <w:rPr>
          <w:rFonts w:ascii="仿宋_GB2312" w:hAnsi="仿宋" w:eastAsia="仿宋_GB2312" w:cs="仿宋_GB2312"/>
          <w:sz w:val="32"/>
          <w:szCs w:val="32"/>
        </w:rPr>
      </w:pPr>
      <w:r>
        <w:rPr>
          <w:rFonts w:hint="eastAsia" w:ascii="仿宋_GB2312" w:eastAsia="仿宋_GB2312" w:cs="DengXian-Regular"/>
          <w:sz w:val="32"/>
          <w:szCs w:val="32"/>
        </w:rPr>
        <w:t>保定市徐水区市场监督管理局为正科级行政单位，经费保障形式为财政拨款，下设19个股室，分别为</w:t>
      </w:r>
      <w:r>
        <w:rPr>
          <w:rFonts w:hint="eastAsia" w:ascii="仿宋_GB2312" w:hAnsi="仿宋" w:eastAsia="仿宋_GB2312" w:cs="仿宋_GB2312"/>
          <w:sz w:val="32"/>
          <w:szCs w:val="32"/>
        </w:rPr>
        <w:t>综合股、政策法规股、食品药品安全综合协调检查股、价格监督检查股、市场维权消保股、信用监督管理股、知识产权和广告监督管理股、质量发展和认证认可股、产品质量安全监督管理股、医疗器械营监督管理股、药品监督管理股、保健食品、化妆品监督管理股、餐饮监督管理股、特种设备安全监察股、食品生产安全监督管理股、食品流通监督管理股、计量和标准技术管理股、燃煤和成品油监督管理股、反垄断和反不正当竞争执法股； 派出机构行政编制10个，分别为市场监督管理局执法稽查大队、城东市场监督管理所、城西市场监督管理所、崔庄市场监督管理所、遂城市场监督管理所、漕河市场监督管理所、高林村市场监督管理所、大王店市场监督管理所、瀑河市场监督管理所、大因市场监督管理所。</w:t>
      </w:r>
    </w:p>
    <w:p w14:paraId="4E223F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CCA5A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A17FD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77CC1C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XXX单位部门整体支出情况评分定级。指标体系设定满分为100分，绩效评价分值≥90为“优”；80≤分值＜90为“良”；60≤分值＜80为“合格”；60分以下为“差”。</w:t>
      </w:r>
    </w:p>
    <w:p w14:paraId="7B75CF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年部门整体支出综合评价得分为XX分，评价等级为“X”。</w:t>
      </w:r>
    </w:p>
    <w:p w14:paraId="7E28E2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E3735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347B3C5">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eastAsia="zh-CN"/>
        </w:rPr>
        <w:t>尽可能再细化，可评估</w:t>
      </w:r>
    </w:p>
    <w:p w14:paraId="0EC1D1A6">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2.预算决算比较。</w:t>
      </w:r>
      <w:r>
        <w:rPr>
          <w:rFonts w:hint="eastAsia" w:ascii="仿宋_GB2312" w:eastAsia="仿宋_GB2312" w:cs="Times New Roman" w:hAnsiTheme="minorEastAsia"/>
          <w:sz w:val="32"/>
          <w:szCs w:val="32"/>
          <w:u w:color="000000"/>
          <w:lang w:eastAsia="zh-CN"/>
        </w:rPr>
        <w:t>按文件要求制定单位预算，量入为出。</w:t>
      </w:r>
    </w:p>
    <w:p w14:paraId="1D7F6EED">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3.预算追加方面</w:t>
      </w:r>
      <w:r>
        <w:rPr>
          <w:rFonts w:hint="eastAsia" w:ascii="仿宋_GB2312" w:eastAsia="仿宋_GB2312" w:cs="Times New Roman" w:hAnsiTheme="minorEastAsia"/>
          <w:sz w:val="32"/>
          <w:szCs w:val="32"/>
          <w:u w:color="000000"/>
          <w:lang w:eastAsia="zh-CN"/>
        </w:rPr>
        <w:t>。按实际工作需求，向财政部门申请预算经费追加</w:t>
      </w:r>
    </w:p>
    <w:p w14:paraId="1C604566">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4.政府采购方面</w:t>
      </w:r>
      <w:r>
        <w:rPr>
          <w:rFonts w:hint="eastAsia" w:ascii="仿宋_GB2312" w:eastAsia="仿宋_GB2312" w:cs="Times New Roman" w:hAnsiTheme="minorEastAsia"/>
          <w:sz w:val="32"/>
          <w:szCs w:val="32"/>
          <w:u w:color="000000"/>
          <w:lang w:eastAsia="zh-CN"/>
        </w:rPr>
        <w:t>。严格按照采购要求，预留中小企业份额，清理保障金。</w:t>
      </w:r>
    </w:p>
    <w:p w14:paraId="71DF970A">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Times New Roman" w:hAnsiTheme="minorEastAsia"/>
          <w:sz w:val="32"/>
          <w:szCs w:val="32"/>
          <w:u w:color="000000"/>
          <w:lang w:eastAsia="zh-CN"/>
        </w:rPr>
        <w:t>。严格按支出进度支付资金，专款专用。</w:t>
      </w:r>
    </w:p>
    <w:p w14:paraId="2C215DA0">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6.部分基础数据信息方面</w:t>
      </w:r>
      <w:r>
        <w:rPr>
          <w:rFonts w:hint="eastAsia" w:ascii="仿宋_GB2312" w:eastAsia="仿宋_GB2312" w:cs="DengXian-Regular"/>
          <w:sz w:val="32"/>
          <w:szCs w:val="32"/>
          <w:lang w:eastAsia="zh-CN"/>
        </w:rPr>
        <w:t>。对资产信息系统数据，应完善具体信息。</w:t>
      </w:r>
    </w:p>
    <w:p w14:paraId="179CAA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51F647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266A5B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DE0C5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5F61B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FDB73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54EB0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2B11BF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3B0F2DF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市场监督管理局</w:t>
      </w:r>
      <w:r>
        <w:rPr>
          <w:rFonts w:hint="eastAsia" w:ascii="仿宋_GB2312" w:eastAsia="仿宋_GB2312" w:cs="Times New Roman" w:hAnsiTheme="minorEastAsia"/>
          <w:sz w:val="32"/>
          <w:szCs w:val="32"/>
          <w:u w:color="000000"/>
        </w:rPr>
        <w:t>单位对项目资金进行梳理，督促项目进度和资金拨付进度，应拨付的资金及时拨付，不具备条件的资金及时收回，同时，对于按规定可以结转至下年的中央及省级项目资金，在下年的项目安排时优先考虑。</w:t>
      </w:r>
    </w:p>
    <w:p w14:paraId="2165BB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D8F0F39">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E1E4D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46BFC0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年基本支出决算数较预算数</w:t>
      </w:r>
      <w:r>
        <w:rPr>
          <w:rFonts w:hint="eastAsia" w:ascii="仿宋_GB2312" w:eastAsia="仿宋_GB2312" w:cs="DengXian-Regular"/>
          <w:sz w:val="32"/>
          <w:szCs w:val="32"/>
          <w:lang w:eastAsia="zh-CN"/>
        </w:rPr>
        <w:t>变化不大</w:t>
      </w:r>
      <w:r>
        <w:rPr>
          <w:rFonts w:ascii="仿宋_GB2312" w:eastAsia="仿宋_GB2312" w:cs="DengXian-Regular"/>
          <w:sz w:val="32"/>
          <w:szCs w:val="32"/>
        </w:rPr>
        <w:t>，建议202</w:t>
      </w:r>
      <w:r>
        <w:rPr>
          <w:rFonts w:hint="default" w:ascii="仿宋_GB2312" w:eastAsia="仿宋_GB2312" w:cs="DengXian-Regular"/>
          <w:sz w:val="32"/>
          <w:szCs w:val="32"/>
          <w:lang w:val="en-US"/>
        </w:rPr>
        <w:t>2</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年实际发生人员经费支出、人员数量和工资标准适当安排人员经费预算。</w:t>
      </w:r>
    </w:p>
    <w:p w14:paraId="20FEAD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ascii="仿宋_GB2312" w:eastAsia="仿宋_GB2312" w:cs="DengXian-Regular"/>
          <w:sz w:val="32"/>
          <w:szCs w:val="32"/>
        </w:rPr>
        <w:t>年项目支出资金使用率较</w:t>
      </w:r>
      <w:r>
        <w:rPr>
          <w:rFonts w:hint="eastAsia" w:ascii="仿宋_GB2312" w:eastAsia="仿宋_GB2312" w:cs="DengXian-Regular"/>
          <w:sz w:val="32"/>
          <w:szCs w:val="32"/>
          <w:lang w:eastAsia="zh-CN"/>
        </w:rPr>
        <w:t>高</w:t>
      </w:r>
      <w:r>
        <w:rPr>
          <w:rFonts w:ascii="仿宋_GB2312" w:eastAsia="仿宋_GB2312" w:cs="DengXian-Regular"/>
          <w:sz w:val="32"/>
          <w:szCs w:val="32"/>
        </w:rPr>
        <w:t>，</w:t>
      </w:r>
      <w:r>
        <w:rPr>
          <w:rFonts w:hint="eastAsia" w:ascii="仿宋_GB2312" w:eastAsia="仿宋_GB2312" w:cs="DengXian-Regular"/>
          <w:sz w:val="32"/>
          <w:szCs w:val="32"/>
          <w:lang w:eastAsia="zh-CN"/>
        </w:rPr>
        <w:t>未结转下一年度</w:t>
      </w:r>
      <w:r>
        <w:rPr>
          <w:rFonts w:hint="eastAsia" w:ascii="仿宋_GB2312" w:eastAsia="仿宋_GB2312" w:cs="DengXian-Regular"/>
          <w:sz w:val="32"/>
          <w:szCs w:val="32"/>
        </w:rPr>
        <w:t>，建议</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ascii="仿宋_GB2312" w:eastAsia="仿宋_GB2312" w:cs="DengXian-Regular"/>
          <w:sz w:val="32"/>
          <w:szCs w:val="32"/>
        </w:rPr>
        <w:t>年预算</w:t>
      </w:r>
      <w:r>
        <w:rPr>
          <w:rFonts w:hint="eastAsia" w:ascii="仿宋_GB2312" w:eastAsia="仿宋_GB2312" w:cs="DengXian-Regular"/>
          <w:sz w:val="32"/>
          <w:szCs w:val="32"/>
          <w:lang w:eastAsia="zh-CN"/>
        </w:rPr>
        <w:t>保持或增加</w:t>
      </w:r>
      <w:r>
        <w:rPr>
          <w:rFonts w:ascii="仿宋_GB2312" w:eastAsia="仿宋_GB2312" w:cs="DengXian-Regular"/>
          <w:sz w:val="32"/>
          <w:szCs w:val="32"/>
        </w:rPr>
        <w:t>项目资金预算。</w:t>
      </w:r>
    </w:p>
    <w:p w14:paraId="3806F4E0">
      <w:pPr>
        <w:pStyle w:val="3"/>
        <w:spacing w:line="540" w:lineRule="exact"/>
        <w:jc w:val="center"/>
        <w:rPr>
          <w:rFonts w:ascii="黑体" w:hAnsi="黑体"/>
          <w:b w:val="0"/>
        </w:rPr>
      </w:pPr>
      <w:r>
        <w:rPr>
          <w:rFonts w:hint="eastAsia" w:ascii="黑体" w:hAnsi="黑体"/>
          <w:b w:val="0"/>
        </w:rPr>
        <w:t>第二部分   绩效评价报告</w:t>
      </w:r>
      <w:bookmarkEnd w:id="1"/>
    </w:p>
    <w:p w14:paraId="182065D2">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市场监督管理局</w:t>
      </w:r>
      <w:r>
        <w:rPr>
          <w:rFonts w:hint="eastAsia" w:ascii="楷体" w:hAnsi="楷体" w:eastAsia="楷体" w:cs="楷体"/>
        </w:rPr>
        <w:t>基本情况</w:t>
      </w:r>
      <w:bookmarkEnd w:id="2"/>
      <w:bookmarkEnd w:id="3"/>
      <w:bookmarkStart w:id="4" w:name="_Toc492652764"/>
    </w:p>
    <w:p w14:paraId="2B048816">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6D5C4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保定市徐水区人民政府办公室关于印发《保定市徐水区市场监督管理局职能配置内设机构和人员编制规定》的通知，保定市徐水区市场监督管理局为区行政部门，正科级单位，下设19个股室根据绩效预算管理改革的相关要求，按照“部门职责—工作活动绩效目标”的层级设立了绩效预算架构，职责活动包括</w:t>
      </w:r>
      <w:r>
        <w:rPr>
          <w:rFonts w:hint="eastAsia" w:ascii="仿宋" w:hAnsi="仿宋" w:eastAsia="仿宋" w:cs="微软雅黑"/>
          <w:sz w:val="32"/>
          <w:szCs w:val="32"/>
        </w:rPr>
        <w:t>全区市场综合监督管理、市场主体信用体系建设、全区消费者权益保护、反垄断统一执法、产品质量安全监督管理工作、全区特种设备安全监督管理、食品安全监督管理综合协调监督管理、药品（含中药、民族药，下同）、医疗器械和化妆品的质量管理工作、监督管理标准化工作、计量认证认可工作、保护知识产权</w:t>
      </w:r>
      <w:r>
        <w:rPr>
          <w:rFonts w:hint="eastAsia" w:ascii="仿宋_GB2312" w:eastAsia="仿宋_GB2312" w:cs="DengXian-Regular"/>
          <w:sz w:val="32"/>
          <w:szCs w:val="32"/>
        </w:rPr>
        <w:t>共11部分。</w:t>
      </w:r>
    </w:p>
    <w:p w14:paraId="495726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根据绩效预算管理改革的相关要求，按照“部门职责—工作活动绩效目标”的层级设立了绩效预算架构，职责活动包括</w:t>
      </w:r>
      <w:r>
        <w:rPr>
          <w:rFonts w:hint="eastAsia" w:ascii="仿宋" w:hAnsi="仿宋" w:eastAsia="仿宋" w:cs="仿宋"/>
          <w:b w:val="0"/>
          <w:bCs/>
          <w:sz w:val="32"/>
          <w:szCs w:val="32"/>
          <w:lang w:eastAsia="zh-CN"/>
        </w:rPr>
        <w:t>商品（含食品药品）抽检、</w:t>
      </w:r>
      <w:r>
        <w:rPr>
          <w:rFonts w:hint="eastAsia" w:ascii="仿宋" w:hAnsi="仿宋" w:eastAsia="仿宋" w:cs="仿宋"/>
          <w:b w:val="0"/>
          <w:bCs/>
          <w:sz w:val="32"/>
          <w:szCs w:val="32"/>
        </w:rPr>
        <w:t>检验检测</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产品质量监督抽检、药品协管员补助及宣传费、协会清退人员生活补助、保安保洁、市场监管执法办案、基层房屋租赁、提前下达2021年市场监管专项经费、办公房屋修缮、租车、保安保洁劳务经费、检测设备购置</w:t>
      </w:r>
      <w:r>
        <w:rPr>
          <w:rFonts w:hint="eastAsia" w:ascii="仿宋_GB2312" w:eastAsia="仿宋_GB2312" w:cs="DengXian-Regular"/>
          <w:sz w:val="32"/>
          <w:szCs w:val="32"/>
        </w:rPr>
        <w:t>共</w:t>
      </w:r>
      <w:r>
        <w:rPr>
          <w:rFonts w:hint="default" w:ascii="仿宋_GB2312" w:eastAsia="仿宋_GB2312" w:cs="DengXian-Regular"/>
          <w:sz w:val="32"/>
          <w:szCs w:val="32"/>
          <w:lang w:val="en-US"/>
        </w:rPr>
        <w:t>13</w:t>
      </w:r>
      <w:r>
        <w:rPr>
          <w:rFonts w:hint="eastAsia" w:ascii="仿宋_GB2312" w:eastAsia="仿宋_GB2312" w:cs="DengXian-Regular"/>
          <w:sz w:val="32"/>
          <w:szCs w:val="32"/>
        </w:rPr>
        <w:t>部分。</w:t>
      </w:r>
      <w:bookmarkStart w:id="6" w:name="_Toc465149499"/>
      <w:bookmarkStart w:id="7" w:name="_Toc492652765"/>
    </w:p>
    <w:p w14:paraId="535C4CCB">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749B6F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设置的年度发展规划总体目标为：</w:t>
      </w:r>
    </w:p>
    <w:p w14:paraId="36538F7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市场监管</w:t>
      </w:r>
      <w:r>
        <w:rPr>
          <w:rFonts w:hint="eastAsia" w:ascii="仿宋_GB2312" w:eastAsia="仿宋_GB2312" w:cs="DengXian-Regular"/>
          <w:sz w:val="32"/>
          <w:szCs w:val="32"/>
        </w:rPr>
        <w:t>工作要点，并监督实施。指导全区</w:t>
      </w:r>
      <w:r>
        <w:rPr>
          <w:rFonts w:hint="eastAsia" w:ascii="仿宋_GB2312" w:eastAsia="仿宋_GB2312" w:cs="DengXian-Regular"/>
          <w:sz w:val="32"/>
          <w:szCs w:val="32"/>
          <w:lang w:eastAsia="zh-CN"/>
        </w:rPr>
        <w:t>市场监督</w:t>
      </w:r>
      <w:r>
        <w:rPr>
          <w:rFonts w:hint="eastAsia" w:ascii="仿宋_GB2312" w:eastAsia="仿宋_GB2312" w:cs="DengXian-Regular"/>
          <w:sz w:val="32"/>
          <w:szCs w:val="32"/>
        </w:rPr>
        <w:t>工作。制定</w:t>
      </w:r>
      <w:r>
        <w:rPr>
          <w:rFonts w:hint="eastAsia" w:ascii="仿宋_GB2312" w:eastAsia="仿宋_GB2312" w:cs="DengXian-Regular"/>
          <w:sz w:val="32"/>
          <w:szCs w:val="32"/>
          <w:lang w:eastAsia="zh-CN"/>
        </w:rPr>
        <w:t>市场</w:t>
      </w:r>
      <w:r>
        <w:rPr>
          <w:rFonts w:hint="eastAsia" w:ascii="仿宋_GB2312" w:eastAsia="仿宋_GB2312" w:cs="DengXian-Regular"/>
          <w:sz w:val="32"/>
          <w:szCs w:val="32"/>
        </w:rPr>
        <w:t>规划并组织实施，指导检查全区</w:t>
      </w:r>
      <w:r>
        <w:rPr>
          <w:rFonts w:hint="eastAsia" w:ascii="仿宋_GB2312" w:eastAsia="仿宋_GB2312" w:cs="DengXian-Regular"/>
          <w:sz w:val="32"/>
          <w:szCs w:val="32"/>
          <w:lang w:eastAsia="zh-CN"/>
        </w:rPr>
        <w:t>市场监督</w:t>
      </w:r>
      <w:r>
        <w:rPr>
          <w:rFonts w:hint="eastAsia" w:ascii="仿宋_GB2312" w:eastAsia="仿宋_GB2312" w:cs="DengXian-Regular"/>
          <w:sz w:val="32"/>
          <w:szCs w:val="32"/>
        </w:rPr>
        <w:t>工作。</w:t>
      </w:r>
    </w:p>
    <w:p w14:paraId="71F80C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16CCD47">
      <w:pPr>
        <w:ind w:firstLine="640" w:firstLineChars="200"/>
        <w:rPr>
          <w:rFonts w:hint="eastAsia" w:ascii="仿宋" w:hAnsi="仿宋" w:eastAsia="仿宋" w:cs="仿宋"/>
          <w:b w:val="0"/>
          <w:bCs/>
          <w:sz w:val="32"/>
          <w:szCs w:val="32"/>
          <w:lang w:val="en-US" w:eastAsia="zh-CN"/>
        </w:rPr>
      </w:pPr>
      <w:bookmarkStart w:id="9" w:name="_Toc1678"/>
      <w:bookmarkStart w:id="10" w:name="_Toc492652766"/>
      <w:bookmarkStart w:id="11" w:name="_Toc465149500"/>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商品（含食品药品）抽检经费</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此项目为我单位保障</w:t>
      </w:r>
      <w:r>
        <w:rPr>
          <w:rFonts w:hint="eastAsia" w:ascii="仿宋" w:hAnsi="仿宋" w:eastAsia="仿宋" w:cs="仿宋"/>
          <w:b w:val="0"/>
          <w:bCs/>
          <w:sz w:val="32"/>
          <w:szCs w:val="32"/>
          <w:lang w:eastAsia="zh-CN"/>
        </w:rPr>
        <w:t>商品（含</w:t>
      </w:r>
      <w:r>
        <w:rPr>
          <w:rFonts w:hint="eastAsia" w:ascii="仿宋" w:hAnsi="仿宋" w:eastAsia="仿宋" w:cs="仿宋"/>
          <w:b w:val="0"/>
          <w:bCs/>
          <w:sz w:val="32"/>
          <w:szCs w:val="32"/>
        </w:rPr>
        <w:t>食品</w:t>
      </w:r>
      <w:r>
        <w:rPr>
          <w:rFonts w:hint="eastAsia" w:ascii="仿宋" w:hAnsi="仿宋" w:eastAsia="仿宋" w:cs="仿宋"/>
          <w:b w:val="0"/>
          <w:bCs/>
          <w:sz w:val="32"/>
          <w:szCs w:val="32"/>
          <w:lang w:eastAsia="zh-CN"/>
        </w:rPr>
        <w:t>药品）</w:t>
      </w:r>
      <w:r>
        <w:rPr>
          <w:rFonts w:hint="eastAsia" w:ascii="仿宋" w:hAnsi="仿宋" w:eastAsia="仿宋" w:cs="仿宋"/>
          <w:b w:val="0"/>
          <w:bCs/>
          <w:sz w:val="32"/>
          <w:szCs w:val="32"/>
        </w:rPr>
        <w:t>安全安排的工作经费，主要用于</w:t>
      </w:r>
      <w:r>
        <w:rPr>
          <w:rFonts w:hint="eastAsia" w:ascii="仿宋" w:hAnsi="仿宋" w:eastAsia="仿宋" w:cs="仿宋"/>
          <w:b w:val="0"/>
          <w:bCs/>
          <w:sz w:val="32"/>
          <w:szCs w:val="32"/>
          <w:lang w:eastAsia="zh-CN"/>
        </w:rPr>
        <w:t>商品</w:t>
      </w:r>
      <w:r>
        <w:rPr>
          <w:rFonts w:hint="eastAsia" w:ascii="仿宋" w:hAnsi="仿宋" w:eastAsia="仿宋" w:cs="仿宋"/>
          <w:b w:val="0"/>
          <w:bCs/>
          <w:sz w:val="32"/>
          <w:szCs w:val="32"/>
        </w:rPr>
        <w:t>检验检测费</w:t>
      </w:r>
      <w:r>
        <w:rPr>
          <w:rFonts w:hint="eastAsia" w:ascii="仿宋" w:hAnsi="仿宋" w:eastAsia="仿宋" w:cs="仿宋"/>
          <w:b w:val="0"/>
          <w:bCs/>
          <w:sz w:val="32"/>
          <w:szCs w:val="32"/>
          <w:lang w:eastAsia="zh-CN"/>
        </w:rPr>
        <w:t>。</w:t>
      </w:r>
    </w:p>
    <w:p w14:paraId="42A1C2D8">
      <w:pPr>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rPr>
        <w:t>2、检验检测经费</w:t>
      </w:r>
      <w:r>
        <w:rPr>
          <w:rFonts w:hint="eastAsia" w:ascii="仿宋" w:hAnsi="仿宋" w:eastAsia="仿宋" w:cs="仿宋"/>
          <w:b w:val="0"/>
          <w:bCs/>
          <w:sz w:val="32"/>
          <w:szCs w:val="32"/>
          <w:lang w:eastAsia="zh-CN"/>
        </w:rPr>
        <w:t>：承担辖区内产品质量监督检验和计量器具检定工作。</w:t>
      </w:r>
    </w:p>
    <w:p w14:paraId="422288A1">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3、产品质量监督抽检费：项此项目为我单位根据国家局、省局工作安排，保障对全区流通领域、生产领域产品质量抽检工作安排的委托业务费，用于全区产品质量监督抽检委托。</w:t>
      </w:r>
    </w:p>
    <w:p w14:paraId="3880F9DE">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4、药品协管员补助及宣传费：此项目为我单位保障全区基层乡镇村药品安全安排的专项工作经费，主要用于全区304个行政村、21个社区的药品协管员补助312000元（每人每月80元、年补助960元）及宣传费20000元。</w:t>
      </w:r>
    </w:p>
    <w:p w14:paraId="1D4C6300">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5、协会清退人员生活补助：此项目为我单位保障协会清退人员生活安排的工作经费，主要用于协会清退人员生活补助。</w:t>
      </w:r>
    </w:p>
    <w:p w14:paraId="4B07A283">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6、保安保洁经费：此项目为我单位机关保安保洁费用。</w:t>
      </w:r>
    </w:p>
    <w:p w14:paraId="07B4D720">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7、市场监管执法办案经费：市场监管执法办案经费支出。</w:t>
      </w:r>
    </w:p>
    <w:p w14:paraId="075DFAA5">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8、基层房屋租赁费：此项目为我单位为解决基层所办公用房安排的工作经费，主要用于基层所租赁房屋。</w:t>
      </w:r>
    </w:p>
    <w:p w14:paraId="021D5FB4">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9、提前下达2021年市场监管专项经费：此项目省级专款，用于执法办案。</w:t>
      </w:r>
    </w:p>
    <w:p w14:paraId="473A7E3E">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10、办公房屋修缮经费。此项目为我单位用于办公房屋修缮。</w:t>
      </w:r>
    </w:p>
    <w:p w14:paraId="6DB538DD">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11、租车经费。此项目为满足我单位日常执法巡查，租用公务用车。</w:t>
      </w:r>
    </w:p>
    <w:p w14:paraId="4E48AE50">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12、保安保洁劳务经费。此项目为我单位下属质检所保安保洁费。</w:t>
      </w:r>
    </w:p>
    <w:p w14:paraId="5AF6A41C">
      <w:p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13、检测设备购置经费。此项目为我单位下属质检所为保证检验检测工作购置专用设备。</w:t>
      </w:r>
    </w:p>
    <w:p w14:paraId="6C5111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3A66F9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万元。预算收入按功能分类包含：</w:t>
      </w:r>
      <w:r>
        <w:rPr>
          <w:rFonts w:hint="eastAsia" w:ascii="仿宋_GB2312" w:eastAsia="仿宋_GB2312" w:cs="DengXian-Regular"/>
          <w:sz w:val="32"/>
          <w:szCs w:val="32"/>
          <w:lang w:eastAsia="zh-CN"/>
        </w:rPr>
        <w:t>一般公共服务支出</w:t>
      </w:r>
      <w:r>
        <w:rPr>
          <w:rFonts w:hint="default" w:ascii="仿宋_GB2312" w:eastAsia="仿宋_GB2312" w:cs="DengXian-Regular"/>
          <w:sz w:val="32"/>
          <w:szCs w:val="32"/>
          <w:lang w:val="en-US" w:eastAsia="zh-CN"/>
        </w:rPr>
        <w:t>2888.04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477.29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w:t>
      </w:r>
      <w:r>
        <w:rPr>
          <w:rFonts w:hint="default" w:ascii="仿宋_GB2312" w:eastAsia="仿宋_GB2312" w:cs="DengXian-Regular"/>
          <w:sz w:val="32"/>
          <w:szCs w:val="32"/>
          <w:lang w:val="en-US"/>
        </w:rPr>
        <w:t>102.93</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184.74</w:t>
      </w:r>
      <w:r>
        <w:rPr>
          <w:rFonts w:hint="eastAsia" w:ascii="仿宋_GB2312" w:eastAsia="仿宋_GB2312" w:cs="DengXian-Regular"/>
          <w:sz w:val="32"/>
          <w:szCs w:val="32"/>
        </w:rPr>
        <w:t>万元。具体预算收入详见附件2。</w:t>
      </w:r>
    </w:p>
    <w:p w14:paraId="05856B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3307.67</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0.29</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eastAsia="zh-CN"/>
        </w:rPr>
        <w:t>一般公共服务支出</w:t>
      </w:r>
      <w:r>
        <w:rPr>
          <w:rFonts w:hint="default" w:ascii="仿宋_GB2312" w:eastAsia="仿宋_GB2312" w:cs="DengXian-Regular"/>
          <w:sz w:val="32"/>
          <w:szCs w:val="32"/>
          <w:lang w:val="en-US" w:eastAsia="zh-CN"/>
        </w:rPr>
        <w:t>2888.04</w:t>
      </w:r>
      <w:r>
        <w:rPr>
          <w:rFonts w:hint="eastAsia" w:ascii="仿宋_GB2312" w:eastAsia="仿宋_GB2312" w:cs="DengXian-Regular"/>
          <w:sz w:val="32"/>
          <w:szCs w:val="32"/>
          <w:lang w:val="en-US" w:eastAsia="zh-CN"/>
        </w:rPr>
        <w:t>万元，占比</w:t>
      </w:r>
      <w:r>
        <w:rPr>
          <w:rFonts w:hint="default" w:ascii="仿宋_GB2312" w:eastAsia="仿宋_GB2312" w:cs="DengXian-Regular"/>
          <w:sz w:val="32"/>
          <w:szCs w:val="32"/>
          <w:lang w:val="en-US" w:eastAsia="zh-CN"/>
        </w:rPr>
        <w:t>87.31%</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477.29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14.43%</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w:t>
      </w:r>
      <w:r>
        <w:rPr>
          <w:rFonts w:hint="default" w:ascii="仿宋_GB2312" w:eastAsia="仿宋_GB2312" w:cs="DengXian-Regular"/>
          <w:sz w:val="32"/>
          <w:szCs w:val="32"/>
          <w:lang w:val="en-US"/>
        </w:rPr>
        <w:t>102.93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3.11%</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184.74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5.58%</w:t>
      </w:r>
      <w:r>
        <w:rPr>
          <w:rFonts w:hint="eastAsia" w:ascii="仿宋_GB2312" w:eastAsia="仿宋_GB2312" w:cs="DengXian-Regular"/>
          <w:sz w:val="32"/>
          <w:szCs w:val="32"/>
        </w:rPr>
        <w:t>。具体决算收入详见附件2。决算收入结构如图1。</w:t>
      </w:r>
    </w:p>
    <w:p w14:paraId="0EB1003D">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w:t>
      </w:r>
      <w:r>
        <w:rPr>
          <w:rFonts w:hint="eastAsia" w:asciiTheme="minorEastAsia" w:hAnsiTheme="minorEastAsia" w:eastAsiaTheme="minorEastAsia" w:cstheme="minorEastAsia"/>
          <w:b/>
          <w:bCs/>
          <w:sz w:val="32"/>
          <w:szCs w:val="32"/>
          <w:lang w:eastAsia="zh-CN"/>
        </w:rPr>
        <w:t>市场监督</w:t>
      </w:r>
      <w:r>
        <w:rPr>
          <w:rFonts w:hint="eastAsia" w:asciiTheme="minorEastAsia" w:hAnsiTheme="minorEastAsia" w:eastAsiaTheme="minorEastAsia" w:cstheme="minorEastAsia"/>
          <w:b/>
          <w:bCs/>
          <w:sz w:val="32"/>
          <w:szCs w:val="32"/>
        </w:rPr>
        <w:t>决算收入结构图</w:t>
      </w:r>
    </w:p>
    <w:p w14:paraId="35082E26">
      <w:pPr>
        <w:spacing w:after="0" w:line="240" w:lineRule="auto"/>
        <w:ind w:firstLine="640" w:firstLineChars="200"/>
        <w:jc w:val="both"/>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drawing>
          <wp:inline distT="0" distB="0" distL="114300" distR="114300">
            <wp:extent cx="5169535" cy="3681730"/>
            <wp:effectExtent l="0" t="0" r="12065" b="139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169535" cy="3681730"/>
                    </a:xfrm>
                    <a:prstGeom prst="rect">
                      <a:avLst/>
                    </a:prstGeom>
                  </pic:spPr>
                </pic:pic>
              </a:graphicData>
            </a:graphic>
          </wp:inline>
        </w:drawing>
      </w:r>
    </w:p>
    <w:p w14:paraId="4DFBF121">
      <w:pPr>
        <w:spacing w:after="0" w:line="540" w:lineRule="exact"/>
        <w:ind w:firstLine="640" w:firstLineChars="200"/>
        <w:jc w:val="both"/>
        <w:rPr>
          <w:rFonts w:ascii="仿宋_GB2312" w:eastAsia="仿宋_GB2312" w:cs="Times New Roman" w:hAnsiTheme="minorEastAsia"/>
          <w:sz w:val="32"/>
          <w:szCs w:val="32"/>
          <w:u w:color="000000"/>
        </w:rPr>
      </w:pPr>
    </w:p>
    <w:p w14:paraId="6C999A1B">
      <w:pPr>
        <w:spacing w:after="0" w:line="540" w:lineRule="exact"/>
        <w:ind w:firstLine="640" w:firstLineChars="200"/>
        <w:jc w:val="both"/>
        <w:rPr>
          <w:rFonts w:ascii="仿宋_GB2312" w:eastAsia="仿宋_GB2312" w:cs="DengXian-Regular"/>
          <w:sz w:val="32"/>
          <w:szCs w:val="32"/>
        </w:rPr>
      </w:pPr>
    </w:p>
    <w:p w14:paraId="05372A86">
      <w:pPr>
        <w:spacing w:after="0" w:line="540" w:lineRule="exact"/>
        <w:ind w:firstLine="640" w:firstLineChars="200"/>
        <w:jc w:val="both"/>
        <w:rPr>
          <w:rFonts w:ascii="仿宋_GB2312" w:eastAsia="仿宋_GB2312" w:cs="DengXian-Regular"/>
          <w:sz w:val="32"/>
          <w:szCs w:val="32"/>
        </w:rPr>
      </w:pPr>
    </w:p>
    <w:p w14:paraId="22856470">
      <w:pPr>
        <w:spacing w:after="0" w:line="540" w:lineRule="exact"/>
        <w:ind w:firstLine="640" w:firstLineChars="200"/>
        <w:jc w:val="both"/>
        <w:rPr>
          <w:rFonts w:ascii="仿宋_GB2312" w:eastAsia="仿宋_GB2312" w:cs="DengXian-Regular"/>
          <w:sz w:val="32"/>
          <w:szCs w:val="32"/>
        </w:rPr>
      </w:pPr>
    </w:p>
    <w:p w14:paraId="1249C717">
      <w:pPr>
        <w:spacing w:after="0" w:line="540" w:lineRule="exact"/>
        <w:ind w:firstLine="640" w:firstLineChars="200"/>
        <w:jc w:val="both"/>
        <w:rPr>
          <w:rFonts w:ascii="仿宋_GB2312" w:eastAsia="仿宋_GB2312" w:cs="DengXian-Regular"/>
          <w:sz w:val="32"/>
          <w:szCs w:val="32"/>
        </w:rPr>
      </w:pPr>
    </w:p>
    <w:p w14:paraId="36FCDA69">
      <w:pPr>
        <w:spacing w:after="0" w:line="540" w:lineRule="exact"/>
        <w:ind w:firstLine="640" w:firstLineChars="200"/>
        <w:jc w:val="both"/>
        <w:rPr>
          <w:rFonts w:ascii="仿宋_GB2312" w:eastAsia="仿宋_GB2312" w:cs="DengXian-Regular"/>
          <w:sz w:val="32"/>
          <w:szCs w:val="32"/>
        </w:rPr>
      </w:pPr>
    </w:p>
    <w:p w14:paraId="45FCA26D">
      <w:pPr>
        <w:spacing w:after="0" w:line="540" w:lineRule="exact"/>
        <w:ind w:firstLine="640" w:firstLineChars="200"/>
        <w:jc w:val="both"/>
        <w:rPr>
          <w:rFonts w:ascii="仿宋_GB2312" w:eastAsia="仿宋_GB2312" w:cs="DengXian-Regular"/>
          <w:sz w:val="32"/>
          <w:szCs w:val="32"/>
        </w:rPr>
      </w:pPr>
    </w:p>
    <w:p w14:paraId="31AA8B8A">
      <w:pPr>
        <w:spacing w:after="0" w:line="540" w:lineRule="exact"/>
        <w:ind w:firstLine="640" w:firstLineChars="200"/>
        <w:jc w:val="both"/>
        <w:rPr>
          <w:rFonts w:ascii="仿宋_GB2312" w:eastAsia="仿宋_GB2312" w:cs="DengXian-Regular"/>
          <w:sz w:val="32"/>
          <w:szCs w:val="32"/>
        </w:rPr>
      </w:pPr>
    </w:p>
    <w:p w14:paraId="35E81595">
      <w:pPr>
        <w:adjustRightInd w:val="0"/>
        <w:snapToGrid w:val="0"/>
        <w:spacing w:line="240" w:lineRule="auto"/>
        <w:ind w:firstLine="640" w:firstLineChars="200"/>
        <w:rPr>
          <w:rFonts w:ascii="仿宋_GB2312" w:eastAsia="仿宋_GB2312" w:cs="DengXian-Regular"/>
          <w:sz w:val="32"/>
          <w:szCs w:val="32"/>
        </w:rPr>
      </w:pPr>
      <w:r>
        <w:rPr>
          <w:rFonts w:hint="eastAsia" w:ascii="仿宋_GB2312" w:hAnsi="Times New Roman" w:eastAsia="仿宋_GB2312" w:cs="DengXian-Regular"/>
          <w:sz w:val="32"/>
          <w:szCs w:val="32"/>
        </w:rPr>
        <w:t>本部门2021年度</w:t>
      </w:r>
      <w:r>
        <w:rPr>
          <w:rFonts w:hint="eastAsia" w:ascii="仿宋_GB2312" w:hAnsi="Times New Roman" w:eastAsia="仿宋_GB2312" w:cs="DengXian-Regular"/>
          <w:sz w:val="32"/>
          <w:szCs w:val="32"/>
          <w:lang w:eastAsia="zh-CN"/>
        </w:rPr>
        <w:t>收入</w:t>
      </w:r>
      <w:r>
        <w:rPr>
          <w:rFonts w:hint="eastAsia" w:ascii="仿宋_GB2312" w:hAnsi="Times New Roman" w:eastAsia="仿宋_GB2312" w:cs="DengXian-Regular"/>
          <w:sz w:val="32"/>
          <w:szCs w:val="32"/>
        </w:rPr>
        <w:t>（含结转和结余）</w:t>
      </w:r>
      <w:r>
        <w:rPr>
          <w:rFonts w:hint="default" w:ascii="仿宋_GB2312" w:hAnsi="Times New Roman" w:eastAsia="仿宋_GB2312" w:cs="DengXian-Regular"/>
          <w:sz w:val="32"/>
          <w:szCs w:val="32"/>
          <w:lang w:val="en-US" w:eastAsia="zh-CN"/>
        </w:rPr>
        <w:t>3653.01</w:t>
      </w:r>
      <w:r>
        <w:rPr>
          <w:rFonts w:hint="eastAsia" w:ascii="仿宋_GB2312" w:hAnsi="Times New Roman" w:eastAsia="仿宋_GB2312" w:cs="DengXian-Regular"/>
          <w:sz w:val="32"/>
          <w:szCs w:val="32"/>
          <w:lang w:val="en-US" w:eastAsia="zh-CN"/>
        </w:rPr>
        <w:t>万元</w:t>
      </w:r>
      <w:r>
        <w:rPr>
          <w:rFonts w:hint="eastAsia" w:ascii="仿宋_GB2312" w:hAnsi="Times New Roman" w:eastAsia="仿宋_GB2312" w:cs="DengXian-Regular"/>
          <w:sz w:val="32"/>
          <w:szCs w:val="32"/>
        </w:rPr>
        <w:t>。与2020年度决算相比，</w:t>
      </w:r>
      <w:r>
        <w:rPr>
          <w:rFonts w:hint="eastAsia" w:ascii="仿宋_GB2312" w:hAnsi="Times New Roman" w:eastAsia="仿宋_GB2312" w:cs="DengXian-Regular"/>
          <w:sz w:val="32"/>
          <w:szCs w:val="32"/>
          <w:lang w:eastAsia="zh-CN"/>
        </w:rPr>
        <w:t>收入减少</w:t>
      </w:r>
      <w:r>
        <w:rPr>
          <w:rFonts w:hint="default" w:ascii="仿宋_GB2312" w:hAnsi="Times New Roman" w:eastAsia="仿宋_GB2312" w:cs="DengXian-Regular"/>
          <w:sz w:val="32"/>
          <w:szCs w:val="32"/>
          <w:lang w:val="en-US" w:eastAsia="zh-CN"/>
        </w:rPr>
        <w:t>489.9</w:t>
      </w:r>
      <w:r>
        <w:rPr>
          <w:rFonts w:hint="eastAsia" w:ascii="仿宋_GB2312" w:hAnsi="Times New Roman" w:eastAsia="仿宋_GB2312" w:cs="DengXian-Regular"/>
          <w:sz w:val="32"/>
          <w:szCs w:val="32"/>
          <w:lang w:val="en-US" w:eastAsia="zh-CN"/>
        </w:rPr>
        <w:t>万元，下降</w:t>
      </w:r>
      <w:r>
        <w:rPr>
          <w:rFonts w:hint="default" w:ascii="仿宋_GB2312" w:hAnsi="Times New Roman" w:eastAsia="仿宋_GB2312" w:cs="DengXian-Regular"/>
          <w:sz w:val="32"/>
          <w:szCs w:val="32"/>
          <w:lang w:val="en-US" w:eastAsia="zh-CN"/>
        </w:rPr>
        <w:t>11.8%</w:t>
      </w:r>
      <w:r>
        <w:rPr>
          <w:rFonts w:hint="eastAsia" w:ascii="仿宋_GB2312" w:hAnsi="Times New Roman" w:eastAsia="仿宋_GB2312" w:cs="DengXian-Regular"/>
          <w:sz w:val="32"/>
          <w:szCs w:val="32"/>
          <w:lang w:val="en-US" w:eastAsia="zh-CN"/>
        </w:rPr>
        <w:t>，主要原因是：合理缩减办公经费，人员退休，人员经费减少。</w:t>
      </w:r>
      <w:r>
        <w:rPr>
          <w:rFonts w:hint="eastAsia" w:ascii="仿宋_GB2312" w:eastAsia="仿宋_GB2312" w:cs="DengXian-Regular"/>
          <w:sz w:val="32"/>
          <w:szCs w:val="32"/>
        </w:rPr>
        <w:t>预算收入与决算收入对比情况见图2。</w:t>
      </w:r>
    </w:p>
    <w:p w14:paraId="65219913">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w:t>
      </w:r>
      <w:r>
        <w:rPr>
          <w:rFonts w:hint="eastAsia" w:asciiTheme="minorEastAsia" w:hAnsiTheme="minorEastAsia" w:eastAsiaTheme="minorEastAsia" w:cstheme="minorEastAsia"/>
          <w:b/>
          <w:sz w:val="32"/>
          <w:szCs w:val="32"/>
          <w:u w:color="000000"/>
          <w:lang w:eastAsia="zh-CN"/>
        </w:rPr>
        <w:t>市场监督管理局</w:t>
      </w:r>
      <w:r>
        <w:rPr>
          <w:rFonts w:hint="eastAsia" w:asciiTheme="minorEastAsia" w:hAnsiTheme="minorEastAsia" w:eastAsiaTheme="minorEastAsia" w:cstheme="minorEastAsia"/>
          <w:b/>
          <w:sz w:val="32"/>
          <w:szCs w:val="32"/>
          <w:u w:color="000000"/>
        </w:rPr>
        <w:t>预算收入与决算收入对比图</w:t>
      </w:r>
      <w:r>
        <w:drawing>
          <wp:inline distT="0" distB="0" distL="114300" distR="114300">
            <wp:extent cx="5122545" cy="2747010"/>
            <wp:effectExtent l="4445" t="4445" r="54610" b="1079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F5895D">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46418BF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万元。预算收入按功能分类包含：</w:t>
      </w:r>
      <w:r>
        <w:rPr>
          <w:rFonts w:hint="eastAsia" w:ascii="仿宋_GB2312" w:eastAsia="仿宋_GB2312" w:cs="DengXian-Regular"/>
          <w:sz w:val="32"/>
          <w:szCs w:val="32"/>
          <w:lang w:eastAsia="zh-CN"/>
        </w:rPr>
        <w:t>一般公共服务支出</w:t>
      </w:r>
      <w:r>
        <w:rPr>
          <w:rFonts w:hint="default" w:ascii="仿宋_GB2312" w:eastAsia="仿宋_GB2312" w:cs="DengXian-Regular"/>
          <w:sz w:val="32"/>
          <w:szCs w:val="32"/>
          <w:lang w:val="en-US" w:eastAsia="zh-CN"/>
        </w:rPr>
        <w:t>2888.04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477.29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w:t>
      </w:r>
      <w:r>
        <w:rPr>
          <w:rFonts w:hint="default" w:ascii="仿宋_GB2312" w:eastAsia="仿宋_GB2312" w:cs="DengXian-Regular"/>
          <w:sz w:val="32"/>
          <w:szCs w:val="32"/>
          <w:lang w:val="en-US"/>
        </w:rPr>
        <w:t>102.93</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184.74</w:t>
      </w:r>
      <w:r>
        <w:rPr>
          <w:rFonts w:hint="eastAsia" w:ascii="仿宋_GB2312" w:eastAsia="仿宋_GB2312" w:cs="DengXian-Regular"/>
          <w:sz w:val="32"/>
          <w:szCs w:val="32"/>
        </w:rPr>
        <w:t>万元。具体预算收入详见附件2</w:t>
      </w:r>
      <w:r>
        <w:rPr>
          <w:rFonts w:hint="eastAsia" w:ascii="仿宋_GB2312" w:eastAsia="仿宋_GB2312" w:cs="Times New Roman" w:hAnsiTheme="minorEastAsia"/>
          <w:sz w:val="32"/>
          <w:szCs w:val="32"/>
          <w:u w:color="000000"/>
        </w:rPr>
        <w:t>。具体预算支出详见附件2。</w:t>
      </w:r>
    </w:p>
    <w:p w14:paraId="6405A6B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3307.67</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0.29</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eastAsia="zh-CN"/>
        </w:rPr>
        <w:t>一般公共服务支出</w:t>
      </w:r>
      <w:r>
        <w:rPr>
          <w:rFonts w:hint="default" w:ascii="仿宋_GB2312" w:eastAsia="仿宋_GB2312" w:cs="DengXian-Regular"/>
          <w:sz w:val="32"/>
          <w:szCs w:val="32"/>
          <w:lang w:val="en-US" w:eastAsia="zh-CN"/>
        </w:rPr>
        <w:t>2888.04</w:t>
      </w:r>
      <w:r>
        <w:rPr>
          <w:rFonts w:hint="eastAsia" w:ascii="仿宋_GB2312" w:eastAsia="仿宋_GB2312" w:cs="DengXian-Regular"/>
          <w:sz w:val="32"/>
          <w:szCs w:val="32"/>
          <w:lang w:val="en-US" w:eastAsia="zh-CN"/>
        </w:rPr>
        <w:t>万元，占比</w:t>
      </w:r>
      <w:r>
        <w:rPr>
          <w:rFonts w:hint="default" w:ascii="仿宋_GB2312" w:eastAsia="仿宋_GB2312" w:cs="DengXian-Regular"/>
          <w:sz w:val="32"/>
          <w:szCs w:val="32"/>
          <w:lang w:val="en-US" w:eastAsia="zh-CN"/>
        </w:rPr>
        <w:t>87.31%</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477.29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14.43%</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w:t>
      </w:r>
      <w:r>
        <w:rPr>
          <w:rFonts w:hint="default" w:ascii="仿宋_GB2312" w:eastAsia="仿宋_GB2312" w:cs="DengXian-Regular"/>
          <w:sz w:val="32"/>
          <w:szCs w:val="32"/>
          <w:lang w:val="en-US"/>
        </w:rPr>
        <w:t>102.93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3.11%</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184.74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，占比</w:t>
      </w:r>
      <w:r>
        <w:rPr>
          <w:rFonts w:hint="default" w:ascii="仿宋_GB2312" w:eastAsia="仿宋_GB2312" w:cs="DengXian-Regular"/>
          <w:sz w:val="32"/>
          <w:szCs w:val="32"/>
          <w:lang w:val="en-US" w:eastAsia="zh-CN"/>
        </w:rPr>
        <w:t>5.58%</w:t>
      </w:r>
      <w:r>
        <w:rPr>
          <w:rFonts w:hint="eastAsia" w:ascii="仿宋_GB2312" w:eastAsia="仿宋_GB2312" w:cs="DengXian-Regular"/>
          <w:sz w:val="32"/>
          <w:szCs w:val="32"/>
          <w:lang w:val="en-US" w:eastAsia="zh-CN"/>
        </w:rPr>
        <w:t>。</w:t>
      </w:r>
      <w:r>
        <w:rPr>
          <w:rFonts w:hint="eastAsia" w:ascii="仿宋_GB2312" w:eastAsia="仿宋_GB2312" w:cs="Times New Roman" w:hAnsiTheme="minorEastAsia"/>
          <w:sz w:val="32"/>
          <w:szCs w:val="32"/>
          <w:u w:color="000000"/>
        </w:rPr>
        <w:t>具体决算支出详见附件2。</w:t>
      </w:r>
    </w:p>
    <w:p w14:paraId="1CD8A4E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739CBDEB">
      <w:pPr>
        <w:spacing w:after="0" w:line="360" w:lineRule="auto"/>
        <w:jc w:val="center"/>
        <w:rPr>
          <w:rFonts w:ascii="仿宋_GB2312" w:eastAsia="仿宋_GB2312" w:cs="Times New Roman" w:hAnsiTheme="minorEastAsia"/>
          <w:b w:val="0"/>
          <w:bCs w:val="0"/>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w:t>
      </w:r>
      <w:r>
        <w:rPr>
          <w:rFonts w:hint="eastAsia" w:asciiTheme="minorEastAsia" w:hAnsiTheme="minorEastAsia" w:eastAsiaTheme="minorEastAsia" w:cstheme="minorEastAsia"/>
          <w:b w:val="0"/>
          <w:bCs w:val="0"/>
          <w:sz w:val="32"/>
          <w:szCs w:val="32"/>
          <w:u w:color="000000"/>
        </w:rPr>
        <w:t>决算支出结构图</w:t>
      </w:r>
    </w:p>
    <w:p w14:paraId="4D2E61C1">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drawing>
          <wp:inline distT="0" distB="0" distL="114300" distR="114300">
            <wp:extent cx="5169535" cy="3681730"/>
            <wp:effectExtent l="0" t="0" r="12065" b="1397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7"/>
                    <a:stretch>
                      <a:fillRect/>
                    </a:stretch>
                  </pic:blipFill>
                  <pic:spPr>
                    <a:xfrm>
                      <a:off x="0" y="0"/>
                      <a:ext cx="5169535" cy="3681730"/>
                    </a:xfrm>
                    <a:prstGeom prst="rect">
                      <a:avLst/>
                    </a:prstGeom>
                  </pic:spPr>
                </pic:pic>
              </a:graphicData>
            </a:graphic>
          </wp:inline>
        </w:drawing>
      </w:r>
      <w:r>
        <w:rPr>
          <w:rFonts w:hint="eastAsia" w:ascii="仿宋_GB2312" w:eastAsia="仿宋_GB2312" w:cs="DengXian-Regular"/>
          <w:sz w:val="32"/>
          <w:szCs w:val="32"/>
        </w:rPr>
        <w:t>本年支出</w:t>
      </w:r>
      <w:r>
        <w:rPr>
          <w:rFonts w:hint="eastAsia" w:ascii="仿宋_GB2312" w:eastAsia="仿宋_GB2312" w:cs="DengXian-Regular"/>
          <w:sz w:val="32"/>
          <w:szCs w:val="32"/>
          <w:lang w:val="en-US"/>
        </w:rPr>
        <w:t>3652.51</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rPr>
        <w:t>86.6</w:t>
      </w:r>
      <w:r>
        <w:rPr>
          <w:rFonts w:hint="eastAsia" w:ascii="仿宋_GB2312" w:eastAsia="仿宋_GB2312" w:cs="DengXian-Regular"/>
          <w:sz w:val="32"/>
          <w:szCs w:val="32"/>
        </w:rPr>
        <w:t>%,比年初预算减少</w:t>
      </w:r>
      <w:r>
        <w:rPr>
          <w:rFonts w:hint="eastAsia" w:ascii="仿宋_GB2312" w:eastAsia="仿宋_GB2312" w:cs="DengXian-Regular"/>
          <w:sz w:val="32"/>
          <w:szCs w:val="32"/>
          <w:lang w:val="en-US"/>
        </w:rPr>
        <w:t>564.21</w:t>
      </w:r>
      <w:r>
        <w:rPr>
          <w:rFonts w:hint="eastAsia" w:ascii="仿宋_GB2312" w:eastAsia="仿宋_GB2312" w:cs="DengXian-Regular"/>
          <w:sz w:val="32"/>
          <w:szCs w:val="32"/>
        </w:rPr>
        <w:t>万元，决算数小于预算数的主要原因是</w:t>
      </w:r>
      <w:r>
        <w:rPr>
          <w:rFonts w:hint="eastAsia" w:ascii="仿宋_GB2312" w:eastAsia="仿宋_GB2312" w:cs="DengXian-Regular"/>
          <w:sz w:val="32"/>
          <w:szCs w:val="32"/>
          <w:lang w:eastAsia="zh-CN"/>
        </w:rPr>
        <w:t>厉行节约，合理缩减办公经费。</w:t>
      </w:r>
      <w:r>
        <w:rPr>
          <w:rFonts w:hint="eastAsia" w:ascii="仿宋" w:hAnsi="仿宋" w:eastAsia="仿宋"/>
          <w:snapToGrid w:val="0"/>
          <w:sz w:val="32"/>
          <w:szCs w:val="32"/>
        </w:rPr>
        <w:t>预算支出与决算支出对比情况如图4。</w:t>
      </w:r>
    </w:p>
    <w:p w14:paraId="5BE2957D">
      <w:pPr>
        <w:spacing w:after="0" w:line="360" w:lineRule="auto"/>
        <w:jc w:val="center"/>
        <w:rPr>
          <w:rFonts w:ascii="仿宋_GB2312" w:eastAsia="仿宋_GB2312" w:cs="DengXian-Regular"/>
          <w:b w:val="0"/>
          <w:bCs w:val="0"/>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eastAsia="zh-CN"/>
        </w:rPr>
        <w:t>市场监督管理局</w:t>
      </w:r>
      <w:r>
        <w:rPr>
          <w:rFonts w:hint="eastAsia" w:asciiTheme="minorEastAsia" w:hAnsiTheme="minorEastAsia" w:eastAsiaTheme="minorEastAsia" w:cstheme="minorEastAsia"/>
          <w:b w:val="0"/>
          <w:bCs w:val="0"/>
          <w:sz w:val="32"/>
          <w:szCs w:val="32"/>
        </w:rPr>
        <w:t>预算支出与决算支出图</w:t>
      </w:r>
      <w:r>
        <w:drawing>
          <wp:inline distT="0" distB="0" distL="114300" distR="114300">
            <wp:extent cx="5122545" cy="2747010"/>
            <wp:effectExtent l="4445" t="4445" r="54610" b="10795"/>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088B4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505.40</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505.4</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14:paraId="45DEE7F5">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14:paraId="767F7BC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“三公”经费预算</w:t>
      </w:r>
      <w:r>
        <w:rPr>
          <w:rFonts w:hint="default" w:ascii="仿宋_GB2312" w:hAnsi="Times New Roman" w:eastAsia="仿宋_GB2312" w:cs="DengXian-Regular"/>
          <w:sz w:val="32"/>
          <w:szCs w:val="32"/>
          <w:lang w:val="en-US"/>
        </w:rPr>
        <w:t>85.5</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84</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hAnsi="Times New Roman" w:eastAsia="仿宋_GB2312" w:cs="DengXian-Regular"/>
          <w:sz w:val="32"/>
          <w:szCs w:val="32"/>
          <w:lang w:val="en-US"/>
        </w:rPr>
        <w:t>56.78</w:t>
      </w:r>
      <w:r>
        <w:rPr>
          <w:rFonts w:hint="eastAsia" w:ascii="仿宋_GB2312" w:eastAsia="仿宋_GB2312" w:cs="DengXian-Regular"/>
          <w:sz w:val="32"/>
          <w:szCs w:val="32"/>
        </w:rPr>
        <w:t>万元（公务用车运行维护费</w:t>
      </w:r>
      <w:r>
        <w:rPr>
          <w:rFonts w:hint="default" w:ascii="仿宋_GB2312" w:hAnsi="Times New Roman" w:eastAsia="仿宋_GB2312" w:cs="DengXian-Regular"/>
          <w:sz w:val="32"/>
          <w:szCs w:val="32"/>
          <w:lang w:val="en-US"/>
        </w:rPr>
        <w:t>56.78</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27.22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32.4</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hAnsi="Times New Roman" w:eastAsia="仿宋_GB2312" w:cs="DengXian-Regular"/>
          <w:sz w:val="32"/>
          <w:szCs w:val="32"/>
          <w:lang w:val="en-US"/>
        </w:rPr>
        <w:t>6.97</w:t>
      </w:r>
      <w:r>
        <w:rPr>
          <w:rFonts w:hint="eastAsia" w:ascii="仿宋_GB2312" w:eastAsia="仿宋_GB2312" w:cs="DengXian-Regular"/>
          <w:sz w:val="32"/>
          <w:szCs w:val="32"/>
        </w:rPr>
        <w:t>万元。具体详见表1。</w:t>
      </w:r>
    </w:p>
    <w:p w14:paraId="38A0D141">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区xxx单位</w:t>
      </w:r>
      <w:r>
        <w:rPr>
          <w:rFonts w:hint="eastAsia" w:asciiTheme="minorEastAsia" w:hAnsiTheme="minorEastAsia" w:eastAsiaTheme="minorEastAsia" w:cstheme="minorEastAsia"/>
          <w:b/>
          <w:bCs/>
          <w:sz w:val="32"/>
          <w:szCs w:val="32"/>
        </w:rPr>
        <w:t>“三公”经费预算及决算明细表</w:t>
      </w:r>
    </w:p>
    <w:p w14:paraId="4F3BC1A3">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66156DE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C938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503F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ECFD8">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04958EE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EA5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0FB9DA29">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C4820">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C2D3E">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7946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1297F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4956D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233EE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C6533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D2680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5970D2E">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665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8D0B6D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24E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CB05">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B47A">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3A594">
            <w:pPr>
              <w:spacing w:after="0"/>
              <w:jc w:val="both"/>
              <w:textAlignment w:val="center"/>
              <w:rPr>
                <w:rFonts w:hint="default" w:asciiTheme="minorEastAsia" w:hAnsiTheme="minorEastAsia" w:eastAsiaTheme="minorEastAsia" w:cstheme="minorEastAsia"/>
                <w:color w:val="000000"/>
                <w:sz w:val="21"/>
                <w:szCs w:val="21"/>
                <w:lang w:val="en-US"/>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357AE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973D69">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0143415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2A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1CECE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5B64">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692D">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49.81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DF9">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C88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56.78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FC313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6AA98">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6.97</w:t>
            </w:r>
          </w:p>
        </w:tc>
      </w:tr>
      <w:tr w14:paraId="4CC32A7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CC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7A1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10CD">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C166">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0CFA">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8C89">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D51C1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97F36">
            <w:pPr>
              <w:spacing w:after="0"/>
              <w:jc w:val="center"/>
              <w:textAlignment w:val="center"/>
              <w:rPr>
                <w:rFonts w:asciiTheme="minorEastAsia" w:hAnsiTheme="minorEastAsia" w:eastAsiaTheme="minorEastAsia" w:cstheme="minorEastAsia"/>
                <w:color w:val="000000"/>
                <w:sz w:val="21"/>
                <w:szCs w:val="21"/>
              </w:rPr>
            </w:pPr>
          </w:p>
        </w:tc>
      </w:tr>
      <w:tr w14:paraId="05F762D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612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D8AF7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851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BD9E">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49.81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82E2">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84</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FA221C">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56.78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49791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1B5DA5">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6.97</w:t>
            </w:r>
          </w:p>
        </w:tc>
      </w:tr>
    </w:tbl>
    <w:p w14:paraId="48E4B71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30</w:t>
      </w:r>
      <w:r>
        <w:rPr>
          <w:rFonts w:hint="eastAsia" w:ascii="仿宋_GB2312" w:eastAsia="仿宋_GB2312" w:cs="DengXian-Regular"/>
          <w:sz w:val="32"/>
          <w:szCs w:val="32"/>
        </w:rPr>
        <w:t>辆，</w:t>
      </w:r>
      <w:r>
        <w:rPr>
          <w:rFonts w:hint="eastAsia" w:ascii="仿宋_GB2312" w:hAnsi="Times New Roman" w:eastAsia="仿宋_GB2312" w:cs="DengXian-Regular"/>
          <w:sz w:val="32"/>
          <w:szCs w:val="32"/>
        </w:rPr>
        <w:t>机要通信用车</w:t>
      </w:r>
      <w:r>
        <w:rPr>
          <w:rFonts w:hint="default" w:ascii="仿宋_GB2312" w:hAnsi="Times New Roman" w:eastAsia="仿宋_GB2312" w:cs="DengXian-Regular"/>
          <w:sz w:val="32"/>
          <w:szCs w:val="32"/>
          <w:lang w:val="en-US"/>
        </w:rPr>
        <w:t>1</w:t>
      </w:r>
      <w:r>
        <w:rPr>
          <w:rFonts w:hint="eastAsia" w:ascii="仿宋_GB2312" w:hAnsi="Times New Roman" w:eastAsia="仿宋_GB2312" w:cs="DengXian-Regular"/>
          <w:sz w:val="32"/>
          <w:szCs w:val="32"/>
        </w:rPr>
        <w:t>辆，应急保障用车</w:t>
      </w:r>
      <w:r>
        <w:rPr>
          <w:rFonts w:hint="default" w:ascii="仿宋_GB2312" w:hAnsi="Times New Roman" w:eastAsia="仿宋_GB2312" w:cs="DengXian-Regular"/>
          <w:sz w:val="32"/>
          <w:szCs w:val="32"/>
          <w:lang w:val="en-US"/>
        </w:rPr>
        <w:t>0</w:t>
      </w:r>
      <w:r>
        <w:rPr>
          <w:rFonts w:hint="eastAsia" w:ascii="仿宋_GB2312" w:hAnsi="Times New Roman" w:eastAsia="仿宋_GB2312" w:cs="DengXian-Regular"/>
          <w:sz w:val="32"/>
          <w:szCs w:val="32"/>
        </w:rPr>
        <w:t>辆，执法执勤用车</w:t>
      </w:r>
      <w:r>
        <w:rPr>
          <w:rFonts w:hint="default" w:ascii="仿宋_GB2312" w:hAnsi="Times New Roman" w:eastAsia="仿宋_GB2312" w:cs="DengXian-Regular"/>
          <w:sz w:val="32"/>
          <w:szCs w:val="32"/>
          <w:lang w:val="en-US"/>
        </w:rPr>
        <w:t>25</w:t>
      </w:r>
      <w:r>
        <w:rPr>
          <w:rFonts w:hint="eastAsia" w:ascii="仿宋_GB2312" w:hAnsi="Times New Roman" w:eastAsia="仿宋_GB2312" w:cs="DengXian-Regular"/>
          <w:sz w:val="32"/>
          <w:szCs w:val="32"/>
        </w:rPr>
        <w:t>辆，特种专业技术用车</w:t>
      </w:r>
      <w:r>
        <w:rPr>
          <w:rFonts w:hint="default" w:ascii="仿宋_GB2312" w:hAnsi="Times New Roman" w:eastAsia="仿宋_GB2312" w:cs="DengXian-Regular"/>
          <w:sz w:val="32"/>
          <w:szCs w:val="32"/>
          <w:lang w:val="en-US"/>
        </w:rPr>
        <w:t>1</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其他用车</w:t>
      </w:r>
      <w:r>
        <w:rPr>
          <w:rFonts w:hint="default" w:ascii="仿宋_GB2312" w:hAnsi="Times New Roman" w:eastAsia="仿宋_GB2312" w:cs="DengXian-Regular"/>
          <w:sz w:val="32"/>
          <w:szCs w:val="32"/>
          <w:lang w:val="en-US"/>
        </w:rPr>
        <w:t>3</w:t>
      </w:r>
      <w:r>
        <w:rPr>
          <w:rFonts w:hint="eastAsia" w:ascii="仿宋_GB2312" w:hAnsi="Times New Roman" w:eastAsia="仿宋_GB2312" w:cs="DengXian-Regular"/>
          <w:sz w:val="32"/>
          <w:szCs w:val="32"/>
        </w:rPr>
        <w:t>辆</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84</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56.78</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27.22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32.4</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6.97</w:t>
      </w:r>
      <w:r>
        <w:rPr>
          <w:rFonts w:hint="eastAsia" w:ascii="仿宋_GB2312" w:eastAsia="仿宋_GB2312" w:cs="DengXian-Regular"/>
          <w:sz w:val="32"/>
          <w:szCs w:val="32"/>
        </w:rPr>
        <w:t>万元。</w:t>
      </w:r>
    </w:p>
    <w:p w14:paraId="3F7F763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市场监督管理局无公务接待</w:t>
      </w:r>
    </w:p>
    <w:p w14:paraId="6982A1E8">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1589476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14:paraId="5436821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770A6540">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55BF5B6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8CCF037">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6C190163">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6B4DC0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F987F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04940D0">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7D9E91A8">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6538ED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5D2AF3B4">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72F7C95E">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6B442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211350D7">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16D65EF8">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644EA688">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8E866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420DBF4">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745AAD54">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BFD72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78B71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1D1ED2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C7EA2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51C437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47A345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47B07A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0345A316">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09673888">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2B64F04">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13075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5B007A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53642B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15740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2A34C63">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55D779E3">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723F582E">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0C1DE7F5">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61C0379D">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69AE4A51">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41D4E6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B4738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D38AF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43165C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4D11B3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相关资料的收集，制定绩效评价实施方案和体系,确定最终方案。</w:t>
      </w:r>
    </w:p>
    <w:p w14:paraId="733209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DBBAD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DDCB7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4C94FB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1BBFB5A">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18E5F9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单位部门整体支出绩效评价总得分为</w:t>
      </w:r>
      <w:r>
        <w:rPr>
          <w:rFonts w:hint="default" w:ascii="仿宋_GB2312" w:eastAsia="仿宋_GB2312" w:cs="DengXian-Regular"/>
          <w:sz w:val="32"/>
          <w:szCs w:val="32"/>
          <w:lang w:val="en-US"/>
        </w:rPr>
        <w:t>99.8</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EFE0523">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5BCB181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EFB10F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EEB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02B010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D943F4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7A9B9FB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F46791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696678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D51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C510D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5E23C42E">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E24CB7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EEA64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433794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373CC0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6530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B5D4EA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FE5F18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EB491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03F53A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DF44FC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498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7BFA44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209DB2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02334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686F5D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B6EC41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7FE7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49D634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82C32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56F586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BF2B0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78D7E7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6EDBC0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4EC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6E73F7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EDE4F3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7A07A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5989C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AD4812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E96E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FCE199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5A42A4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6D5AE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00B94B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3965BD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6FFD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6774361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457E764F">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827C5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2C5194B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14:paraId="5D20F2FE">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463158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0AFB2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9F35E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单位部门职责符合“三定”方案中所赋予的职责，绩效目标设立依据充分，符合客观实际，与部门职责、工作规划和重点工作相关，工作活动和项目预算安排合理。</w:t>
      </w:r>
    </w:p>
    <w:p w14:paraId="19DEA3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777E7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C1370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BE79A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7F7E16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6A567D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53C9678">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23DA9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3B0A73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79AA47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2E6F05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54BC29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年预算文本及相关会计资料，所有收入均已纳入部门预算，部门支出按基本支出、项目支出分别编制。</w:t>
      </w:r>
    </w:p>
    <w:p w14:paraId="189118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52DAD0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6B5EE1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2FD381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1210F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13</w:t>
      </w:r>
      <w:r>
        <w:rPr>
          <w:rFonts w:hint="eastAsia" w:ascii="仿宋_GB2312" w:eastAsia="仿宋_GB2312" w:cs="DengXian-Regular"/>
          <w:sz w:val="32"/>
          <w:szCs w:val="32"/>
        </w:rPr>
        <w:t>个（详见附件2-2-2），涉及资</w:t>
      </w:r>
      <w:r>
        <w:rPr>
          <w:rFonts w:hint="default" w:ascii="仿宋_GB2312" w:eastAsia="仿宋_GB2312" w:cs="DengXian-Regular"/>
          <w:sz w:val="32"/>
          <w:szCs w:val="32"/>
          <w:lang w:val="en-US"/>
        </w:rPr>
        <w:t>505.4</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505.4/505.4</w:t>
      </w:r>
      <w:r>
        <w:rPr>
          <w:rFonts w:hint="eastAsia" w:ascii="仿宋_GB2312" w:eastAsia="仿宋_GB2312" w:cs="DengXian-Regular"/>
          <w:sz w:val="32"/>
          <w:szCs w:val="32"/>
        </w:rPr>
        <w:t>）*100%=100%</w:t>
      </w:r>
    </w:p>
    <w:p w14:paraId="7000EB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AB20E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2DAD50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在职人员控制情况，通过在职人员控制率衡量。</w:t>
      </w:r>
    </w:p>
    <w:p w14:paraId="7EB8D0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B894B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单位职能配置内设机构和人员编制规定》的通知，人员编制为xx人，根据202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212</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212</w:t>
      </w:r>
      <w:r>
        <w:rPr>
          <w:rFonts w:hint="eastAsia" w:ascii="仿宋_GB2312" w:eastAsia="仿宋_GB2312" w:cs="DengXian-Regular"/>
          <w:sz w:val="32"/>
          <w:szCs w:val="32"/>
        </w:rPr>
        <w:t>/</w:t>
      </w:r>
      <w:r>
        <w:rPr>
          <w:rFonts w:hint="default" w:ascii="仿宋_GB2312" w:eastAsia="仿宋_GB2312" w:cs="DengXian-Regular"/>
          <w:sz w:val="32"/>
          <w:szCs w:val="32"/>
          <w:lang w:val="en-US"/>
        </w:rPr>
        <w:t>212</w:t>
      </w:r>
      <w:r>
        <w:rPr>
          <w:rFonts w:hint="eastAsia" w:ascii="仿宋_GB2312" w:eastAsia="仿宋_GB2312" w:cs="DengXian-Regular"/>
          <w:sz w:val="32"/>
          <w:szCs w:val="32"/>
        </w:rPr>
        <w:t>）*100%=100%。</w:t>
      </w:r>
    </w:p>
    <w:p w14:paraId="7C97C8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14:paraId="238955EB">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7C99E90D">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48F0236">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EA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ECD419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A23E1D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645C60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73AE76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0BBB60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5DE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47E7D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E029F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0F61B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2690AA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09BC29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2895C53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1.6</w:t>
            </w:r>
          </w:p>
        </w:tc>
      </w:tr>
      <w:tr w14:paraId="519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8F856F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A1263C9">
            <w:pPr>
              <w:spacing w:line="420" w:lineRule="exact"/>
              <w:jc w:val="center"/>
              <w:rPr>
                <w:rFonts w:cs="宋体" w:asciiTheme="minorEastAsia" w:hAnsiTheme="minorEastAsia" w:eastAsiaTheme="minorEastAsia"/>
                <w:sz w:val="21"/>
                <w:szCs w:val="21"/>
              </w:rPr>
            </w:pPr>
          </w:p>
        </w:tc>
        <w:tc>
          <w:tcPr>
            <w:tcW w:w="2277" w:type="dxa"/>
            <w:vAlign w:val="center"/>
          </w:tcPr>
          <w:p w14:paraId="1235A8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7BA9DC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2B632E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1614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5E453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B71C881">
            <w:pPr>
              <w:spacing w:line="420" w:lineRule="exact"/>
              <w:jc w:val="center"/>
              <w:rPr>
                <w:rFonts w:cs="宋体" w:asciiTheme="minorEastAsia" w:hAnsiTheme="minorEastAsia" w:eastAsiaTheme="minorEastAsia"/>
                <w:sz w:val="21"/>
                <w:szCs w:val="21"/>
              </w:rPr>
            </w:pPr>
          </w:p>
        </w:tc>
        <w:tc>
          <w:tcPr>
            <w:tcW w:w="2277" w:type="dxa"/>
            <w:vAlign w:val="center"/>
          </w:tcPr>
          <w:p w14:paraId="6DCF8C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43A687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0A81F75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1.8</w:t>
            </w:r>
          </w:p>
        </w:tc>
      </w:tr>
      <w:tr w14:paraId="2E7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BBE902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291659">
            <w:pPr>
              <w:spacing w:line="420" w:lineRule="exact"/>
              <w:jc w:val="center"/>
              <w:rPr>
                <w:rFonts w:cs="宋体" w:asciiTheme="minorEastAsia" w:hAnsiTheme="minorEastAsia" w:eastAsiaTheme="minorEastAsia"/>
                <w:sz w:val="21"/>
                <w:szCs w:val="21"/>
              </w:rPr>
            </w:pPr>
          </w:p>
        </w:tc>
        <w:tc>
          <w:tcPr>
            <w:tcW w:w="2277" w:type="dxa"/>
            <w:vAlign w:val="center"/>
          </w:tcPr>
          <w:p w14:paraId="44C240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C70F4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EAC6AE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52B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71372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E28CEF0">
            <w:pPr>
              <w:spacing w:line="420" w:lineRule="exact"/>
              <w:jc w:val="center"/>
              <w:rPr>
                <w:rFonts w:cs="宋体" w:asciiTheme="minorEastAsia" w:hAnsiTheme="minorEastAsia" w:eastAsiaTheme="minorEastAsia"/>
                <w:sz w:val="21"/>
                <w:szCs w:val="21"/>
              </w:rPr>
            </w:pPr>
          </w:p>
        </w:tc>
        <w:tc>
          <w:tcPr>
            <w:tcW w:w="2277" w:type="dxa"/>
            <w:vAlign w:val="center"/>
          </w:tcPr>
          <w:p w14:paraId="00E8C1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E6A44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81900C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65DD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1B9C3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E674E51">
            <w:pPr>
              <w:spacing w:line="420" w:lineRule="exact"/>
              <w:jc w:val="center"/>
              <w:rPr>
                <w:rFonts w:cs="宋体" w:asciiTheme="minorEastAsia" w:hAnsiTheme="minorEastAsia" w:eastAsiaTheme="minorEastAsia"/>
                <w:sz w:val="21"/>
                <w:szCs w:val="21"/>
              </w:rPr>
            </w:pPr>
          </w:p>
        </w:tc>
        <w:tc>
          <w:tcPr>
            <w:tcW w:w="2277" w:type="dxa"/>
            <w:vAlign w:val="center"/>
          </w:tcPr>
          <w:p w14:paraId="28E360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4B591D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6A42E0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3A6B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425296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3D74F72">
            <w:pPr>
              <w:spacing w:line="420" w:lineRule="exact"/>
              <w:jc w:val="center"/>
              <w:rPr>
                <w:rFonts w:cs="宋体" w:asciiTheme="minorEastAsia" w:hAnsiTheme="minorEastAsia" w:eastAsiaTheme="minorEastAsia"/>
                <w:sz w:val="21"/>
                <w:szCs w:val="21"/>
              </w:rPr>
            </w:pPr>
          </w:p>
        </w:tc>
        <w:tc>
          <w:tcPr>
            <w:tcW w:w="2277" w:type="dxa"/>
            <w:vAlign w:val="center"/>
          </w:tcPr>
          <w:p w14:paraId="39F968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A10C7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A446EE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2D4B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D4237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262C56">
            <w:pPr>
              <w:spacing w:line="420" w:lineRule="exact"/>
              <w:jc w:val="center"/>
              <w:rPr>
                <w:rFonts w:cs="宋体" w:asciiTheme="minorEastAsia" w:hAnsiTheme="minorEastAsia" w:eastAsiaTheme="minorEastAsia"/>
                <w:sz w:val="21"/>
                <w:szCs w:val="21"/>
              </w:rPr>
            </w:pPr>
          </w:p>
        </w:tc>
        <w:tc>
          <w:tcPr>
            <w:tcW w:w="2277" w:type="dxa"/>
            <w:vAlign w:val="center"/>
          </w:tcPr>
          <w:p w14:paraId="346BB3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6D13A8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3C133A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621C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936C0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C15DD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25C23F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78A9B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553C2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48CFD6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3E51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85CB51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FEC505">
            <w:pPr>
              <w:spacing w:line="420" w:lineRule="exact"/>
              <w:jc w:val="center"/>
              <w:rPr>
                <w:rFonts w:cs="宋体" w:asciiTheme="minorEastAsia" w:hAnsiTheme="minorEastAsia" w:eastAsiaTheme="minorEastAsia"/>
                <w:sz w:val="21"/>
                <w:szCs w:val="21"/>
              </w:rPr>
            </w:pPr>
          </w:p>
        </w:tc>
        <w:tc>
          <w:tcPr>
            <w:tcW w:w="2277" w:type="dxa"/>
            <w:vAlign w:val="center"/>
          </w:tcPr>
          <w:p w14:paraId="082DE6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EF2E8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F6F189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B6C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7A8C6B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482E6D6">
            <w:pPr>
              <w:spacing w:line="420" w:lineRule="exact"/>
              <w:jc w:val="center"/>
              <w:rPr>
                <w:rFonts w:cs="宋体" w:asciiTheme="minorEastAsia" w:hAnsiTheme="minorEastAsia" w:eastAsiaTheme="minorEastAsia"/>
                <w:sz w:val="21"/>
                <w:szCs w:val="21"/>
              </w:rPr>
            </w:pPr>
          </w:p>
        </w:tc>
        <w:tc>
          <w:tcPr>
            <w:tcW w:w="2277" w:type="dxa"/>
            <w:vAlign w:val="center"/>
          </w:tcPr>
          <w:p w14:paraId="063D4A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849EB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9598A2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3846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3959A7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1D9D624">
            <w:pPr>
              <w:spacing w:line="420" w:lineRule="exact"/>
              <w:jc w:val="center"/>
              <w:rPr>
                <w:rFonts w:cs="宋体" w:asciiTheme="minorEastAsia" w:hAnsiTheme="minorEastAsia" w:eastAsiaTheme="minorEastAsia"/>
                <w:sz w:val="21"/>
                <w:szCs w:val="21"/>
              </w:rPr>
            </w:pPr>
          </w:p>
        </w:tc>
        <w:tc>
          <w:tcPr>
            <w:tcW w:w="2277" w:type="dxa"/>
            <w:vAlign w:val="center"/>
          </w:tcPr>
          <w:p w14:paraId="4616F2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59096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313488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325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8585246">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C6A96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1637C5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D0668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13C690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CCE501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E92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60928D2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FCB7B56">
            <w:pPr>
              <w:spacing w:line="420" w:lineRule="exact"/>
              <w:jc w:val="center"/>
              <w:rPr>
                <w:rFonts w:cs="宋体" w:asciiTheme="minorEastAsia" w:hAnsiTheme="minorEastAsia" w:eastAsiaTheme="minorEastAsia"/>
                <w:sz w:val="21"/>
                <w:szCs w:val="21"/>
              </w:rPr>
            </w:pPr>
          </w:p>
        </w:tc>
        <w:tc>
          <w:tcPr>
            <w:tcW w:w="2277" w:type="dxa"/>
            <w:vAlign w:val="center"/>
          </w:tcPr>
          <w:p w14:paraId="3EB8A4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2B61F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119A13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FA8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2FE576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32F36AFB">
            <w:pPr>
              <w:spacing w:line="420" w:lineRule="exact"/>
              <w:jc w:val="center"/>
              <w:rPr>
                <w:rFonts w:cs="宋体" w:asciiTheme="minorEastAsia" w:hAnsiTheme="minorEastAsia" w:eastAsiaTheme="minorEastAsia"/>
                <w:sz w:val="21"/>
                <w:szCs w:val="21"/>
              </w:rPr>
            </w:pPr>
          </w:p>
        </w:tc>
        <w:tc>
          <w:tcPr>
            <w:tcW w:w="1155" w:type="dxa"/>
            <w:vAlign w:val="center"/>
          </w:tcPr>
          <w:p w14:paraId="38360F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0348BD9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47.4</w:t>
            </w:r>
          </w:p>
        </w:tc>
      </w:tr>
      <w:bookmarkEnd w:id="63"/>
    </w:tbl>
    <w:p w14:paraId="3FDC2598">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4E7581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6E5D50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0C3A7A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66689F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的预算指标文件，年初预算数为</w:t>
      </w:r>
      <w:r>
        <w:rPr>
          <w:rFonts w:hint="default" w:ascii="仿宋_GB2312" w:eastAsia="仿宋_GB2312" w:cs="DengXian-Regular"/>
          <w:sz w:val="32"/>
          <w:szCs w:val="32"/>
          <w:lang w:val="en-US"/>
        </w:rPr>
        <w:t>4216.72</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21.56</w:t>
      </w:r>
      <w:r>
        <w:rPr>
          <w:rFonts w:hint="eastAsia" w:ascii="仿宋_GB2312" w:eastAsia="仿宋_GB2312" w:cs="DengXian-Regular"/>
          <w:sz w:val="32"/>
          <w:szCs w:val="32"/>
        </w:rPr>
        <w:t>%，预算调整</w:t>
      </w:r>
      <w:r>
        <w:rPr>
          <w:rFonts w:hint="eastAsia" w:ascii="仿宋_GB2312" w:eastAsia="仿宋_GB2312" w:cs="DengXian-Regular"/>
          <w:sz w:val="32"/>
          <w:szCs w:val="32"/>
          <w:lang w:eastAsia="zh-CN"/>
        </w:rPr>
        <w:t>减少</w:t>
      </w:r>
      <w:r>
        <w:rPr>
          <w:rFonts w:hint="eastAsia" w:ascii="仿宋_GB2312" w:eastAsia="仿宋_GB2312" w:cs="DengXian-Regular"/>
          <w:sz w:val="32"/>
          <w:szCs w:val="32"/>
        </w:rPr>
        <w:t>了</w:t>
      </w:r>
      <w:r>
        <w:rPr>
          <w:rFonts w:hint="default" w:ascii="仿宋_GB2312" w:eastAsia="仿宋_GB2312" w:cs="DengXian-Regular"/>
          <w:sz w:val="32"/>
          <w:szCs w:val="32"/>
          <w:lang w:val="en-US"/>
        </w:rPr>
        <w:t>20</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21.56*.01</w:t>
      </w:r>
      <w:r>
        <w:rPr>
          <w:rFonts w:hint="eastAsia" w:ascii="仿宋_GB2312" w:eastAsia="仿宋_GB2312" w:cs="DengXian-Regular"/>
          <w:sz w:val="32"/>
          <w:szCs w:val="32"/>
        </w:rPr>
        <w:t>*2=</w:t>
      </w:r>
      <w:r>
        <w:rPr>
          <w:rFonts w:hint="default" w:ascii="仿宋_GB2312" w:eastAsia="仿宋_GB2312" w:cs="DengXian-Regular"/>
          <w:sz w:val="32"/>
          <w:szCs w:val="32"/>
          <w:lang w:val="en-US"/>
        </w:rPr>
        <w:t>0.4</w:t>
      </w:r>
      <w:r>
        <w:rPr>
          <w:rFonts w:hint="eastAsia" w:ascii="仿宋_GB2312" w:eastAsia="仿宋_GB2312" w:cs="DengXian-Regular"/>
          <w:sz w:val="32"/>
          <w:szCs w:val="32"/>
        </w:rPr>
        <w:t>分。</w:t>
      </w:r>
    </w:p>
    <w:p w14:paraId="355D30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1.6</w:t>
      </w:r>
      <w:r>
        <w:rPr>
          <w:rFonts w:hint="eastAsia" w:ascii="仿宋_GB2312" w:eastAsia="仿宋_GB2312" w:cs="DengXian-Regular"/>
          <w:sz w:val="32"/>
          <w:szCs w:val="32"/>
        </w:rPr>
        <w:t>分。</w:t>
      </w:r>
    </w:p>
    <w:p w14:paraId="7E984D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3563DD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B31A7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9A56E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59690A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3CC31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68B1A1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10B49A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6A052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提供的保定市财政局下发的预算指标文件</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年初预算数为</w:t>
      </w:r>
      <w:r>
        <w:rPr>
          <w:rFonts w:hint="default" w:ascii="仿宋_GB2312" w:eastAsia="仿宋_GB2312" w:cs="DengXian-Regular"/>
          <w:sz w:val="32"/>
          <w:szCs w:val="32"/>
          <w:lang w:val="en-US"/>
        </w:rPr>
        <w:t>3512.13</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13.36</w:t>
      </w:r>
      <w:r>
        <w:rPr>
          <w:rFonts w:hint="eastAsia" w:ascii="仿宋_GB2312" w:eastAsia="仿宋_GB2312" w:cs="DengXian-Regular"/>
          <w:sz w:val="32"/>
          <w:szCs w:val="32"/>
        </w:rPr>
        <w:t>%，预算调整减少</w:t>
      </w:r>
      <w:r>
        <w:rPr>
          <w:rFonts w:hint="default" w:ascii="仿宋_GB2312" w:eastAsia="仿宋_GB2312" w:cs="DengXian-Regular"/>
          <w:sz w:val="32"/>
          <w:szCs w:val="32"/>
          <w:lang w:val="en-US"/>
        </w:rPr>
        <w:t>13</w:t>
      </w:r>
      <w:r>
        <w:rPr>
          <w:rFonts w:hint="eastAsia" w:ascii="仿宋_GB2312" w:eastAsia="仿宋_GB2312" w:cs="DengXian-Regular"/>
          <w:sz w:val="32"/>
          <w:szCs w:val="32"/>
        </w:rPr>
        <w:t>个百分点，扣分</w:t>
      </w:r>
      <w:r>
        <w:rPr>
          <w:rFonts w:hint="default" w:ascii="仿宋_GB2312" w:eastAsia="仿宋_GB2312" w:cs="DengXian-Regular"/>
          <w:sz w:val="32"/>
          <w:szCs w:val="32"/>
          <w:lang w:val="en-US"/>
        </w:rPr>
        <w:t>0.2</w:t>
      </w:r>
      <w:r>
        <w:rPr>
          <w:rFonts w:hint="eastAsia" w:ascii="仿宋_GB2312" w:eastAsia="仿宋_GB2312" w:cs="DengXian-Regular"/>
          <w:sz w:val="32"/>
          <w:szCs w:val="32"/>
        </w:rPr>
        <w:t>。</w:t>
      </w:r>
    </w:p>
    <w:p w14:paraId="2F94C2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w:t>
      </w:r>
      <w:r>
        <w:rPr>
          <w:rFonts w:hint="default" w:ascii="仿宋_GB2312" w:eastAsia="仿宋_GB2312" w:cs="DengXian-Regular"/>
          <w:sz w:val="32"/>
          <w:szCs w:val="32"/>
          <w:lang w:val="en-US"/>
        </w:rPr>
        <w:t>1.8</w:t>
      </w:r>
      <w:r>
        <w:rPr>
          <w:rFonts w:hint="eastAsia" w:ascii="仿宋_GB2312" w:eastAsia="仿宋_GB2312" w:cs="DengXian-Regular"/>
          <w:sz w:val="32"/>
          <w:szCs w:val="32"/>
        </w:rPr>
        <w:t>分。</w:t>
      </w:r>
    </w:p>
    <w:p w14:paraId="7809CF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A967E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628F3E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536924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3653.01</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3307.67</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110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w:t>
      </w:r>
      <w:r>
        <w:rPr>
          <w:rFonts w:hint="default" w:ascii="仿宋_GB2312" w:eastAsia="仿宋_GB2312" w:cs="DengXian-Regular"/>
          <w:sz w:val="32"/>
          <w:szCs w:val="32"/>
          <w:lang w:val="en-US"/>
        </w:rPr>
        <w:t>345.33</w:t>
      </w:r>
      <w:r>
        <w:rPr>
          <w:rFonts w:hint="eastAsia" w:ascii="仿宋_GB2312" w:eastAsia="仿宋_GB2312" w:cs="DengXian-Regular"/>
          <w:sz w:val="32"/>
          <w:szCs w:val="32"/>
        </w:rPr>
        <w:t>万元，故支出数大于收入数。</w:t>
      </w:r>
    </w:p>
    <w:p w14:paraId="15AC50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60AB2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7EE31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A6EDA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EC89C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85.5</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56.78</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66.4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225FD4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6E723C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7C7E5B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AB3F6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2AA56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143.51</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143.51</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745578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D8173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494A58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BDC85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32D7CD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797CB1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FE2B2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65DD4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年决算文本、明细账及总账，决算文本数据均与明细账、总账一致。</w:t>
      </w:r>
    </w:p>
    <w:p w14:paraId="5DCD11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3E0FF4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546D1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D6762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8A542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工作制度涵盖了财务制度、网络安全制度、公务用车制度等相关制度，经检查付款流程审批单、资产盘点表等资料，已按照相关管理制度的规定执行。</w:t>
      </w:r>
    </w:p>
    <w:p w14:paraId="37381E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6EB08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2EA5BE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001F5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7BFD44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3CC3D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9EA46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A95FB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单位提供的会计账簿、凭证及其他相关资料，单位会计信息资料真实完整，</w:t>
      </w:r>
    </w:p>
    <w:p w14:paraId="259EBC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EA339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36057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234B01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单位建立了固定资产台账、无形资产台账，资产保存完整，202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37.12</w:t>
      </w:r>
      <w:r>
        <w:rPr>
          <w:rFonts w:hint="eastAsia" w:ascii="仿宋_GB2312" w:eastAsia="仿宋_GB2312" w:cs="DengXian-Regular"/>
          <w:sz w:val="32"/>
          <w:szCs w:val="32"/>
        </w:rPr>
        <w:t>万元，包含：电脑及计算机设备、</w:t>
      </w:r>
      <w:r>
        <w:rPr>
          <w:rFonts w:hint="eastAsia" w:ascii="仿宋_GB2312" w:eastAsia="仿宋_GB2312" w:cs="DengXian-Regular"/>
          <w:sz w:val="32"/>
          <w:szCs w:val="32"/>
          <w:lang w:eastAsia="zh-CN"/>
        </w:rPr>
        <w:t>办公桌椅</w:t>
      </w:r>
      <w:r>
        <w:rPr>
          <w:rFonts w:hint="eastAsia" w:ascii="仿宋_GB2312" w:eastAsia="仿宋_GB2312" w:cs="DengXian-Regular"/>
          <w:sz w:val="32"/>
          <w:szCs w:val="32"/>
        </w:rPr>
        <w:t>，资产购置手续完备，配置符合要求，资产管理整体较规范。</w:t>
      </w:r>
    </w:p>
    <w:p w14:paraId="31F6F1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5F6A3F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25FA68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9BD60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3B24E3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7BFF7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13</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13</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13</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3E8ECE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4AFDB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8C6FE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64A3AA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643F3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13</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13</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6A4699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14:paraId="07D7FB52">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006AFB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672F6D6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1DA53A15">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45157C9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B396F5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844F73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B88525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F289CB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6F453C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37E787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AB7E0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6F61FB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0547A1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A6A5A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926677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32D2CBEB">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3A9F97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2E305A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D27F9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4AFE2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EF97D7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57DE30F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4EAC7E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856B70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F3E376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360815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2582CF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78D57CA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FC8A28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FFEB15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96B24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E0FAD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DC5250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6064F86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9B9EB2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734CE8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9661E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20FC1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A388AA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1E7717D3">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8CC05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F44D2A7">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A0EF5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F66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14:paraId="548C2FEC">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763393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706C53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17C096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0.5</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3307.39</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0.015</w:t>
      </w:r>
      <w:r>
        <w:rPr>
          <w:rFonts w:hint="eastAsia" w:ascii="仿宋_GB2312" w:eastAsia="仿宋_GB2312" w:cs="DengXian-Regular"/>
          <w:sz w:val="32"/>
          <w:szCs w:val="32"/>
        </w:rPr>
        <w:t>%，小于5%。</w:t>
      </w:r>
    </w:p>
    <w:p w14:paraId="5A976A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073EB7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B9D89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2852A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8B29E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505.4</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13</w:t>
      </w:r>
      <w:r>
        <w:rPr>
          <w:rFonts w:hint="eastAsia" w:ascii="仿宋_GB2312" w:eastAsia="仿宋_GB2312" w:cs="DengXian-Regular"/>
          <w:sz w:val="32"/>
          <w:szCs w:val="32"/>
        </w:rPr>
        <w:t>个项目，预算数万</w:t>
      </w:r>
      <w:r>
        <w:rPr>
          <w:rFonts w:hint="default" w:ascii="仿宋_GB2312" w:eastAsia="仿宋_GB2312" w:cs="DengXian-Regular"/>
          <w:sz w:val="32"/>
          <w:szCs w:val="32"/>
          <w:lang w:val="en-US"/>
        </w:rPr>
        <w:t>505.4</w:t>
      </w:r>
      <w:r>
        <w:rPr>
          <w:rFonts w:hint="eastAsia" w:ascii="仿宋_GB2312" w:eastAsia="仿宋_GB2312" w:cs="DengXian-Regular"/>
          <w:sz w:val="32"/>
          <w:szCs w:val="32"/>
        </w:rPr>
        <w:t>元</w:t>
      </w:r>
      <w:bookmarkStart w:id="80" w:name="_GoBack"/>
      <w:bookmarkEnd w:id="80"/>
      <w:r>
        <w:rPr>
          <w:rFonts w:hint="eastAsia" w:ascii="仿宋_GB2312" w:eastAsia="仿宋_GB2312" w:cs="DengXian-Regular"/>
          <w:sz w:val="32"/>
          <w:szCs w:val="32"/>
        </w:rPr>
        <w:t>。</w:t>
      </w:r>
    </w:p>
    <w:p w14:paraId="3A2485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0FBF1546">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6C74C6E1">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C8EB94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898FCE4">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2A812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38F24B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5A84266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7684B84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2D8C67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5BB1EEC">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CE02E4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8607A0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CAA99F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9FF589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AC6D0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8943B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AC8B2D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494537F9">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1C3B1529">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A79F3C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82C7F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D639B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E8BE73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624180F8">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7B32CB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33465A0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DF9B1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53E42B0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14:paraId="5C77161D">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14:paraId="146309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4EBABD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提供的相关资料，履行职责对社会发展所带来的社会效益较显著，有效的提高了社会公众的</w:t>
      </w:r>
      <w:r>
        <w:rPr>
          <w:rFonts w:hint="eastAsia" w:ascii="仿宋_GB2312" w:eastAsia="仿宋_GB2312" w:cs="DengXian-Regular"/>
          <w:sz w:val="32"/>
          <w:szCs w:val="32"/>
          <w:lang w:eastAsia="zh-CN"/>
        </w:rPr>
        <w:t>服务</w:t>
      </w:r>
      <w:r>
        <w:rPr>
          <w:rFonts w:hint="eastAsia" w:ascii="仿宋_GB2312" w:eastAsia="仿宋_GB2312" w:cs="DengXian-Regular"/>
          <w:sz w:val="32"/>
          <w:szCs w:val="32"/>
        </w:rPr>
        <w:t>意识，</w:t>
      </w:r>
      <w:r>
        <w:rPr>
          <w:rFonts w:hint="eastAsia" w:ascii="仿宋_GB2312" w:eastAsia="仿宋_GB2312" w:cs="DengXian-Regular"/>
          <w:sz w:val="32"/>
          <w:szCs w:val="32"/>
          <w:lang w:eastAsia="zh-CN"/>
        </w:rPr>
        <w:t>优化营商环境，</w:t>
      </w:r>
      <w:r>
        <w:rPr>
          <w:rFonts w:hint="eastAsia" w:ascii="仿宋_GB2312" w:eastAsia="仿宋_GB2312" w:cs="DengXian-Regular"/>
          <w:sz w:val="32"/>
          <w:szCs w:val="32"/>
        </w:rPr>
        <w:t>减少了社会</w:t>
      </w:r>
      <w:r>
        <w:rPr>
          <w:rFonts w:hint="eastAsia" w:ascii="仿宋_GB2312" w:eastAsia="仿宋_GB2312" w:cs="DengXian-Regular"/>
          <w:sz w:val="32"/>
          <w:szCs w:val="32"/>
          <w:lang w:eastAsia="zh-CN"/>
        </w:rPr>
        <w:t>不稳定</w:t>
      </w:r>
      <w:r>
        <w:rPr>
          <w:rFonts w:hint="eastAsia" w:ascii="仿宋_GB2312" w:eastAsia="仿宋_GB2312" w:cs="DengXian-Regular"/>
          <w:sz w:val="32"/>
          <w:szCs w:val="32"/>
        </w:rPr>
        <w:t>因素。</w:t>
      </w:r>
    </w:p>
    <w:p w14:paraId="518557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61905B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06D4CB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1750276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0052F12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251A2494">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34C4814A">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D739E7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82232C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D58946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2CE872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6885B0D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F313A9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510899E5">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0831B1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eastAsia="zh-CN"/>
              </w:rPr>
              <w:t>双随机</w:t>
            </w:r>
            <w:r>
              <w:rPr>
                <w:rFonts w:hint="eastAsia" w:cs="Times New Roman" w:asciiTheme="minorEastAsia" w:hAnsiTheme="minorEastAsia" w:eastAsiaTheme="minorEastAsia"/>
                <w:sz w:val="21"/>
                <w:szCs w:val="21"/>
                <w:u w:color="000000"/>
              </w:rPr>
              <w:t>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4F519F2D">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12DF52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9B7C7B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75DC11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30ECA6D">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172B4EC9">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AB5F3C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保定市徐水区市场监督管理局回复</w:t>
            </w:r>
            <w:r>
              <w:rPr>
                <w:rFonts w:cs="Times New Roman" w:asciiTheme="minorEastAsia" w:hAnsiTheme="minorEastAsia" w:eastAsiaTheme="minorEastAsia"/>
                <w:sz w:val="21"/>
                <w:szCs w:val="21"/>
                <w:u w:color="000000"/>
              </w:rPr>
              <w:t>的消息</w:t>
            </w:r>
          </w:p>
        </w:tc>
        <w:tc>
          <w:tcPr>
            <w:tcW w:w="1114" w:type="dxa"/>
            <w:tcBorders>
              <w:top w:val="single" w:color="000000" w:sz="4" w:space="0"/>
              <w:left w:val="single" w:color="000000" w:sz="4" w:space="0"/>
              <w:bottom w:val="single" w:color="000000" w:sz="4" w:space="0"/>
              <w:right w:val="single" w:color="000000" w:sz="4" w:space="0"/>
            </w:tcBorders>
            <w:vAlign w:val="center"/>
          </w:tcPr>
          <w:p w14:paraId="4D3DE015">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127C228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60B24E8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8FB3D5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9605060">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1987294C">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1BB2B6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w:t>
            </w:r>
            <w:r>
              <w:rPr>
                <w:rFonts w:hint="eastAsia" w:cs="Times New Roman" w:asciiTheme="minorEastAsia" w:hAnsiTheme="minorEastAsia" w:eastAsiaTheme="minorEastAsia"/>
                <w:sz w:val="21"/>
                <w:szCs w:val="21"/>
                <w:u w:color="000000"/>
                <w:lang w:eastAsia="zh-CN"/>
              </w:rPr>
              <w:t>企业年报公示</w:t>
            </w:r>
            <w:r>
              <w:rPr>
                <w:rFonts w:hint="eastAsia" w:cs="Times New Roman" w:asciiTheme="minorEastAsia" w:hAnsiTheme="minorEastAsia" w:eastAsiaTheme="minorEastAsia"/>
                <w:sz w:val="21"/>
                <w:szCs w:val="21"/>
                <w:u w:color="000000"/>
              </w:rPr>
              <w:t>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413E4422">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179118E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6A931B0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94F2BA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84AB1FA">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bl>
    <w:p w14:paraId="2677B7A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701232B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3C7258E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483448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100</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15B2442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14:paraId="701408F9">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07EE537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eastAsia="zh-CN"/>
        </w:rPr>
        <w:t>市场监督管理局</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12DCD753">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eastAsia="zh-CN"/>
        </w:rPr>
        <w:t>尽可能再细化，可评估</w:t>
      </w:r>
    </w:p>
    <w:p w14:paraId="4727D985">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2.预算决算比较。</w:t>
      </w:r>
      <w:r>
        <w:rPr>
          <w:rFonts w:hint="eastAsia" w:ascii="仿宋_GB2312" w:eastAsia="仿宋_GB2312" w:cs="Times New Roman" w:hAnsiTheme="minorEastAsia"/>
          <w:sz w:val="32"/>
          <w:szCs w:val="32"/>
          <w:u w:color="000000"/>
          <w:lang w:eastAsia="zh-CN"/>
        </w:rPr>
        <w:t>按文件要求制定单位预算，量入为出。</w:t>
      </w:r>
    </w:p>
    <w:p w14:paraId="6300A480">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3.预算追加方面</w:t>
      </w:r>
      <w:r>
        <w:rPr>
          <w:rFonts w:hint="eastAsia" w:ascii="仿宋_GB2312" w:eastAsia="仿宋_GB2312" w:cs="Times New Roman" w:hAnsiTheme="minorEastAsia"/>
          <w:sz w:val="32"/>
          <w:szCs w:val="32"/>
          <w:u w:color="000000"/>
          <w:lang w:eastAsia="zh-CN"/>
        </w:rPr>
        <w:t>。按实际工作需求，向财政部门申请预算经费追加</w:t>
      </w:r>
    </w:p>
    <w:p w14:paraId="0AE36C41">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4.政府采购方面</w:t>
      </w:r>
      <w:r>
        <w:rPr>
          <w:rFonts w:hint="eastAsia" w:ascii="仿宋_GB2312" w:eastAsia="仿宋_GB2312" w:cs="Times New Roman" w:hAnsiTheme="minorEastAsia"/>
          <w:sz w:val="32"/>
          <w:szCs w:val="32"/>
          <w:u w:color="000000"/>
          <w:lang w:eastAsia="zh-CN"/>
        </w:rPr>
        <w:t>。严格按照采购要求，预留中小企业份额，清理保障金。</w:t>
      </w:r>
    </w:p>
    <w:p w14:paraId="0B20A845">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Times New Roman" w:hAnsiTheme="minorEastAsia"/>
          <w:sz w:val="32"/>
          <w:szCs w:val="32"/>
          <w:u w:color="000000"/>
          <w:lang w:eastAsia="zh-CN"/>
        </w:rPr>
        <w:t>。严格按支出进度支付资金，专款专用。</w:t>
      </w:r>
    </w:p>
    <w:bookmarkEnd w:id="75"/>
    <w:bookmarkEnd w:id="76"/>
    <w:p w14:paraId="50BBE3CE">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29A8B809">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市场监督管理局</w:t>
      </w:r>
      <w:r>
        <w:rPr>
          <w:rFonts w:hint="eastAsia" w:ascii="仿宋_GB2312" w:eastAsia="仿宋_GB2312" w:cs="Times New Roman" w:hAnsiTheme="minorEastAsia"/>
          <w:sz w:val="32"/>
          <w:szCs w:val="32"/>
          <w:u w:color="000000"/>
        </w:rPr>
        <w:t>基本情况及主要职责</w:t>
      </w:r>
    </w:p>
    <w:p w14:paraId="6C1628DE">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市场监督管理局</w:t>
      </w:r>
      <w:r>
        <w:rPr>
          <w:rFonts w:hint="eastAsia" w:ascii="仿宋_GB2312" w:eastAsia="仿宋_GB2312" w:cs="Times New Roman" w:hAnsiTheme="minorEastAsia"/>
          <w:sz w:val="32"/>
          <w:szCs w:val="32"/>
          <w:u w:color="000000"/>
        </w:rPr>
        <w:t>收支预算及决算明细表</w:t>
      </w:r>
    </w:p>
    <w:p w14:paraId="1A69995C">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26D76D45">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市场监督管理局</w:t>
      </w:r>
      <w:r>
        <w:rPr>
          <w:rFonts w:hint="eastAsia" w:ascii="仿宋_GB2312" w:eastAsia="仿宋_GB2312" w:cs="Times New Roman" w:hAnsiTheme="minorEastAsia"/>
          <w:sz w:val="32"/>
          <w:szCs w:val="32"/>
          <w:u w:color="000000"/>
        </w:rPr>
        <w:t>工作活动绩效目标、绩效指标一览表</w:t>
      </w:r>
      <w:bookmarkEnd w:id="77"/>
    </w:p>
    <w:p w14:paraId="4656200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0BF37E3">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B7F5DC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782371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5E535A05">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7D58">
    <w:pPr>
      <w:pStyle w:val="14"/>
      <w:jc w:val="center"/>
    </w:pPr>
  </w:p>
  <w:p w14:paraId="50F5601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5380">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4755AAB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105C9A"/>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093EF0"/>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9652A6"/>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file:///C:\Users\Lenovo\Desktop\&#26032;&#24314;%20XLSX%20&#24037;&#20316;&#34920;%20(2).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Lenovo\Desktop\&#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2021年度预算收入与决算收入对比图</a:t>
            </a:r>
          </a:p>
        </c:rich>
      </c:tx>
      <c:layout>
        <c:manualLayout>
          <c:xMode val="edge"/>
          <c:yMode val="edge"/>
          <c:x val="0.186409052606237"/>
          <c:y val="0.00684150513112889"/>
        </c:manualLayout>
      </c:layout>
      <c:overlay val="0"/>
      <c:spPr>
        <a:noFill/>
        <a:ln>
          <a:noFill/>
        </a:ln>
        <a:effectLst/>
      </c:spPr>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'[新建 XLSX 工作表 (2).xlsx]Sheet1'!$G$7</c:f>
              <c:strCache>
                <c:ptCount val="1"/>
                <c:pt idx="0">
                  <c:v>一般公共服务支出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(2).xlsx]Sheet1'!$G$8:$G$9</c:f>
              <c:numCache>
                <c:formatCode>General</c:formatCode>
                <c:ptCount val="2"/>
                <c:pt idx="0">
                  <c:v>2888.04</c:v>
                </c:pt>
                <c:pt idx="1">
                  <c:v>2888.04</c:v>
                </c:pt>
              </c:numCache>
            </c:numRef>
          </c:val>
        </c:ser>
        <c:ser>
          <c:idx val="1"/>
          <c:order val="1"/>
          <c:tx>
            <c:strRef>
              <c:f>'[新建 XLSX 工作表 (2).xlsx]Sheet1'!$H$7</c:f>
              <c:strCache>
                <c:ptCount val="1"/>
                <c:pt idx="0">
                  <c:v>社会保障就业支出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(2).xlsx]Sheet1'!$H$8:$H$9</c:f>
              <c:numCache>
                <c:formatCode>General</c:formatCode>
                <c:ptCount val="2"/>
                <c:pt idx="0">
                  <c:v>477.29</c:v>
                </c:pt>
                <c:pt idx="1">
                  <c:v>477.29</c:v>
                </c:pt>
              </c:numCache>
            </c:numRef>
          </c:val>
        </c:ser>
        <c:ser>
          <c:idx val="2"/>
          <c:order val="2"/>
          <c:tx>
            <c:strRef>
              <c:f>'[新建 XLSX 工作表 (2).xlsx]Sheet1'!$I$7</c:f>
              <c:strCache>
                <c:ptCount val="1"/>
                <c:pt idx="0">
                  <c:v>卫生健康支出</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(2).xlsx]Sheet1'!$I$8:$I$9</c:f>
              <c:numCache>
                <c:formatCode>General</c:formatCode>
                <c:ptCount val="2"/>
                <c:pt idx="0">
                  <c:v>102.93</c:v>
                </c:pt>
                <c:pt idx="1">
                  <c:v>102.93</c:v>
                </c:pt>
              </c:numCache>
            </c:numRef>
          </c:val>
        </c:ser>
        <c:ser>
          <c:idx val="3"/>
          <c:order val="3"/>
          <c:tx>
            <c:strRef>
              <c:f>'[新建 XLSX 工作表 (2).xlsx]Sheet1'!$J$7</c:f>
              <c:strCache>
                <c:ptCount val="1"/>
                <c:pt idx="0">
                  <c:v>住房保障支出</c:v>
                </c:pt>
              </c:strCache>
            </c:strRef>
          </c:tx>
          <c:spPr>
            <a:solidFill>
              <a:schemeClr val="accent4"/>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(2).xlsx]Sheet1'!$J$8:$J$9</c:f>
              <c:numCache>
                <c:formatCode>General</c:formatCode>
                <c:ptCount val="2"/>
                <c:pt idx="0">
                  <c:v>184.74</c:v>
                </c:pt>
                <c:pt idx="1">
                  <c:v>184.74</c:v>
                </c:pt>
              </c:numCache>
            </c:numRef>
          </c:val>
        </c:ser>
        <c:dLbls>
          <c:showLegendKey val="0"/>
          <c:showVal val="1"/>
          <c:showCatName val="0"/>
          <c:showSerName val="0"/>
          <c:showPercent val="0"/>
          <c:showBubbleSize val="0"/>
        </c:dLbls>
        <c:gapWidth val="219"/>
        <c:overlap val="-27"/>
        <c:axId val="157344128"/>
        <c:axId val="157345664"/>
      </c:barChart>
      <c:catAx>
        <c:axId val="15734412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3441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ff0d45-c154-4d39-94ab-457b0c9b4e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2021年度预算收入与决算收入对比图</a:t>
            </a:r>
          </a:p>
        </c:rich>
      </c:tx>
      <c:layout>
        <c:manualLayout>
          <c:xMode val="edge"/>
          <c:yMode val="edge"/>
          <c:x val="0.186409052606237"/>
          <c:y val="0.00684150513112889"/>
        </c:manualLayout>
      </c:layout>
      <c:overlay val="0"/>
      <c:spPr>
        <a:noFill/>
        <a:ln>
          <a:noFill/>
        </a:ln>
        <a:effectLst/>
      </c:spPr>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'[新建 XLSX 工作表 (2).xlsx]Sheet1'!$G$7</c:f>
              <c:strCache>
                <c:ptCount val="1"/>
                <c:pt idx="0">
                  <c:v>一般公共服务支出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(2).xlsx]Sheet1'!$G$8:$G$9</c:f>
              <c:numCache>
                <c:formatCode>General</c:formatCode>
                <c:ptCount val="2"/>
                <c:pt idx="0">
                  <c:v>2888.04</c:v>
                </c:pt>
                <c:pt idx="1">
                  <c:v>2888.04</c:v>
                </c:pt>
              </c:numCache>
            </c:numRef>
          </c:val>
        </c:ser>
        <c:ser>
          <c:idx val="1"/>
          <c:order val="1"/>
          <c:tx>
            <c:strRef>
              <c:f>'[新建 XLSX 工作表 (2).xlsx]Sheet1'!$H$7</c:f>
              <c:strCache>
                <c:ptCount val="1"/>
                <c:pt idx="0">
                  <c:v>社会保障就业支出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(2).xlsx]Sheet1'!$H$8:$H$9</c:f>
              <c:numCache>
                <c:formatCode>General</c:formatCode>
                <c:ptCount val="2"/>
                <c:pt idx="0">
                  <c:v>477.29</c:v>
                </c:pt>
                <c:pt idx="1">
                  <c:v>477.29</c:v>
                </c:pt>
              </c:numCache>
            </c:numRef>
          </c:val>
        </c:ser>
        <c:ser>
          <c:idx val="2"/>
          <c:order val="2"/>
          <c:tx>
            <c:strRef>
              <c:f>'[新建 XLSX 工作表 (2).xlsx]Sheet1'!$I$7</c:f>
              <c:strCache>
                <c:ptCount val="1"/>
                <c:pt idx="0">
                  <c:v>卫生健康支出</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(2).xlsx]Sheet1'!$I$8:$I$9</c:f>
              <c:numCache>
                <c:formatCode>General</c:formatCode>
                <c:ptCount val="2"/>
                <c:pt idx="0">
                  <c:v>102.93</c:v>
                </c:pt>
                <c:pt idx="1">
                  <c:v>102.93</c:v>
                </c:pt>
              </c:numCache>
            </c:numRef>
          </c:val>
        </c:ser>
        <c:ser>
          <c:idx val="3"/>
          <c:order val="3"/>
          <c:tx>
            <c:strRef>
              <c:f>'[新建 XLSX 工作表 (2).xlsx]Sheet1'!$J$7</c:f>
              <c:strCache>
                <c:ptCount val="1"/>
                <c:pt idx="0">
                  <c:v>住房保障支出</c:v>
                </c:pt>
              </c:strCache>
            </c:strRef>
          </c:tx>
          <c:spPr>
            <a:solidFill>
              <a:schemeClr val="accent4"/>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 (2).xlsx]Sheet1'!$F$8:$F$9</c:f>
              <c:strCache>
                <c:ptCount val="2"/>
                <c:pt idx="0">
                  <c:v>预算数</c:v>
                </c:pt>
                <c:pt idx="1">
                  <c:v>决算数</c:v>
                </c:pt>
              </c:strCache>
            </c:strRef>
          </c:cat>
          <c:val>
            <c:numRef>
              <c:f>'[新建 XLSX 工作表 (2).xlsx]Sheet1'!$J$8:$J$9</c:f>
              <c:numCache>
                <c:formatCode>General</c:formatCode>
                <c:ptCount val="2"/>
                <c:pt idx="0">
                  <c:v>184.74</c:v>
                </c:pt>
                <c:pt idx="1">
                  <c:v>184.74</c:v>
                </c:pt>
              </c:numCache>
            </c:numRef>
          </c:val>
        </c:ser>
        <c:dLbls>
          <c:showLegendKey val="0"/>
          <c:showVal val="1"/>
          <c:showCatName val="0"/>
          <c:showSerName val="0"/>
          <c:showPercent val="0"/>
          <c:showBubbleSize val="0"/>
        </c:dLbls>
        <c:gapWidth val="219"/>
        <c:overlap val="-27"/>
        <c:axId val="157344128"/>
        <c:axId val="157345664"/>
      </c:barChart>
      <c:catAx>
        <c:axId val="15734412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3441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d14a49-9414-4f32-8b92-5d915eb5532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1.80547979171832</cdr:x>
      <cdr:y>0.561618497109827</cdr:y>
    </cdr:from>
    <cdr:to>
      <cdr:x>1</cdr:x>
      <cdr:y>0.599306358381503</cdr:y>
    </cdr:to>
    <cdr:sp>
      <cdr:nvSpPr>
        <cdr:cNvPr id="2" name="矩形 1"/>
        <cdr:cNvSpPr/>
      </cdr:nvSpPr>
      <cdr:spPr xmlns:a="http://schemas.openxmlformats.org/drawingml/2006/main">
        <a:xfrm xmlns:a="http://schemas.openxmlformats.org/drawingml/2006/main">
          <a:off x="5121910" y="1542415"/>
          <a:ext cx="4125595" cy="10350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1.80547979171832</cdr:x>
      <cdr:y>0.561618497109827</cdr:y>
    </cdr:from>
    <cdr:to>
      <cdr:x>1</cdr:x>
      <cdr:y>0.599306358381503</cdr:y>
    </cdr:to>
    <cdr:sp>
      <cdr:nvSpPr>
        <cdr:cNvPr id="2" name="矩形 1"/>
        <cdr:cNvSpPr/>
      </cdr:nvSpPr>
      <cdr:spPr xmlns:a="http://schemas.openxmlformats.org/drawingml/2006/main">
        <a:xfrm xmlns:a="http://schemas.openxmlformats.org/drawingml/2006/main">
          <a:off x="5121910" y="1542415"/>
          <a:ext cx="4125595" cy="10350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12429</Words>
  <Characters>13403</Characters>
  <Lines>102</Lines>
  <Paragraphs>28</Paragraphs>
  <TotalTime>29</TotalTime>
  <ScaleCrop>false</ScaleCrop>
  <LinksUpToDate>false</LinksUpToDate>
  <CharactersWithSpaces>13571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viola</cp:lastModifiedBy>
  <cp:lastPrinted>2022-11-18T06:56:00Z</cp:lastPrinted>
  <dcterms:modified xsi:type="dcterms:W3CDTF">2025-05-12T02:08:45Z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075B885C8989417194DAE65D58C93277</vt:lpwstr>
  </property>
  <property fmtid="{D5CDD505-2E9C-101B-9397-08002B2CF9AE}" pid="4" name="KSOTemplateDocerSaveRecord">
    <vt:lpwstr>eyJoZGlkIjoiNDExN2M1Y2EwMTM5NzExZDYxZGRhZmJmNDgzNThmYjciLCJ1c2VySWQiOiI2OTk3NDA1NzAifQ==</vt:lpwstr>
  </property>
</Properties>
</file>