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91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71F9BDE">
      <w:pPr>
        <w:widowControl w:val="0"/>
        <w:adjustRightInd/>
        <w:snapToGrid/>
        <w:spacing w:after="0" w:line="480" w:lineRule="auto"/>
        <w:ind w:firstLine="960"/>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保定市徐水区市场监督管理局</w:t>
      </w:r>
    </w:p>
    <w:p w14:paraId="4423DEAF">
      <w:pPr>
        <w:widowControl w:val="0"/>
        <w:adjustRightInd/>
        <w:snapToGrid/>
        <w:spacing w:after="0" w:line="480" w:lineRule="auto"/>
        <w:ind w:firstLine="960"/>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w:t>
      </w:r>
    </w:p>
    <w:p w14:paraId="1EB1DCC2">
      <w:pPr>
        <w:widowControl w:val="0"/>
        <w:adjustRightInd/>
        <w:snapToGrid/>
        <w:spacing w:after="0" w:line="480" w:lineRule="auto"/>
        <w:ind w:firstLine="960"/>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自评报告</w:t>
      </w:r>
    </w:p>
    <w:p w14:paraId="0BCE695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9A8A4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21385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C7727F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A6906B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7E7B1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1AB737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E4006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06D09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7E110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3C96EF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674FF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838205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DEBEB9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46C05D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4E697B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87504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475C7A9B">
          <w:pPr>
            <w:pStyle w:val="71"/>
            <w:ind w:firstLine="440" w:firstLineChars="200"/>
            <w:jc w:val="center"/>
            <w:rPr>
              <w:color w:val="auto"/>
              <w:sz w:val="44"/>
              <w:szCs w:val="44"/>
              <w:lang w:val="zh-CN"/>
            </w:rPr>
          </w:pPr>
          <w:r>
            <w:rPr>
              <w:color w:val="auto"/>
              <w:sz w:val="44"/>
              <w:szCs w:val="44"/>
              <w:lang w:val="zh-CN"/>
            </w:rPr>
            <w:t>目录</w:t>
          </w:r>
        </w:p>
        <w:p w14:paraId="319CAB81">
          <w:pPr>
            <w:pStyle w:val="18"/>
            <w:tabs>
              <w:tab w:val="right" w:leader="dot" w:pos="8302"/>
            </w:tabs>
            <w:ind w:left="440"/>
            <w:rPr>
              <w:rFonts w:asciiTheme="minorHAnsi" w:hAnsiTheme="minorHAnsi" w:eastAsiaTheme="minorEastAsia" w:cstheme="minorBidi"/>
              <w:sz w:val="21"/>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"_Toc58195223" </w:instrText>
          </w:r>
          <w:r>
            <w:fldChar w:fldCharType="separate"/>
          </w:r>
          <w:r>
            <w:rPr>
              <w:rStyle w:val="28"/>
              <w:rFonts w:hint="eastAsia" w:ascii="黑体" w:hAnsi="黑体"/>
            </w:rPr>
            <w:t>第一部分</w:t>
          </w:r>
          <w:r>
            <w:rPr>
              <w:rStyle w:val="28"/>
              <w:rFonts w:ascii="黑体" w:hAnsi="黑体"/>
            </w:rPr>
            <w:t xml:space="preserve">   </w:t>
          </w:r>
          <w:r>
            <w:rPr>
              <w:rStyle w:val="28"/>
              <w:rFonts w:hint="eastAsia" w:ascii="黑体" w:hAnsi="黑体"/>
            </w:rPr>
            <w:t>摘</w:t>
          </w:r>
          <w:r>
            <w:rPr>
              <w:rStyle w:val="28"/>
              <w:rFonts w:ascii="黑体" w:hAnsi="黑体"/>
            </w:rPr>
            <w:t xml:space="preserve">  </w:t>
          </w:r>
          <w:r>
            <w:rPr>
              <w:rStyle w:val="28"/>
              <w:rFonts w:hint="eastAsia" w:ascii="黑体" w:hAnsi="黑体"/>
            </w:rPr>
            <w:t>要</w:t>
          </w:r>
          <w:r>
            <w:tab/>
          </w:r>
          <w:r>
            <w:fldChar w:fldCharType="begin"/>
          </w:r>
          <w:r>
            <w:instrText xml:space="preserve"> PAGEREF _Toc58195223 \h </w:instrText>
          </w:r>
          <w:r>
            <w:fldChar w:fldCharType="separate"/>
          </w:r>
          <w:r>
            <w:t>1</w:t>
          </w:r>
          <w:r>
            <w:fldChar w:fldCharType="end"/>
          </w:r>
          <w:r>
            <w:fldChar w:fldCharType="end"/>
          </w:r>
        </w:p>
        <w:p w14:paraId="1B631A1C">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"_Toc58195224" </w:instrText>
          </w:r>
          <w:r>
            <w:fldChar w:fldCharType="separate"/>
          </w:r>
          <w:r>
            <w:rPr>
              <w:rStyle w:val="28"/>
              <w:rFonts w:hint="eastAsia" w:ascii="黑体" w:hAnsi="黑体"/>
            </w:rPr>
            <w:t>第二部分</w:t>
          </w:r>
          <w:r>
            <w:rPr>
              <w:rStyle w:val="28"/>
              <w:rFonts w:ascii="黑体" w:hAnsi="黑体"/>
            </w:rPr>
            <w:t xml:space="preserve">   </w:t>
          </w:r>
          <w:r>
            <w:rPr>
              <w:rStyle w:val="28"/>
              <w:rFonts w:hint="eastAsia" w:ascii="黑体" w:hAnsi="黑体"/>
            </w:rPr>
            <w:t>绩效评价报告</w:t>
          </w:r>
          <w:r>
            <w:tab/>
          </w:r>
          <w:r>
            <w:fldChar w:fldCharType="begin"/>
          </w:r>
          <w:r>
            <w:instrText xml:space="preserve"> PAGEREF _Toc58195224 \h </w:instrText>
          </w:r>
          <w:r>
            <w:fldChar w:fldCharType="separate"/>
          </w:r>
          <w:r>
            <w:t>8</w:t>
          </w:r>
          <w:r>
            <w:fldChar w:fldCharType="end"/>
          </w:r>
          <w:r>
            <w:fldChar w:fldCharType="end"/>
          </w:r>
        </w:p>
        <w:p w14:paraId="33252404">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"_Toc58195225" </w:instrText>
          </w:r>
          <w:r>
            <w:fldChar w:fldCharType="separate"/>
          </w:r>
          <w:r>
            <w:rPr>
              <w:rStyle w:val="28"/>
              <w:rFonts w:hint="eastAsia" w:ascii="楷体" w:hAnsi="楷体" w:eastAsia="楷体" w:cs="楷体"/>
            </w:rPr>
            <w:t>一、保定市徐水保定市徐水区市场监督管理局基本情况</w:t>
          </w:r>
          <w:r>
            <w:tab/>
          </w:r>
          <w:r>
            <w:fldChar w:fldCharType="begin"/>
          </w:r>
          <w:r>
            <w:instrText xml:space="preserve"> PAGEREF _Toc58195225 \h </w:instrText>
          </w:r>
          <w:r>
            <w:fldChar w:fldCharType="separate"/>
          </w:r>
          <w:r>
            <w:t>8</w:t>
          </w:r>
          <w:r>
            <w:fldChar w:fldCharType="end"/>
          </w:r>
          <w:r>
            <w:fldChar w:fldCharType="end"/>
          </w:r>
        </w:p>
        <w:p w14:paraId="6ADA831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"_Toc58195226" </w:instrText>
          </w:r>
          <w:r>
            <w:fldChar w:fldCharType="separate"/>
          </w:r>
          <w:r>
            <w:rPr>
              <w:rStyle w:val="28"/>
              <w:rFonts w:hint="eastAsia" w:ascii="仿宋_GB2312" w:hAnsi="Tahoma" w:cs="DengXian-Regular"/>
            </w:rPr>
            <w:t>（一）部门职责和工作活动</w:t>
          </w:r>
          <w:r>
            <w:tab/>
          </w:r>
          <w:r>
            <w:fldChar w:fldCharType="begin"/>
          </w:r>
          <w:r>
            <w:instrText xml:space="preserve"> PAGEREF _Toc58195226 \h </w:instrText>
          </w:r>
          <w:r>
            <w:fldChar w:fldCharType="separate"/>
          </w:r>
          <w:r>
            <w:t>8</w:t>
          </w:r>
          <w:r>
            <w:fldChar w:fldCharType="end"/>
          </w:r>
          <w:r>
            <w:fldChar w:fldCharType="end"/>
          </w:r>
        </w:p>
        <w:p w14:paraId="4ACED36B">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"_Toc58195227" </w:instrText>
          </w:r>
          <w:r>
            <w:fldChar w:fldCharType="separate"/>
          </w:r>
          <w:r>
            <w:rPr>
              <w:rStyle w:val="28"/>
              <w:rFonts w:hint="eastAsia" w:ascii="仿宋_GB2312" w:hAnsi="Tahoma" w:cs="DengXian-Regular"/>
            </w:rPr>
            <w:t>（二）部门年度发展规划总体目标和职责分类绩效目标</w:t>
          </w:r>
          <w:r>
            <w:tab/>
          </w:r>
          <w:r>
            <w:fldChar w:fldCharType="begin"/>
          </w:r>
          <w:r>
            <w:instrText xml:space="preserve"> PAGEREF _Toc58195227 \h </w:instrText>
          </w:r>
          <w:r>
            <w:fldChar w:fldCharType="separate"/>
          </w:r>
          <w:r>
            <w:t>9</w:t>
          </w:r>
          <w:r>
            <w:fldChar w:fldCharType="end"/>
          </w:r>
          <w:r>
            <w:fldChar w:fldCharType="end"/>
          </w:r>
        </w:p>
        <w:p w14:paraId="216B7C0D">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"_Toc58195228" </w:instrText>
          </w:r>
          <w:r>
            <w:fldChar w:fldCharType="separate"/>
          </w:r>
          <w:r>
            <w:rPr>
              <w:rStyle w:val="28"/>
              <w:rFonts w:hint="eastAsia" w:ascii="仿宋_GB2312" w:hAnsiTheme="minorEastAsia"/>
            </w:rPr>
            <w:t>（四）预算支出及决算支出</w:t>
          </w:r>
          <w:r>
            <w:tab/>
          </w:r>
          <w:r>
            <w:fldChar w:fldCharType="begin"/>
          </w:r>
          <w:r>
            <w:instrText xml:space="preserve"> PAGEREF _Toc58195228 \h </w:instrText>
          </w:r>
          <w:r>
            <w:fldChar w:fldCharType="separate"/>
          </w:r>
          <w:r>
            <w:t>11</w:t>
          </w:r>
          <w:r>
            <w:fldChar w:fldCharType="end"/>
          </w:r>
          <w:r>
            <w:fldChar w:fldCharType="end"/>
          </w:r>
        </w:p>
        <w:p w14:paraId="4382900D">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"_Toc58195229" </w:instrText>
          </w:r>
          <w:r>
            <w:fldChar w:fldCharType="separate"/>
          </w:r>
          <w:r>
            <w:rPr>
              <w:rStyle w:val="28"/>
              <w:rFonts w:hint="eastAsia" w:ascii="仿宋_GB2312" w:hAnsi="Tahoma" w:cs="DengXian-Regular"/>
            </w:rPr>
            <w:t>（五）“三公”经费预算安排及支出情况</w:t>
          </w:r>
          <w:r>
            <w:tab/>
          </w:r>
          <w:r>
            <w:fldChar w:fldCharType="begin"/>
          </w:r>
          <w:r>
            <w:instrText xml:space="preserve"> PAGEREF _Toc58195229 \h </w:instrText>
          </w:r>
          <w:r>
            <w:fldChar w:fldCharType="separate"/>
          </w:r>
          <w:r>
            <w:t>12</w:t>
          </w:r>
          <w:r>
            <w:fldChar w:fldCharType="end"/>
          </w:r>
          <w:r>
            <w:fldChar w:fldCharType="end"/>
          </w:r>
        </w:p>
        <w:p w14:paraId="1559BEBF">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"_Toc58195230" </w:instrText>
          </w:r>
          <w:r>
            <w:fldChar w:fldCharType="separate"/>
          </w:r>
          <w:r>
            <w:rPr>
              <w:rStyle w:val="28"/>
              <w:rFonts w:hint="eastAsia" w:ascii="黑体"/>
            </w:rPr>
            <w:t>二、部门整体支出绩效评价指标体系设定情况</w:t>
          </w:r>
          <w:r>
            <w:tab/>
          </w:r>
          <w:r>
            <w:fldChar w:fldCharType="begin"/>
          </w:r>
          <w:r>
            <w:instrText xml:space="preserve"> PAGEREF _Toc58195230 \h </w:instrText>
          </w:r>
          <w:r>
            <w:fldChar w:fldCharType="separate"/>
          </w:r>
          <w:r>
            <w:t>13</w:t>
          </w:r>
          <w:r>
            <w:fldChar w:fldCharType="end"/>
          </w:r>
          <w:r>
            <w:fldChar w:fldCharType="end"/>
          </w:r>
        </w:p>
        <w:p w14:paraId="4C97F91C">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"_Toc58195231"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_Toc58195231 \h </w:instrText>
          </w:r>
          <w:r>
            <w:fldChar w:fldCharType="separate"/>
          </w:r>
          <w:r>
            <w:t>14</w:t>
          </w:r>
          <w:r>
            <w:fldChar w:fldCharType="end"/>
          </w:r>
          <w:r>
            <w:fldChar w:fldCharType="end"/>
          </w:r>
        </w:p>
        <w:p w14:paraId="67CD157B">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"_Toc58195232"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_Toc58195232 \h </w:instrText>
          </w:r>
          <w:r>
            <w:fldChar w:fldCharType="separate"/>
          </w:r>
          <w:r>
            <w:t>15</w:t>
          </w:r>
          <w:r>
            <w:fldChar w:fldCharType="end"/>
          </w:r>
          <w:r>
            <w:fldChar w:fldCharType="end"/>
          </w:r>
        </w:p>
        <w:p w14:paraId="68B7E17A">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"_Toc58195233" </w:instrText>
          </w:r>
          <w:r>
            <w:fldChar w:fldCharType="separate"/>
          </w:r>
          <w:r>
            <w:rPr>
              <w:rStyle w:val="28"/>
              <w:rFonts w:hint="eastAsia" w:ascii="楷体_GB2312" w:eastAsia="楷体_GB2312" w:hAnsiTheme="minorEastAsia"/>
            </w:rPr>
            <w:t>（四）效果（</w:t>
          </w:r>
          <w:r>
            <w:rPr>
              <w:rStyle w:val="28"/>
              <w:rFonts w:ascii="楷体_GB2312" w:eastAsia="楷体_GB2312" w:hAnsiTheme="minorEastAsia"/>
            </w:rPr>
            <w:t>15</w:t>
          </w:r>
          <w:r>
            <w:rPr>
              <w:rStyle w:val="28"/>
              <w:rFonts w:hint="eastAsia" w:ascii="楷体_GB2312" w:eastAsia="楷体_GB2312" w:hAnsiTheme="minorEastAsia"/>
            </w:rPr>
            <w:t>分）</w:t>
          </w:r>
          <w:r>
            <w:tab/>
          </w:r>
          <w:r>
            <w:fldChar w:fldCharType="begin"/>
          </w:r>
          <w:r>
            <w:instrText xml:space="preserve"> PAGEREF _Toc58195233 \h </w:instrText>
          </w:r>
          <w:r>
            <w:fldChar w:fldCharType="separate"/>
          </w:r>
          <w:r>
            <w:t>15</w:t>
          </w:r>
          <w:r>
            <w:fldChar w:fldCharType="end"/>
          </w:r>
          <w:r>
            <w:fldChar w:fldCharType="end"/>
          </w:r>
        </w:p>
        <w:p w14:paraId="006C9DD0">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"_Toc58195234" </w:instrText>
          </w:r>
          <w:r>
            <w:fldChar w:fldCharType="separate"/>
          </w:r>
          <w:r>
            <w:rPr>
              <w:rStyle w:val="28"/>
              <w:rFonts w:hint="eastAsia" w:ascii="黑体"/>
            </w:rPr>
            <w:t>三、综合绩效评价工作情况</w:t>
          </w:r>
          <w:r>
            <w:tab/>
          </w:r>
          <w:r>
            <w:fldChar w:fldCharType="begin"/>
          </w:r>
          <w:r>
            <w:instrText xml:space="preserve"> PAGEREF _Toc58195234 \h </w:instrText>
          </w:r>
          <w:r>
            <w:fldChar w:fldCharType="separate"/>
          </w:r>
          <w:r>
            <w:t>15</w:t>
          </w:r>
          <w:r>
            <w:fldChar w:fldCharType="end"/>
          </w:r>
          <w:r>
            <w:fldChar w:fldCharType="end"/>
          </w:r>
        </w:p>
        <w:p w14:paraId="3A9B339B">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"_Toc58195235" </w:instrText>
          </w:r>
          <w:r>
            <w:fldChar w:fldCharType="separate"/>
          </w:r>
          <w:r>
            <w:rPr>
              <w:rStyle w:val="28"/>
              <w:rFonts w:hint="eastAsia" w:ascii="楷体_GB2312" w:eastAsia="楷体_GB2312" w:hAnsiTheme="minorEastAsia"/>
            </w:rPr>
            <w:t>（一）绩效评价目的</w:t>
          </w:r>
          <w:r>
            <w:tab/>
          </w:r>
          <w:r>
            <w:fldChar w:fldCharType="begin"/>
          </w:r>
          <w:r>
            <w:instrText xml:space="preserve"> PAGEREF _Toc58195235 \h </w:instrText>
          </w:r>
          <w:r>
            <w:fldChar w:fldCharType="separate"/>
          </w:r>
          <w:r>
            <w:t>15</w:t>
          </w:r>
          <w:r>
            <w:fldChar w:fldCharType="end"/>
          </w:r>
          <w:r>
            <w:fldChar w:fldCharType="end"/>
          </w:r>
        </w:p>
        <w:p w14:paraId="71F8D918">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"_Toc58195236" </w:instrText>
          </w:r>
          <w:r>
            <w:fldChar w:fldCharType="separate"/>
          </w:r>
          <w:r>
            <w:rPr>
              <w:rStyle w:val="28"/>
              <w:rFonts w:hint="eastAsia" w:ascii="楷体_GB2312" w:eastAsia="楷体_GB2312" w:hAnsiTheme="minorEastAsia"/>
            </w:rPr>
            <w:t>（二）绩效评价依据</w:t>
          </w:r>
          <w:r>
            <w:tab/>
          </w:r>
          <w:r>
            <w:fldChar w:fldCharType="begin"/>
          </w:r>
          <w:r>
            <w:instrText xml:space="preserve"> PAGEREF _Toc58195236 \h </w:instrText>
          </w:r>
          <w:r>
            <w:fldChar w:fldCharType="separate"/>
          </w:r>
          <w:r>
            <w:t>16</w:t>
          </w:r>
          <w:r>
            <w:fldChar w:fldCharType="end"/>
          </w:r>
          <w:r>
            <w:fldChar w:fldCharType="end"/>
          </w:r>
        </w:p>
        <w:p w14:paraId="486A889B">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"_Toc58195237" </w:instrText>
          </w:r>
          <w:r>
            <w:fldChar w:fldCharType="separate"/>
          </w:r>
          <w:r>
            <w:rPr>
              <w:rStyle w:val="28"/>
              <w:rFonts w:hint="eastAsia" w:ascii="楷体_GB2312" w:eastAsia="楷体_GB2312" w:hAnsiTheme="minorEastAsia"/>
            </w:rPr>
            <w:t>（三）绩效评价内容</w:t>
          </w:r>
          <w:r>
            <w:tab/>
          </w:r>
          <w:r>
            <w:fldChar w:fldCharType="begin"/>
          </w:r>
          <w:r>
            <w:instrText xml:space="preserve"> PAGEREF _Toc58195237 \h </w:instrText>
          </w:r>
          <w:r>
            <w:fldChar w:fldCharType="separate"/>
          </w:r>
          <w:r>
            <w:t>16</w:t>
          </w:r>
          <w:r>
            <w:fldChar w:fldCharType="end"/>
          </w:r>
          <w:r>
            <w:fldChar w:fldCharType="end"/>
          </w:r>
        </w:p>
        <w:p w14:paraId="09E5E416">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"_Toc58195238" </w:instrText>
          </w:r>
          <w:r>
            <w:fldChar w:fldCharType="separate"/>
          </w:r>
          <w:r>
            <w:rPr>
              <w:rStyle w:val="28"/>
              <w:rFonts w:hint="eastAsia" w:ascii="楷体_GB2312" w:eastAsia="楷体_GB2312" w:hAnsiTheme="minorEastAsia"/>
            </w:rPr>
            <w:t>（四）绩效评价原则</w:t>
          </w:r>
          <w:r>
            <w:tab/>
          </w:r>
          <w:r>
            <w:fldChar w:fldCharType="begin"/>
          </w:r>
          <w:r>
            <w:instrText xml:space="preserve"> PAGEREF _Toc58195238 \h </w:instrText>
          </w:r>
          <w:r>
            <w:fldChar w:fldCharType="separate"/>
          </w:r>
          <w:r>
            <w:t>17</w:t>
          </w:r>
          <w:r>
            <w:fldChar w:fldCharType="end"/>
          </w:r>
          <w:r>
            <w:fldChar w:fldCharType="end"/>
          </w:r>
        </w:p>
        <w:p w14:paraId="3B5FD32A">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"_Toc58195239" </w:instrText>
          </w:r>
          <w:r>
            <w:fldChar w:fldCharType="separate"/>
          </w:r>
          <w:r>
            <w:rPr>
              <w:rStyle w:val="28"/>
              <w:rFonts w:hint="eastAsia" w:ascii="楷体_GB2312" w:eastAsia="楷体_GB2312" w:hAnsiTheme="minorEastAsia"/>
            </w:rPr>
            <w:t>（五）绩效评价方法</w:t>
          </w:r>
          <w:r>
            <w:tab/>
          </w:r>
          <w:r>
            <w:fldChar w:fldCharType="begin"/>
          </w:r>
          <w:r>
            <w:instrText xml:space="preserve"> PAGEREF _Toc58195239 \h </w:instrText>
          </w:r>
          <w:r>
            <w:fldChar w:fldCharType="separate"/>
          </w:r>
          <w:r>
            <w:t>17</w:t>
          </w:r>
          <w:r>
            <w:fldChar w:fldCharType="end"/>
          </w:r>
          <w:r>
            <w:fldChar w:fldCharType="end"/>
          </w:r>
        </w:p>
        <w:p w14:paraId="2BAA69D7">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"_Toc58195240" </w:instrText>
          </w:r>
          <w:r>
            <w:fldChar w:fldCharType="separate"/>
          </w:r>
          <w:r>
            <w:rPr>
              <w:rStyle w:val="28"/>
              <w:rFonts w:hint="eastAsia" w:ascii="黑体"/>
            </w:rPr>
            <w:t>四、绩效评价评分情况</w:t>
          </w:r>
          <w:r>
            <w:tab/>
          </w:r>
          <w:r>
            <w:fldChar w:fldCharType="begin"/>
          </w:r>
          <w:r>
            <w:instrText xml:space="preserve"> PAGEREF _Toc58195240 \h </w:instrText>
          </w:r>
          <w:r>
            <w:fldChar w:fldCharType="separate"/>
          </w:r>
          <w:r>
            <w:t>19</w:t>
          </w:r>
          <w:r>
            <w:fldChar w:fldCharType="end"/>
          </w:r>
          <w:r>
            <w:fldChar w:fldCharType="end"/>
          </w:r>
        </w:p>
        <w:p w14:paraId="569E5678">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"_Toc58195241" </w:instrText>
          </w:r>
          <w:r>
            <w:fldChar w:fldCharType="separate"/>
          </w:r>
          <w:r>
            <w:rPr>
              <w:rStyle w:val="28"/>
              <w:rFonts w:hint="eastAsia" w:ascii="楷体_GB2312" w:eastAsia="楷体_GB2312" w:hAnsiTheme="minorEastAsia"/>
            </w:rPr>
            <w:t>（一）投入（</w:t>
          </w:r>
          <w:r>
            <w:rPr>
              <w:rStyle w:val="28"/>
              <w:rFonts w:ascii="楷体_GB2312" w:eastAsia="楷体_GB2312" w:hAnsiTheme="minorEastAsia"/>
            </w:rPr>
            <w:t>10</w:t>
          </w:r>
          <w:r>
            <w:rPr>
              <w:rStyle w:val="28"/>
              <w:rFonts w:hint="eastAsia" w:ascii="楷体_GB2312" w:eastAsia="楷体_GB2312" w:hAnsiTheme="minorEastAsia"/>
            </w:rPr>
            <w:t>分）</w:t>
          </w:r>
          <w:r>
            <w:tab/>
          </w:r>
          <w:r>
            <w:fldChar w:fldCharType="begin"/>
          </w:r>
          <w:r>
            <w:instrText xml:space="preserve"> PAGEREF _Toc58195241 \h </w:instrText>
          </w:r>
          <w:r>
            <w:fldChar w:fldCharType="separate"/>
          </w:r>
          <w:r>
            <w:t>19</w:t>
          </w:r>
          <w:r>
            <w:fldChar w:fldCharType="end"/>
          </w:r>
          <w:r>
            <w:fldChar w:fldCharType="end"/>
          </w:r>
        </w:p>
        <w:p w14:paraId="08285B38">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"_Toc58195242"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_Toc58195242 \h </w:instrText>
          </w:r>
          <w:r>
            <w:fldChar w:fldCharType="separate"/>
          </w:r>
          <w:r>
            <w:t>23</w:t>
          </w:r>
          <w:r>
            <w:fldChar w:fldCharType="end"/>
          </w:r>
          <w:r>
            <w:fldChar w:fldCharType="end"/>
          </w:r>
        </w:p>
        <w:p w14:paraId="585DD474">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"_Toc58195243"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_Toc58195243 \h </w:instrText>
          </w:r>
          <w:r>
            <w:fldChar w:fldCharType="separate"/>
          </w:r>
          <w:r>
            <w:t>30</w:t>
          </w:r>
          <w:r>
            <w:fldChar w:fldCharType="end"/>
          </w:r>
          <w:r>
            <w:fldChar w:fldCharType="end"/>
          </w:r>
        </w:p>
        <w:p w14:paraId="14A0D597">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"_Toc58195244" </w:instrText>
          </w:r>
          <w:r>
            <w:fldChar w:fldCharType="separate"/>
          </w:r>
          <w:r>
            <w:rPr>
              <w:rStyle w:val="28"/>
              <w:rFonts w:hint="eastAsia" w:ascii="楷体" w:hAnsi="楷体" w:eastAsia="楷体"/>
            </w:rPr>
            <w:t>（四）效果（</w:t>
          </w:r>
          <w:r>
            <w:rPr>
              <w:rStyle w:val="28"/>
              <w:rFonts w:ascii="楷体" w:hAnsi="楷体" w:eastAsia="楷体"/>
            </w:rPr>
            <w:t>15</w:t>
          </w:r>
          <w:r>
            <w:rPr>
              <w:rStyle w:val="28"/>
              <w:rFonts w:hint="eastAsia" w:ascii="楷体" w:hAnsi="楷体" w:eastAsia="楷体"/>
            </w:rPr>
            <w:t>分）</w:t>
          </w:r>
          <w:r>
            <w:tab/>
          </w:r>
          <w:r>
            <w:fldChar w:fldCharType="begin"/>
          </w:r>
          <w:r>
            <w:instrText xml:space="preserve"> PAGEREF _Toc58195244 \h </w:instrText>
          </w:r>
          <w:r>
            <w:fldChar w:fldCharType="separate"/>
          </w:r>
          <w:r>
            <w:t>33</w:t>
          </w:r>
          <w:r>
            <w:fldChar w:fldCharType="end"/>
          </w:r>
          <w:r>
            <w:fldChar w:fldCharType="end"/>
          </w:r>
        </w:p>
        <w:p w14:paraId="64AE81B4">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"_Toc58195245" </w:instrText>
          </w:r>
          <w:r>
            <w:fldChar w:fldCharType="separate"/>
          </w:r>
          <w:r>
            <w:rPr>
              <w:rStyle w:val="28"/>
              <w:rFonts w:hint="eastAsia" w:ascii="黑体"/>
            </w:rPr>
            <w:t>五、绩效评价发现的问题</w:t>
          </w:r>
          <w:r>
            <w:tab/>
          </w:r>
          <w:r>
            <w:fldChar w:fldCharType="begin"/>
          </w:r>
          <w:r>
            <w:instrText xml:space="preserve"> PAGEREF _Toc58195245 \h </w:instrText>
          </w:r>
          <w:r>
            <w:fldChar w:fldCharType="separate"/>
          </w:r>
          <w:r>
            <w:t>34</w:t>
          </w:r>
          <w:r>
            <w:fldChar w:fldCharType="end"/>
          </w:r>
          <w:r>
            <w:fldChar w:fldCharType="end"/>
          </w:r>
        </w:p>
        <w:p w14:paraId="2D53A5E6">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"_Toc58195246" </w:instrText>
          </w:r>
          <w:r>
            <w:fldChar w:fldCharType="separate"/>
          </w:r>
          <w:r>
            <w:rPr>
              <w:rStyle w:val="28"/>
              <w:rFonts w:hint="eastAsia" w:ascii="黑体"/>
            </w:rPr>
            <w:t>六、绩效评价意见及建议</w:t>
          </w:r>
          <w:r>
            <w:tab/>
          </w:r>
          <w:r>
            <w:fldChar w:fldCharType="begin"/>
          </w:r>
          <w:r>
            <w:instrText xml:space="preserve"> PAGEREF _Toc58195246 \h </w:instrText>
          </w:r>
          <w:r>
            <w:fldChar w:fldCharType="separate"/>
          </w:r>
          <w:r>
            <w:t>36</w:t>
          </w:r>
          <w:r>
            <w:fldChar w:fldCharType="end"/>
          </w:r>
          <w:r>
            <w:fldChar w:fldCharType="end"/>
          </w:r>
        </w:p>
        <w:p w14:paraId="0380C47D">
          <w:pPr>
            <w:spacing w:line="312" w:lineRule="auto"/>
            <w:ind w:firstLine="440" w:firstLineChars="200"/>
            <w:jc w:val="both"/>
            <w:sectPr>
              <w:head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4390CDD6">
      <w:pPr>
        <w:pStyle w:val="3"/>
        <w:spacing w:line="540" w:lineRule="exact"/>
        <w:ind w:firstLine="640"/>
        <w:jc w:val="center"/>
        <w:rPr>
          <w:rFonts w:ascii="黑体" w:hAnsi="黑体"/>
          <w:b w:val="0"/>
        </w:rPr>
      </w:pPr>
      <w:bookmarkStart w:id="0" w:name="_Toc58195223"/>
      <w:r>
        <w:rPr>
          <w:rFonts w:hint="eastAsia" w:ascii="黑体" w:hAnsi="黑体"/>
          <w:b w:val="0"/>
        </w:rPr>
        <w:t>第一部分   摘  要</w:t>
      </w:r>
      <w:bookmarkEnd w:id="0"/>
    </w:p>
    <w:p w14:paraId="51E5F4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国务院《关于全面实施预算绩效管理的意见》、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92C85EA">
      <w:pPr>
        <w:pStyle w:val="74"/>
        <w:widowControl/>
        <w:spacing w:line="520" w:lineRule="exact"/>
        <w:ind w:firstLine="640" w:firstLineChars="200"/>
        <w:jc w:val="both"/>
        <w:rPr>
          <w:rFonts w:ascii="仿宋_GB2312" w:hAnsi="仿宋" w:eastAsia="仿宋_GB2312" w:cs="仿宋_GB2312"/>
          <w:sz w:val="32"/>
          <w:szCs w:val="32"/>
        </w:rPr>
      </w:pPr>
      <w:r>
        <w:rPr>
          <w:rFonts w:hint="eastAsia" w:ascii="仿宋_GB2312" w:eastAsia="仿宋_GB2312" w:cs="DengXian-Regular"/>
          <w:sz w:val="32"/>
          <w:szCs w:val="32"/>
        </w:rPr>
        <w:t>保定市徐水区市场监督管理局为正科级行政单位，经费保障形式为财政拨款，下设13个股室，分别为</w:t>
      </w:r>
      <w:r>
        <w:rPr>
          <w:rFonts w:hint="eastAsia" w:ascii="仿宋_GB2312" w:hAnsi="仿宋" w:eastAsia="仿宋_GB2312" w:cs="仿宋_GB2312"/>
          <w:sz w:val="32"/>
          <w:szCs w:val="32"/>
        </w:rPr>
        <w:t>综合股、政策法规股、市场维权股、注册股、企业监督管理股、商标广告监督管理股、药械经营监督管理股、医疗机构药械管理股、食品消费、化妆品监督管理股、财务装备股、网络商品交易监管股、食品生产监督管理股、食品流通监督管理股； 派出机构行政编制10个，分别为保定市徐水区市场监督稽查大队、安肃市场监督管理所、城关市场监督管理所、崔庄市场监督管理所、遂城市场监督管理所、漕河市场监督管理所、高林村市场监督管理所、大王店市场监督管理所、瀑河市场监督管理所、大因市场监督管理所。</w:t>
      </w:r>
    </w:p>
    <w:p w14:paraId="5DCD1D58">
      <w:pPr>
        <w:spacing w:line="560" w:lineRule="exact"/>
        <w:ind w:firstLine="640" w:firstLineChars="200"/>
        <w:rPr>
          <w:rFonts w:ascii="仿宋" w:hAnsi="仿宋" w:eastAsia="仿宋" w:cs="DengXian-Regular"/>
          <w:sz w:val="32"/>
          <w:szCs w:val="32"/>
        </w:rPr>
      </w:pPr>
      <w:r>
        <w:rPr>
          <w:rFonts w:hint="eastAsia" w:ascii="仿宋_GB2312" w:eastAsia="仿宋_GB2312" w:cs="DengXian-Regular"/>
          <w:sz w:val="32"/>
          <w:szCs w:val="32"/>
        </w:rPr>
        <w:t>主要职责有：</w:t>
      </w:r>
    </w:p>
    <w:p w14:paraId="0991FEC4">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0853DFE9">
      <w:pPr>
        <w:spacing w:line="50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0" distR="0" simplePos="0" relativeHeight="251659264" behindDoc="0" locked="0" layoutInCell="1" allowOverlap="1">
                <wp:simplePos x="0" y="0"/>
                <wp:positionH relativeFrom="column">
                  <wp:posOffset>1451610</wp:posOffset>
                </wp:positionH>
                <wp:positionV relativeFrom="paragraph">
                  <wp:posOffset>1481455</wp:posOffset>
                </wp:positionV>
                <wp:extent cx="45085" cy="45085"/>
                <wp:effectExtent l="0" t="0" r="12065" b="12065"/>
                <wp:wrapSquare wrapText="bothSides"/>
                <wp:docPr id="1" name="_tx_id_1_"/>
                <wp:cNvGraphicFramePr/>
                <a:graphic xmlns:a="http://schemas.openxmlformats.org/drawingml/2006/main">
                  <a:graphicData uri="http://schemas.microsoft.com/office/word/2010/wordprocessingShape">
                    <wps:wsp>
                      <wps:cNvSpPr txBox="1"/>
                      <wps:spPr>
                        <a:xfrm>
                          <a:off x="0" y="0"/>
                          <a:ext cx="45085" cy="45085"/>
                        </a:xfrm>
                        <a:prstGeom prst="rect">
                          <a:avLst/>
                        </a:prstGeom>
                        <a:solidFill>
                          <a:srgbClr val="FFFFFF"/>
                        </a:solidFill>
                        <a:ln>
                          <a:noFill/>
                        </a:ln>
                      </wps:spPr>
                      <wps:txbx>
                        <w:txbxContent>
                          <w:p w14:paraId="54CD89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1</w:t>
                            </w:r>
                          </w:p>
                        </w:txbxContent>
                      </wps:txbx>
                      <wps:bodyPr upright="1"/>
                    </wps:wsp>
                  </a:graphicData>
                </a:graphic>
              </wp:anchor>
            </w:drawing>
          </mc:Choice>
          <mc:Fallback>
            <w:pict>
              <v:shape id="_tx_id_1_" o:spid="_x0000_s1026" o:spt="202" type="#_x0000_t202" style="position:absolute;left:0pt;margin-left:114.3pt;margin-top:116.65pt;height:3.55pt;width:3.55pt;mso-wrap-distance-bottom:0pt;mso-wrap-distance-left:0pt;mso-wrap-distance-right:0pt;mso-wrap-distance-top:0pt;z-index:251659264;mso-width-relative:page;mso-height-relative:page;" fillcolor="#FFFFFF" filled="t" stroked="f" coordsize="21600,21600" o:gfxdata="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zYJW&#10;2QAAAAsBAAAPAAAAAAAAAAEAIAAAACIAAABkcnMvZG93bnJldi54bWxQSwECFAAUAAAACACHTuJA&#10;D5b3w64BAAByAwAADgAAAAAAAAABACAAAAAoAQAAZHJzL2Uyb0RvYy54bWxQSwUGAAAAAAYABgBZ&#10;AQAASAUAAAAA&#10;">
                <v:fill on="t" focussize="0,0"/>
                <v:stroke on="f"/>
                <v:imagedata o:title=""/>
                <o:lock v:ext="edit" aspectratio="f"/>
                <v:textbox>
                  <w:txbxContent>
                    <w:p w14:paraId="54CD89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1</w:t>
                      </w:r>
                    </w:p>
                  </w:txbxContent>
                </v:textbox>
                <w10:wrap type="square"/>
              </v:shape>
            </w:pict>
          </mc:Fallback>
        </mc:AlternateContent>
      </w:r>
      <w:r>
        <w:rPr>
          <w:rFonts w:hint="eastAsia" w:ascii="仿宋" w:hAnsi="仿宋" w:eastAsia="仿宋" w:cs="微软雅黑"/>
          <w:sz w:val="32"/>
          <w:szCs w:val="32"/>
        </w:rP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56F5997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0DF0E45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四）负责全区消费者权益保护。负责处理与市场监督管理相关的咨询、投诉、举报，组织开展有关服务领域消费维权工作；依法查处侵害消费者权益的违法行为；建立完善消费者权益保护网络体系，保护消费者、经营者合法权益。指导区消费者协会开展消费维权工作。</w:t>
      </w:r>
    </w:p>
    <w:p w14:paraId="4E68FDBF">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（五）负责反垄断统一执法。组织推进竞争政策实施，指导实施公平竞争审查制度。依法对经营者集中行为进行反垄断审查，负责垄断协议、滥用市场支配地位和滥用行政权力排除、限制竞争等反垄断执法工作。</w:t>
      </w:r>
    </w:p>
    <w:p w14:paraId="1575B08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六）负责全区宏观质量管理。拟订并组织实施全区质量发展的制度措施。会同有关部门组织实施重大工程设备质量监理制度，按职责范围组织产品质量事故调查，组织实施缺陷产品召回制度，监督管理产品防伪工作。</w:t>
      </w:r>
    </w:p>
    <w:p w14:paraId="6F5ED5AE">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七）负责产品质量安全监督管理工作。组织开展辖区内产品质量监督抽查等工作；负责辖区内工业产品生产许可证管理和纤维产品质量监督检验工作；组织开展产品质量安全专项整治工作，依法查处产品质量违法行为；按分工打击假冒伪劣违法活动，组织协调辖区内有关专项打假活动。</w:t>
      </w:r>
    </w:p>
    <w:p w14:paraId="39C8549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（八）负责全区特种设备安全监督管理。承担本行政区域内特种设备安全监察、监督工作，监督检查高耗能特种设备节能标准和锅炉环境保护标准的执行情况。</w:t>
      </w:r>
    </w:p>
    <w:p w14:paraId="2672D12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九）负责食品安全监督管理综合协调。承担区政府食品安全委员会日常工作；组织制定全区食品安全重大政策并组织实施。负责食品药品安全监督管理综合协调，推动健全食品安全地方党政同责和跨部门协调联动机制，督促检查乡镇和有关部门履行食品药品安全监督管理职责并负责考核评价。负责食品安全应急体系建设，组织指导全区重大食品安全事件应急处置和调查处理工作，建立健全食品安全信息统一公布和重要信息直报制度。</w:t>
      </w:r>
    </w:p>
    <w:p w14:paraId="2EEAF8CB">
      <w:pPr>
        <w:spacing w:line="50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0" distR="0" simplePos="0" relativeHeight="251660288" behindDoc="0" locked="0" layoutInCell="1" allowOverlap="1">
                <wp:simplePos x="0" y="0"/>
                <wp:positionH relativeFrom="column">
                  <wp:posOffset>220345</wp:posOffset>
                </wp:positionH>
                <wp:positionV relativeFrom="paragraph">
                  <wp:posOffset>975360</wp:posOffset>
                </wp:positionV>
                <wp:extent cx="126365" cy="78105"/>
                <wp:effectExtent l="0" t="0" r="6985" b="17145"/>
                <wp:wrapSquare wrapText="bothSides"/>
                <wp:docPr id="2" name="_tx_id_2_"/>
                <wp:cNvGraphicFramePr/>
                <a:graphic xmlns:a="http://schemas.openxmlformats.org/drawingml/2006/main">
                  <a:graphicData uri="http://schemas.microsoft.com/office/word/2010/wordprocessingShape">
                    <wps:wsp>
                      <wps:cNvSpPr txBox="1"/>
                      <wps:spPr>
                        <a:xfrm>
                          <a:off x="0" y="0"/>
                          <a:ext cx="126365" cy="78105"/>
                        </a:xfrm>
                        <a:prstGeom prst="rect">
                          <a:avLst/>
                        </a:prstGeom>
                        <a:solidFill>
                          <a:srgbClr val="FFFFFF"/>
                        </a:solidFill>
                        <a:ln>
                          <a:noFill/>
                        </a:ln>
                      </wps:spPr>
                      <wps:txbx>
                        <w:txbxContent>
                          <w:p w14:paraId="3D7CF0D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pPr>
                          </w:p>
                        </w:txbxContent>
                      </wps:txbx>
                      <wps:bodyPr upright="1"/>
                    </wps:wsp>
                  </a:graphicData>
                </a:graphic>
              </wp:anchor>
            </w:drawing>
          </mc:Choice>
          <mc:Fallback>
            <w:pict>
              <v:shape id="_tx_id_2_" o:spid="_x0000_s1026" o:spt="202" type="#_x0000_t202" style="position:absolute;left:0pt;margin-left:17.35pt;margin-top:76.8pt;height:6.15pt;width:9.95pt;mso-wrap-distance-bottom:0pt;mso-wrap-distance-left:0pt;mso-wrap-distance-right:0pt;mso-wrap-distance-top:0pt;z-index:251660288;mso-width-relative:page;mso-height-relative:page;" fillcolor="#FFFFFF" filled="t" stroked="f" coordsize="21600,21600" o:gfxdata="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A6+J&#10;1wAAAAkBAAAPAAAAAAAAAAEAIAAAACIAAABkcnMvZG93bnJldi54bWxQSwECFAAUAAAACACHTuJA&#10;khatYLABAABzAwAADgAAAAAAAAABACAAAAAmAQAAZHJzL2Uyb0RvYy54bWxQSwUGAAAAAAYABgBZ&#10;AQAASAUAAAAA&#10;">
                <v:fill on="t" focussize="0,0"/>
                <v:stroke on="f"/>
                <v:imagedata o:title=""/>
                <o:lock v:ext="edit" aspectratio="f"/>
                <v:textbox>
                  <w:txbxContent>
                    <w:p w14:paraId="3D7CF0D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pPr>
                    </w:p>
                  </w:txbxContent>
                </v:textbox>
                <w10:wrap type="square"/>
              </v:shape>
            </w:pict>
          </mc:Fallback>
        </mc:AlternateContent>
      </w:r>
      <w:r>
        <w:rPr>
          <w:rFonts w:hint="eastAsia" w:ascii="仿宋" w:hAnsi="仿宋" w:eastAsia="仿宋" w:cs="微软雅黑"/>
          <w:sz w:val="32"/>
          <w:szCs w:val="32"/>
        </w:rPr>
        <w:t>（十）负责食品安全监督管理。建立覆盖食品（含食品添加剂、保健食品、酒类、调味品，下同）生产、流通、消费全过程的监督检查制度和隐患排查治理机制并组织实施，防范区域性、系统性食品安全风险。推动建立食品生产经营者落实主体责任的机制，健全食品安全追溯体系。建立完善食品安全隐患排查治理机制；制定食品安全检查年度计划、重大整顿治理方案并组织落实。参与食品安全风险监测，组织开展食品安全监督抽检、核查处置和风险预警、风险交流工作。按职责分工组织实施特殊食品监督管理。组织指导重大活动食品安全保障。</w:t>
      </w:r>
    </w:p>
    <w:p w14:paraId="5DD3926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（十一）负责药品（含中药、民族药，下同）、医疗器械和化妆品的质量管理工作。依法查处药品、医疗器械和化妆品生产环节的违法行为。贯彻执行</w:t>
      </w:r>
      <w:r>
        <w:rPr>
          <w:rFonts w:hint="eastAsia" w:ascii="仿宋" w:hAnsi="仿宋" w:eastAsia="仿宋" w:cs="微软雅黑"/>
          <w:sz w:val="32"/>
          <w:szCs w:val="32"/>
          <w:lang w:eastAsia="zh-CN"/>
        </w:rPr>
        <w:t>国</w:t>
      </w:r>
      <w:r>
        <w:rPr>
          <w:rFonts w:hint="eastAsia" w:ascii="仿宋" w:hAnsi="仿宋" w:eastAsia="仿宋" w:cs="微软雅黑"/>
          <w:sz w:val="32"/>
          <w:szCs w:val="32"/>
        </w:rPr>
        <w:t>家药品、医疗器械和化妆品法律法规。负责监督实施国家药品、医疗器械和化妆品标准和质量管理规范，组织落实分类管理制度。配合实施国家基本药物制度。组织实施中药饮片炮制规范。建立药品不良反应、医疗器械不良事件和药物滥用监测体系，并开展监测和处置工作；负责化妆品的监督管理和不良反应监测的管理。负责制定药品、医疗器械、化妆品监督管理的稽查制度并组织实施，组织查处重大违法行为；监督实施问题产品召回和处置制度。依法承担药品、医疗器械和化妆品安全应急管理工作。配合实施国家基本药物制度。</w:t>
      </w:r>
    </w:p>
    <w:p w14:paraId="45805CE6">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二）负责监督管理标准化工作。配合市局依法组织制定区域内市级地方标准。宣传贯彻强制性、推荐性国家标准和行业标准、地方标准。依法协调指导和监督团体标准、企业标准制定工作。协助开展标准化合作，组织开展采用国际标准工作。</w:t>
      </w:r>
    </w:p>
    <w:p w14:paraId="10FFFF15">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三）负责计量工作。推行法定计量单位和国家计量制度，管理和监督地方计量标准和标准物质，依法管理计量器具；组织本地量值传递和比对工作，监督管理商品量、市场计量行为；组织开展能源计量、能效标识监督管理工作。</w:t>
      </w:r>
    </w:p>
    <w:p w14:paraId="3F9D966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（十四）负责认证认可工作。依法对本辖区内实验室和检验机构进行监督管理；对认证认可相关的社会中介服务机构实施监督管理；协调和监督强制性认证和自愿认证工作，引导企业按国际惯例进行各种认证。</w:t>
      </w:r>
    </w:p>
    <w:p w14:paraId="55A173CA">
      <w:pPr>
        <w:spacing w:line="500" w:lineRule="exact"/>
        <w:ind w:firstLine="640" w:firstLineChars="200"/>
        <w:rPr>
          <w:rFonts w:ascii="仿宋" w:hAnsi="仿宋" w:eastAsia="仿宋"/>
          <w:sz w:val="32"/>
          <w:szCs w:val="32"/>
        </w:rPr>
      </w:pPr>
      <w:r>
        <w:rPr>
          <w:rFonts w:ascii="仿宋" w:hAnsi="仿宋" w:eastAsia="仿宋"/>
          <w:sz w:val="32"/>
          <w:szCs w:val="32"/>
        </w:rPr>
        <mc:AlternateContent>
          <mc:Choice Requires="wps">
            <w:drawing>
              <wp:anchor distT="0" distB="0" distL="0" distR="0" simplePos="0" relativeHeight="251661312" behindDoc="0" locked="0" layoutInCell="1" allowOverlap="1">
                <wp:simplePos x="0" y="0"/>
                <wp:positionH relativeFrom="column">
                  <wp:posOffset>2030095</wp:posOffset>
                </wp:positionH>
                <wp:positionV relativeFrom="paragraph">
                  <wp:posOffset>1037590</wp:posOffset>
                </wp:positionV>
                <wp:extent cx="45085" cy="45085"/>
                <wp:effectExtent l="0" t="0" r="12065" b="12065"/>
                <wp:wrapSquare wrapText="bothSides"/>
                <wp:docPr id="3" name="_tx_id_4_"/>
                <wp:cNvGraphicFramePr/>
                <a:graphic xmlns:a="http://schemas.openxmlformats.org/drawingml/2006/main">
                  <a:graphicData uri="http://schemas.microsoft.com/office/word/2010/wordprocessingShape">
                    <wps:wsp>
                      <wps:cNvSpPr txBox="1"/>
                      <wps:spPr>
                        <a:xfrm>
                          <a:off x="0" y="0"/>
                          <a:ext cx="45085" cy="45085"/>
                        </a:xfrm>
                        <a:prstGeom prst="rect">
                          <a:avLst/>
                        </a:prstGeom>
                        <a:solidFill>
                          <a:srgbClr val="FFFFFF"/>
                        </a:solidFill>
                        <a:ln>
                          <a:noFill/>
                        </a:ln>
                      </wps:spPr>
                      <wps:txbx>
                        <w:txbxContent>
                          <w:p w14:paraId="721976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4</w:t>
                            </w:r>
                          </w:p>
                        </w:txbxContent>
                      </wps:txbx>
                      <wps:bodyPr upright="1"/>
                    </wps:wsp>
                  </a:graphicData>
                </a:graphic>
              </wp:anchor>
            </w:drawing>
          </mc:Choice>
          <mc:Fallback>
            <w:pict>
              <v:shape id="_tx_id_4_" o:spid="_x0000_s1026" o:spt="202" type="#_x0000_t202" style="position:absolute;left:0pt;margin-left:159.85pt;margin-top:81.7pt;height:3.55pt;width:3.55pt;mso-wrap-distance-bottom:0pt;mso-wrap-distance-left:0pt;mso-wrap-distance-right:0pt;mso-wrap-distance-top:0pt;z-index:251661312;mso-width-relative:page;mso-height-relative:page;" fillcolor="#FFFFFF" filled="t" stroked="f" coordsize="21600,21600" o:gfxdata="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caUcz&#10;2AAAAAsBAAAPAAAAAAAAAAEAIAAAACIAAABkcnMvZG93bnJldi54bWxQSwECFAAUAAAACACHTuJA&#10;QO2oY68BAAByAwAADgAAAAAAAAABACAAAAAnAQAAZHJzL2Uyb0RvYy54bWxQSwUGAAAAAAYABgBZ&#10;AQAASAUAAAAA&#10;">
                <v:fill on="t" focussize="0,0"/>
                <v:stroke on="f"/>
                <v:imagedata o:title=""/>
                <o:lock v:ext="edit" aspectratio="f"/>
                <v:textbox>
                  <w:txbxContent>
                    <w:p w14:paraId="7219768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4</w:t>
                      </w:r>
                    </w:p>
                  </w:txbxContent>
                </v:textbox>
                <w10:wrap type="square"/>
              </v:shape>
            </w:pict>
          </mc:Fallback>
        </mc:AlternateContent>
      </w:r>
      <w:r>
        <w:rPr>
          <w:rFonts w:ascii="仿宋" w:hAnsi="仿宋" w:eastAsia="仿宋"/>
          <w:sz w:val="32"/>
          <w:szCs w:val="32"/>
        </w:rPr>
        <mc:AlternateContent>
          <mc:Choice Requires="wps">
            <w:drawing>
              <wp:anchor distT="0" distB="0" distL="0" distR="0" simplePos="0" relativeHeight="251662336" behindDoc="0" locked="0" layoutInCell="1" allowOverlap="1">
                <wp:simplePos x="0" y="0"/>
                <wp:positionH relativeFrom="column">
                  <wp:posOffset>270510</wp:posOffset>
                </wp:positionH>
                <wp:positionV relativeFrom="paragraph">
                  <wp:posOffset>1037590</wp:posOffset>
                </wp:positionV>
                <wp:extent cx="50165" cy="45085"/>
                <wp:effectExtent l="0" t="0" r="6985" b="12065"/>
                <wp:wrapSquare wrapText="bothSides"/>
                <wp:docPr id="4" name="_tx_id_3_"/>
                <wp:cNvGraphicFramePr/>
                <a:graphic xmlns:a="http://schemas.openxmlformats.org/drawingml/2006/main">
                  <a:graphicData uri="http://schemas.microsoft.com/office/word/2010/wordprocessingShape">
                    <wps:wsp>
                      <wps:cNvSpPr txBox="1"/>
                      <wps:spPr>
                        <a:xfrm>
                          <a:off x="0" y="0"/>
                          <a:ext cx="50165" cy="45085"/>
                        </a:xfrm>
                        <a:prstGeom prst="rect">
                          <a:avLst/>
                        </a:prstGeom>
                        <a:solidFill>
                          <a:srgbClr val="FFFFFF"/>
                        </a:solidFill>
                        <a:ln>
                          <a:noFill/>
                        </a:ln>
                      </wps:spPr>
                      <wps:txbx>
                        <w:txbxContent>
                          <w:p w14:paraId="1E0E78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3</w:t>
                            </w:r>
                          </w:p>
                        </w:txbxContent>
                      </wps:txbx>
                      <wps:bodyPr upright="1"/>
                    </wps:wsp>
                  </a:graphicData>
                </a:graphic>
              </wp:anchor>
            </w:drawing>
          </mc:Choice>
          <mc:Fallback>
            <w:pict>
              <v:shape id="_tx_id_3_" o:spid="_x0000_s1026" o:spt="202" type="#_x0000_t202" style="position:absolute;left:0pt;margin-left:21.3pt;margin-top:81.7pt;height:3.55pt;width:3.95pt;mso-wrap-distance-bottom:0pt;mso-wrap-distance-left:0pt;mso-wrap-distance-right:0pt;mso-wrap-distance-top:0pt;z-index:251662336;mso-width-relative:page;mso-height-relative:page;" fillcolor="#FFFFFF" filled="t" stroked="f" coordsize="21600,21600" o:gfxdata="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jy7KJ&#10;1wAAAAkBAAAPAAAAAAAAAAEAIAAAACIAAABkcnMvZG93bnJldi54bWxQSwECFAAUAAAACACHTuJA&#10;0G7BarABAAByAwAADgAAAAAAAAABACAAAAAmAQAAZHJzL2Uyb0RvYy54bWxQSwUGAAAAAAYABgBZ&#10;AQAASAUAAAAA&#10;">
                <v:fill on="t" focussize="0,0"/>
                <v:stroke on="f"/>
                <v:imagedata o:title=""/>
                <o:lock v:ext="edit" aspectratio="f"/>
                <v:textbox>
                  <w:txbxContent>
                    <w:p w14:paraId="1E0E78E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3</w:t>
                      </w:r>
                    </w:p>
                  </w:txbxContent>
                </v:textbox>
                <w10:wrap type="square"/>
              </v:shape>
            </w:pict>
          </mc:Fallback>
        </mc:AlternateContent>
      </w:r>
      <w:r>
        <w:rPr>
          <w:rFonts w:hint="eastAsia" w:ascii="仿宋" w:hAnsi="仿宋" w:eastAsia="仿宋" w:cs="微软雅黑"/>
          <w:sz w:val="32"/>
          <w:szCs w:val="32"/>
        </w:rPr>
        <w:t>（十五）负责保护知识产权。拟订严格保护商标、专利、原产地地理标志、集成电路布图设计等知识产权地方性法规、规章草案并监督实施。按照国家知识产权保护体系建设方案，推动建设知识产权保护体系。负责开展商标、专利执法工作，负责知识产权争议处理、维权援助和纠纷调处工作。拟订知识产权运用和规范交易的政策，促进知识产权转移转化。负责建立知识产权公共服务体系。推动商标、专利等知识产权信息的传播利用。负责知识产权宣传、人才培训工作。组织实施原产地地理标志统一认定制度。</w:t>
      </w:r>
    </w:p>
    <w:p w14:paraId="6601B4E5">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（十六）负责指导和监督规范行政执法行为，推动法制建设，完善行政执法与刑事司法衔接机制。</w:t>
      </w:r>
    </w:p>
    <w:p w14:paraId="31F2248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（十七）负责全区市场监督管理科技和信息化建设、新闻宣传、对外交流与合作。</w:t>
      </w:r>
    </w:p>
    <w:p w14:paraId="22E0A528">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（十八）承办区委、区政府交办的其他任务。</w:t>
      </w:r>
    </w:p>
    <w:p w14:paraId="35EF68AB">
      <w:pPr>
        <w:spacing w:line="56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75E0D7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2297F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保定市徐水区市场监督管理局2019年部门整体支出绩效评价工作。</w:t>
      </w:r>
    </w:p>
    <w:p w14:paraId="22A0BC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2019年部门整体支出绩效评价指标体系共设置4个一级指标、7个二级指标、27个三级指标，从投入、过程、产出、效果四个方面对保定市徐水区市场监督管理局单位部门整体支出情况评分定级。指标体系设定满分为100分，绩效评价分值≥90为“优”；80≤分值＜90为“良”；60≤分值＜80为“合格”；60分以下为“差”。</w:t>
      </w:r>
    </w:p>
    <w:p w14:paraId="22E732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保定市徐水区市场监督管理局2019年部门整体支出综合评价得分为92分，评价等级为“优”。</w:t>
      </w:r>
    </w:p>
    <w:p w14:paraId="171B14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保定市徐水区市场监督管理局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0371E1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6EEF1A6E">
      <w:pPr>
        <w:ind w:firstLine="640" w:firstLineChars="200"/>
        <w:rPr>
          <w:rFonts w:ascii="仿宋_GB2312" w:eastAsia="仿宋_GB2312" w:cs="DengXian-Regular"/>
          <w:sz w:val="32"/>
          <w:szCs w:val="32"/>
        </w:rPr>
      </w:pPr>
      <w:r>
        <w:rPr>
          <w:rFonts w:hint="eastAsia" w:ascii="仿宋_GB2312" w:eastAsia="仿宋_GB2312" w:cs="DengXian-Regular"/>
          <w:sz w:val="32"/>
          <w:szCs w:val="32"/>
        </w:rPr>
        <w:t>1.绩效指标方面</w:t>
      </w:r>
    </w:p>
    <w:p w14:paraId="6C18C1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文本—部门职责工作活动绩效目标表中干部培养选拔和省市及区委管理干部管理两项职责活动未设置可评价、可衡量的绩效指标，部门绩效目标未划分为具体的工作任务，不利于对绩效目标实际完成情况进行考核。</w:t>
      </w:r>
    </w:p>
    <w:p w14:paraId="71DA322D">
      <w:pPr>
        <w:ind w:firstLine="640" w:firstLineChars="200"/>
        <w:rPr>
          <w:rFonts w:ascii="仿宋_GB2312" w:eastAsia="仿宋_GB2312" w:cs="DengXian-Regular"/>
          <w:sz w:val="32"/>
          <w:szCs w:val="32"/>
        </w:rPr>
      </w:pPr>
      <w:r>
        <w:rPr>
          <w:rFonts w:hint="eastAsia" w:ascii="仿宋_GB2312" w:eastAsia="仿宋_GB2312" w:cs="DengXian-Regular"/>
          <w:sz w:val="32"/>
          <w:szCs w:val="32"/>
        </w:rPr>
        <w:t>2、预算决算比较</w:t>
      </w:r>
    </w:p>
    <w:p w14:paraId="324CCB2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预算决算差额较大</w:t>
      </w:r>
    </w:p>
    <w:p w14:paraId="08651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徐水区市场监督管理局预算收入、支出年初预算数均为</w:t>
      </w:r>
      <w:r>
        <w:rPr>
          <w:rFonts w:ascii="仿宋_GB2312" w:eastAsia="仿宋_GB2312" w:cs="DengXian-Regular"/>
          <w:sz w:val="32"/>
          <w:szCs w:val="32"/>
        </w:rPr>
        <w:t>4965.24</w:t>
      </w:r>
      <w:r>
        <w:rPr>
          <w:rFonts w:hint="eastAsia" w:ascii="仿宋_GB2312" w:eastAsia="仿宋_GB2312" w:cs="DengXian-Regular"/>
          <w:sz w:val="32"/>
          <w:szCs w:val="32"/>
        </w:rPr>
        <w:t>万元，决算收入</w:t>
      </w:r>
      <w:r>
        <w:rPr>
          <w:rFonts w:ascii="仿宋_GB2312" w:eastAsia="仿宋_GB2312" w:cs="DengXian-Regular"/>
          <w:sz w:val="32"/>
          <w:szCs w:val="32"/>
        </w:rPr>
        <w:t>4161.8</w:t>
      </w:r>
      <w:r>
        <w:rPr>
          <w:rFonts w:hint="eastAsia" w:ascii="仿宋_GB2312" w:eastAsia="仿宋_GB2312" w:cs="DengXian-Regular"/>
          <w:sz w:val="32"/>
          <w:szCs w:val="32"/>
        </w:rPr>
        <w:t>万元，较预算减少803.4</w:t>
      </w:r>
      <w:r>
        <w:rPr>
          <w:rFonts w:ascii="仿宋_GB2312" w:eastAsia="仿宋_GB2312" w:cs="DengXian-Regular"/>
          <w:sz w:val="32"/>
          <w:szCs w:val="32"/>
        </w:rPr>
        <w:t>4</w:t>
      </w:r>
      <w:r>
        <w:rPr>
          <w:rFonts w:hint="eastAsia" w:ascii="仿宋_GB2312" w:eastAsia="仿宋_GB2312" w:cs="DengXian-Regular"/>
          <w:sz w:val="32"/>
          <w:szCs w:val="32"/>
        </w:rPr>
        <w:t>万元，减少比例</w:t>
      </w:r>
      <w:r>
        <w:rPr>
          <w:rFonts w:ascii="仿宋_GB2312" w:eastAsia="仿宋_GB2312" w:cs="DengXian-Regular"/>
          <w:sz w:val="32"/>
          <w:szCs w:val="32"/>
        </w:rPr>
        <w:t>16.18</w:t>
      </w:r>
      <w:r>
        <w:rPr>
          <w:rFonts w:hint="eastAsia" w:ascii="仿宋_GB2312" w:eastAsia="仿宋_GB2312" w:cs="DengXian-Regular"/>
          <w:sz w:val="32"/>
          <w:szCs w:val="32"/>
        </w:rPr>
        <w:t>%；决算支出</w:t>
      </w:r>
      <w:r>
        <w:rPr>
          <w:rFonts w:ascii="仿宋_GB2312" w:eastAsia="仿宋_GB2312" w:cs="DengXian-Regular"/>
          <w:sz w:val="32"/>
          <w:szCs w:val="32"/>
        </w:rPr>
        <w:t>4166.92</w:t>
      </w:r>
      <w:r>
        <w:rPr>
          <w:rFonts w:hint="eastAsia" w:ascii="仿宋_GB2312" w:eastAsia="仿宋_GB2312" w:cs="DengXian-Regular"/>
          <w:sz w:val="32"/>
          <w:szCs w:val="32"/>
        </w:rPr>
        <w:t>万元，较预算减少</w:t>
      </w:r>
      <w:r>
        <w:rPr>
          <w:rFonts w:ascii="仿宋_GB2312" w:eastAsia="仿宋_GB2312" w:cs="DengXian-Regular"/>
          <w:sz w:val="32"/>
          <w:szCs w:val="32"/>
        </w:rPr>
        <w:t>798.32</w:t>
      </w:r>
      <w:r>
        <w:rPr>
          <w:rFonts w:hint="eastAsia" w:ascii="仿宋_GB2312" w:eastAsia="仿宋_GB2312" w:cs="DengXian-Regular"/>
          <w:sz w:val="32"/>
          <w:szCs w:val="32"/>
        </w:rPr>
        <w:t>万元，减少比例</w:t>
      </w:r>
      <w:r>
        <w:rPr>
          <w:rFonts w:ascii="仿宋_GB2312" w:eastAsia="仿宋_GB2312" w:cs="DengXian-Regular"/>
          <w:sz w:val="32"/>
          <w:szCs w:val="32"/>
        </w:rPr>
        <w:t>16.08</w:t>
      </w:r>
      <w:r>
        <w:rPr>
          <w:rFonts w:hint="eastAsia" w:ascii="仿宋_GB2312" w:eastAsia="仿宋_GB2312" w:cs="DengXian-Regular"/>
          <w:sz w:val="32"/>
          <w:szCs w:val="32"/>
        </w:rPr>
        <w:t>%。决算数较预算数减少的主要原因为年初农村干部基础</w:t>
      </w:r>
      <w:r>
        <w:rPr>
          <w:rFonts w:ascii="仿宋_GB2312" w:eastAsia="仿宋_GB2312" w:cs="DengXian-Regular"/>
          <w:sz w:val="32"/>
          <w:szCs w:val="32"/>
        </w:rPr>
        <w:t>职务补贴含</w:t>
      </w:r>
      <w:r>
        <w:rPr>
          <w:rFonts w:hint="eastAsia" w:ascii="仿宋_GB2312" w:eastAsia="仿宋_GB2312" w:cs="DengXian-Regular"/>
          <w:sz w:val="32"/>
          <w:szCs w:val="32"/>
        </w:rPr>
        <w:t>农村</w:t>
      </w:r>
      <w:r>
        <w:rPr>
          <w:rFonts w:ascii="仿宋_GB2312" w:eastAsia="仿宋_GB2312" w:cs="DengXian-Regular"/>
          <w:sz w:val="32"/>
          <w:szCs w:val="32"/>
        </w:rPr>
        <w:t>两委干部绩效补贴</w:t>
      </w:r>
      <w:r>
        <w:rPr>
          <w:rFonts w:hint="eastAsia" w:ascii="仿宋_GB2312" w:eastAsia="仿宋_GB2312" w:cs="DengXian-Regular"/>
          <w:sz w:val="32"/>
          <w:szCs w:val="32"/>
        </w:rPr>
        <w:t>和村级</w:t>
      </w:r>
      <w:r>
        <w:rPr>
          <w:rFonts w:ascii="仿宋_GB2312" w:eastAsia="仿宋_GB2312" w:cs="DengXian-Regular"/>
          <w:sz w:val="32"/>
          <w:szCs w:val="32"/>
        </w:rPr>
        <w:t>组织活动经费</w:t>
      </w:r>
      <w:r>
        <w:rPr>
          <w:rFonts w:hint="eastAsia" w:ascii="仿宋_GB2312" w:eastAsia="仿宋_GB2312" w:cs="DengXian-Regular"/>
          <w:sz w:val="32"/>
          <w:szCs w:val="32"/>
        </w:rPr>
        <w:t>，</w:t>
      </w:r>
      <w:r>
        <w:rPr>
          <w:rFonts w:ascii="仿宋_GB2312" w:eastAsia="仿宋_GB2312" w:cs="DengXian-Regular"/>
          <w:sz w:val="32"/>
          <w:szCs w:val="32"/>
        </w:rPr>
        <w:t>后来预算调整到了乡镇，致使决算数据较预算数据较少</w:t>
      </w:r>
      <w:r>
        <w:rPr>
          <w:rFonts w:hint="eastAsia" w:ascii="仿宋_GB2312" w:eastAsia="仿宋_GB2312" w:cs="DengXian-Regular"/>
          <w:sz w:val="32"/>
          <w:szCs w:val="32"/>
        </w:rPr>
        <w:t>。</w:t>
      </w:r>
    </w:p>
    <w:p w14:paraId="640444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0296D1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徐水区市场监督管理局2019年预算调整到</w:t>
      </w:r>
      <w:r>
        <w:rPr>
          <w:rFonts w:ascii="仿宋_GB2312" w:eastAsia="仿宋_GB2312" w:cs="DengXian-Regular"/>
          <w:sz w:val="32"/>
          <w:szCs w:val="32"/>
        </w:rPr>
        <w:t>乡镇</w:t>
      </w:r>
      <w:r>
        <w:rPr>
          <w:rFonts w:hint="eastAsia" w:ascii="仿宋_GB2312" w:eastAsia="仿宋_GB2312" w:cs="DengXian-Regular"/>
          <w:sz w:val="32"/>
          <w:szCs w:val="32"/>
        </w:rPr>
        <w:t>715.88万元，占年初预算的</w:t>
      </w:r>
      <w:r>
        <w:rPr>
          <w:rFonts w:ascii="仿宋_GB2312" w:eastAsia="仿宋_GB2312" w:cs="DengXian-Regular"/>
          <w:sz w:val="32"/>
          <w:szCs w:val="32"/>
        </w:rPr>
        <w:t>14.42</w:t>
      </w:r>
      <w:r>
        <w:rPr>
          <w:rFonts w:hint="eastAsia" w:ascii="仿宋_GB2312" w:eastAsia="仿宋_GB2312" w:cs="DengXian-Regular"/>
          <w:sz w:val="32"/>
          <w:szCs w:val="32"/>
        </w:rPr>
        <w:t>%，预算调减较多。</w:t>
      </w:r>
    </w:p>
    <w:p w14:paraId="6C5ABBAC">
      <w:pPr>
        <w:pStyle w:val="40"/>
        <w:numPr>
          <w:ilvl w:val="0"/>
          <w:numId w:val="1"/>
        </w:numPr>
        <w:spacing w:after="0" w:line="360" w:lineRule="auto"/>
        <w:ind w:firstLineChars="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政府采购方面</w:t>
      </w:r>
    </w:p>
    <w:p w14:paraId="41B697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未执行政府采购</w:t>
      </w:r>
    </w:p>
    <w:p w14:paraId="1F4341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徐水区市场监督管理局年初预算政府采购金额</w:t>
      </w:r>
      <w:r>
        <w:rPr>
          <w:rFonts w:ascii="仿宋_GB2312" w:eastAsia="仿宋_GB2312" w:cs="DengXian-Regular"/>
          <w:sz w:val="32"/>
          <w:szCs w:val="32"/>
        </w:rPr>
        <w:t>3</w:t>
      </w:r>
      <w:r>
        <w:rPr>
          <w:rFonts w:hint="eastAsia" w:ascii="仿宋_GB2312" w:eastAsia="仿宋_GB2312" w:cs="DengXian-Regular"/>
          <w:sz w:val="32"/>
          <w:szCs w:val="32"/>
        </w:rPr>
        <w:t>万元，决算金额0万元，本年未执行政府采购</w:t>
      </w:r>
    </w:p>
    <w:p w14:paraId="564262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5、项目资金使用率方面</w:t>
      </w:r>
    </w:p>
    <w:p w14:paraId="02B5F9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项目资金使用率较低</w:t>
      </w:r>
    </w:p>
    <w:p w14:paraId="71D394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徐水区市场监督管理局年项目资金预算4568.8万元，项目资金调整到乡镇715.88万元，实际支出3824.73万元，支出率为99%，个别</w:t>
      </w:r>
      <w:r>
        <w:rPr>
          <w:rFonts w:ascii="仿宋_GB2312" w:eastAsia="仿宋_GB2312" w:cs="DengXian-Regular"/>
          <w:sz w:val="32"/>
          <w:szCs w:val="32"/>
        </w:rPr>
        <w:t>项目如组织史征编预算</w:t>
      </w:r>
      <w:r>
        <w:rPr>
          <w:rFonts w:hint="eastAsia" w:ascii="仿宋_GB2312" w:eastAsia="仿宋_GB2312" w:cs="DengXian-Regular"/>
          <w:sz w:val="32"/>
          <w:szCs w:val="32"/>
        </w:rPr>
        <w:t>资金</w:t>
      </w:r>
      <w:r>
        <w:rPr>
          <w:rFonts w:ascii="仿宋_GB2312" w:eastAsia="仿宋_GB2312" w:cs="DengXian-Regular"/>
          <w:sz w:val="32"/>
          <w:szCs w:val="32"/>
        </w:rPr>
        <w:t>为</w:t>
      </w:r>
      <w:r>
        <w:rPr>
          <w:rFonts w:hint="eastAsia" w:ascii="仿宋_GB2312" w:eastAsia="仿宋_GB2312" w:cs="DengXian-Regular"/>
          <w:sz w:val="32"/>
          <w:szCs w:val="32"/>
        </w:rPr>
        <w:t>3万元</w:t>
      </w:r>
      <w:r>
        <w:rPr>
          <w:rFonts w:ascii="仿宋_GB2312" w:eastAsia="仿宋_GB2312" w:cs="DengXian-Regular"/>
          <w:sz w:val="32"/>
          <w:szCs w:val="32"/>
        </w:rPr>
        <w:t>，</w:t>
      </w:r>
      <w:r>
        <w:rPr>
          <w:rFonts w:hint="eastAsia" w:ascii="仿宋_GB2312" w:eastAsia="仿宋_GB2312" w:cs="DengXian-Regular"/>
          <w:sz w:val="32"/>
          <w:szCs w:val="32"/>
        </w:rPr>
        <w:t>实际</w:t>
      </w:r>
      <w:r>
        <w:rPr>
          <w:rFonts w:ascii="仿宋_GB2312" w:eastAsia="仿宋_GB2312" w:cs="DengXian-Regular"/>
          <w:sz w:val="32"/>
          <w:szCs w:val="32"/>
        </w:rPr>
        <w:t>支出</w:t>
      </w:r>
      <w:r>
        <w:rPr>
          <w:rFonts w:hint="eastAsia" w:ascii="仿宋_GB2312" w:eastAsia="仿宋_GB2312" w:cs="DengXian-Regular"/>
          <w:sz w:val="32"/>
          <w:szCs w:val="32"/>
        </w:rPr>
        <w:t>为0万元</w:t>
      </w:r>
      <w:r>
        <w:rPr>
          <w:rFonts w:ascii="仿宋_GB2312" w:eastAsia="仿宋_GB2312" w:cs="DengXian-Regular"/>
          <w:sz w:val="32"/>
          <w:szCs w:val="32"/>
        </w:rPr>
        <w:t>，</w:t>
      </w:r>
      <w:r>
        <w:rPr>
          <w:rFonts w:hint="eastAsia" w:ascii="仿宋_GB2312" w:eastAsia="仿宋_GB2312" w:cs="DengXian-Regular"/>
          <w:sz w:val="32"/>
          <w:szCs w:val="32"/>
        </w:rPr>
        <w:t>支出率较低，资金使用效率较差。</w:t>
      </w:r>
    </w:p>
    <w:p w14:paraId="053C2D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245D8B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部分基础数据信息不完整</w:t>
      </w:r>
    </w:p>
    <w:p w14:paraId="642974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w:t>
      </w:r>
      <w:r>
        <w:rPr>
          <w:rFonts w:ascii="仿宋_GB2312" w:eastAsia="仿宋_GB2312" w:cs="DengXian-Regular"/>
          <w:sz w:val="32"/>
          <w:szCs w:val="32"/>
        </w:rPr>
        <w:t>缴纳的五险一金记账凭证</w:t>
      </w:r>
      <w:r>
        <w:rPr>
          <w:rFonts w:hint="eastAsia" w:ascii="仿宋_GB2312" w:eastAsia="仿宋_GB2312" w:cs="DengXian-Regular"/>
          <w:sz w:val="32"/>
          <w:szCs w:val="32"/>
        </w:rPr>
        <w:t>只保留了</w:t>
      </w:r>
      <w:r>
        <w:rPr>
          <w:rFonts w:ascii="仿宋_GB2312" w:eastAsia="仿宋_GB2312" w:cs="DengXian-Regular"/>
          <w:sz w:val="32"/>
          <w:szCs w:val="32"/>
        </w:rPr>
        <w:t>缴费票据，没有付个人明细</w:t>
      </w:r>
      <w:r>
        <w:rPr>
          <w:rFonts w:hint="eastAsia" w:ascii="仿宋_GB2312" w:eastAsia="仿宋_GB2312" w:cs="DengXian-Regular"/>
          <w:sz w:val="32"/>
          <w:szCs w:val="32"/>
        </w:rPr>
        <w:t>，部分基础数据信息缺乏完整性。</w:t>
      </w:r>
    </w:p>
    <w:p w14:paraId="077DC8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76F61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6D2A1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070C05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2C00C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部门预算编制工作要全面反映和体现部门职责，根据具体情况及时调整预算的编制，缩小预算与决算差额，减少中期预算追加火调减，</w:t>
      </w:r>
      <w:r>
        <w:rPr>
          <w:rFonts w:ascii="仿宋_GB2312" w:eastAsia="仿宋_GB2312" w:cs="DengXian-Regular"/>
          <w:sz w:val="32"/>
          <w:szCs w:val="32"/>
        </w:rPr>
        <w:t>年中需要</w:t>
      </w:r>
      <w:r>
        <w:rPr>
          <w:rFonts w:hint="eastAsia" w:ascii="仿宋_GB2312" w:eastAsia="仿宋_GB2312" w:cs="DengXian-Regular"/>
          <w:sz w:val="32"/>
          <w:szCs w:val="32"/>
        </w:rPr>
        <w:t>调整</w:t>
      </w:r>
      <w:r>
        <w:rPr>
          <w:rFonts w:ascii="仿宋_GB2312" w:eastAsia="仿宋_GB2312" w:cs="DengXian-Regular"/>
          <w:sz w:val="32"/>
          <w:szCs w:val="32"/>
        </w:rPr>
        <w:t>到乡镇</w:t>
      </w:r>
      <w:r>
        <w:rPr>
          <w:rFonts w:hint="eastAsia" w:ascii="仿宋_GB2312" w:eastAsia="仿宋_GB2312" w:cs="DengXian-Regular"/>
          <w:sz w:val="32"/>
          <w:szCs w:val="32"/>
        </w:rPr>
        <w:t>乡镇</w:t>
      </w:r>
      <w:r>
        <w:rPr>
          <w:rFonts w:ascii="仿宋_GB2312" w:eastAsia="仿宋_GB2312" w:cs="DengXian-Regular"/>
          <w:sz w:val="32"/>
          <w:szCs w:val="32"/>
        </w:rPr>
        <w:t>的</w:t>
      </w:r>
      <w:r>
        <w:rPr>
          <w:rFonts w:hint="eastAsia" w:ascii="仿宋_GB2312" w:eastAsia="仿宋_GB2312" w:cs="DengXian-Regular"/>
          <w:sz w:val="32"/>
          <w:szCs w:val="32"/>
        </w:rPr>
        <w:t>项目</w:t>
      </w:r>
      <w:r>
        <w:rPr>
          <w:rFonts w:ascii="仿宋_GB2312" w:eastAsia="仿宋_GB2312" w:cs="DengXian-Regular"/>
          <w:sz w:val="32"/>
          <w:szCs w:val="32"/>
        </w:rPr>
        <w:t>，</w:t>
      </w:r>
      <w:r>
        <w:rPr>
          <w:rFonts w:hint="eastAsia" w:ascii="仿宋_GB2312" w:eastAsia="仿宋_GB2312" w:cs="DengXian-Regular"/>
          <w:sz w:val="32"/>
          <w:szCs w:val="32"/>
        </w:rPr>
        <w:t>在</w:t>
      </w:r>
      <w:r>
        <w:rPr>
          <w:rFonts w:ascii="仿宋_GB2312" w:eastAsia="仿宋_GB2312" w:cs="DengXian-Regular"/>
          <w:sz w:val="32"/>
          <w:szCs w:val="32"/>
        </w:rPr>
        <w:t>做预算时</w:t>
      </w:r>
      <w:r>
        <w:rPr>
          <w:rFonts w:hint="eastAsia" w:ascii="仿宋_GB2312" w:eastAsia="仿宋_GB2312" w:cs="DengXian-Regular"/>
          <w:sz w:val="32"/>
          <w:szCs w:val="32"/>
        </w:rPr>
        <w:t>进行</w:t>
      </w:r>
      <w:r>
        <w:rPr>
          <w:rFonts w:ascii="仿宋_GB2312" w:eastAsia="仿宋_GB2312" w:cs="DengXian-Regular"/>
          <w:sz w:val="32"/>
          <w:szCs w:val="32"/>
        </w:rPr>
        <w:t>调整，</w:t>
      </w:r>
      <w:r>
        <w:rPr>
          <w:rFonts w:hint="eastAsia" w:ascii="仿宋_GB2312" w:eastAsia="仿宋_GB2312" w:cs="DengXian-Regular"/>
          <w:sz w:val="32"/>
          <w:szCs w:val="32"/>
        </w:rPr>
        <w:t>提高预算编制质量，发挥预算约束作用。</w:t>
      </w:r>
    </w:p>
    <w:p w14:paraId="07D506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E1085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75BFC2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4896169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保定市徐水区市场监督管理局对项目资金进行梳理，督促项目进度和资金拨付进度，应拨付的资金及时拨付，不具备条件的资金及时收回，同时，对于按规定可以结转至下年的中央及省级项目资金，在下年的项目安排时优先考虑。</w:t>
      </w:r>
    </w:p>
    <w:p w14:paraId="710E0F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7A36E508">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02784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4147ED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2019年基本支出决算数较预算数</w:t>
      </w:r>
      <w:r>
        <w:rPr>
          <w:rFonts w:hint="eastAsia" w:ascii="仿宋_GB2312" w:eastAsia="仿宋_GB2312" w:cs="DengXian-Regular"/>
          <w:sz w:val="32"/>
          <w:szCs w:val="32"/>
        </w:rPr>
        <w:t>较少</w:t>
      </w:r>
      <w:r>
        <w:rPr>
          <w:rFonts w:ascii="仿宋_GB2312" w:eastAsia="仿宋_GB2312" w:cs="DengXian-Regular"/>
          <w:sz w:val="32"/>
          <w:szCs w:val="32"/>
        </w:rPr>
        <w:t>比例较大，主要原因为</w:t>
      </w:r>
      <w:r>
        <w:rPr>
          <w:rFonts w:hint="eastAsia" w:ascii="仿宋_GB2312" w:eastAsia="仿宋_GB2312" w:cs="DengXian-Regular"/>
          <w:sz w:val="32"/>
          <w:szCs w:val="32"/>
        </w:rPr>
        <w:t>2018年</w:t>
      </w:r>
      <w:r>
        <w:rPr>
          <w:rFonts w:ascii="仿宋_GB2312" w:eastAsia="仿宋_GB2312" w:cs="DengXian-Regular"/>
          <w:sz w:val="32"/>
          <w:szCs w:val="32"/>
        </w:rPr>
        <w:t>作为基本支出的项目在</w:t>
      </w:r>
      <w:r>
        <w:rPr>
          <w:rFonts w:hint="eastAsia" w:ascii="仿宋_GB2312" w:eastAsia="仿宋_GB2312" w:cs="DengXian-Regular"/>
          <w:sz w:val="32"/>
          <w:szCs w:val="32"/>
        </w:rPr>
        <w:t>2019年</w:t>
      </w:r>
      <w:r>
        <w:rPr>
          <w:rFonts w:ascii="仿宋_GB2312" w:eastAsia="仿宋_GB2312" w:cs="DengXian-Regular"/>
          <w:sz w:val="32"/>
          <w:szCs w:val="32"/>
        </w:rPr>
        <w:t>纳入了项目支出</w:t>
      </w:r>
      <w:r>
        <w:rPr>
          <w:rFonts w:hint="eastAsia" w:ascii="仿宋_GB2312" w:eastAsia="仿宋_GB2312" w:cs="DengXian-Regular"/>
          <w:sz w:val="32"/>
          <w:szCs w:val="32"/>
        </w:rPr>
        <w:t>致使2019年基本</w:t>
      </w:r>
      <w:r>
        <w:rPr>
          <w:rFonts w:ascii="仿宋_GB2312" w:eastAsia="仿宋_GB2312" w:cs="DengXian-Regular"/>
          <w:sz w:val="32"/>
          <w:szCs w:val="32"/>
        </w:rPr>
        <w:t>支出减少，建议2020年预算根据</w:t>
      </w:r>
      <w:r>
        <w:rPr>
          <w:rFonts w:hint="eastAsia" w:ascii="仿宋_GB2312" w:eastAsia="仿宋_GB2312" w:cs="DengXian-Regular"/>
          <w:sz w:val="32"/>
          <w:szCs w:val="32"/>
        </w:rPr>
        <w:t>2019年支出</w:t>
      </w:r>
      <w:r>
        <w:rPr>
          <w:rFonts w:ascii="仿宋_GB2312" w:eastAsia="仿宋_GB2312" w:cs="DengXian-Regular"/>
          <w:sz w:val="32"/>
          <w:szCs w:val="32"/>
        </w:rPr>
        <w:t>类型编制，该纳入项目的经费不再</w:t>
      </w:r>
      <w:r>
        <w:rPr>
          <w:rFonts w:hint="eastAsia" w:ascii="仿宋_GB2312" w:eastAsia="仿宋_GB2312" w:cs="DengXian-Regular"/>
          <w:sz w:val="32"/>
          <w:szCs w:val="32"/>
        </w:rPr>
        <w:t>列入</w:t>
      </w:r>
      <w:r>
        <w:rPr>
          <w:rFonts w:ascii="仿宋_GB2312" w:eastAsia="仿宋_GB2312" w:cs="DengXian-Regular"/>
          <w:sz w:val="32"/>
          <w:szCs w:val="32"/>
        </w:rPr>
        <w:t>基本支出。</w:t>
      </w:r>
    </w:p>
    <w:p w14:paraId="67051E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2019年</w:t>
      </w:r>
      <w:r>
        <w:rPr>
          <w:rFonts w:hint="eastAsia" w:ascii="仿宋_GB2312" w:eastAsia="仿宋_GB2312" w:cs="DengXian-Regular"/>
          <w:sz w:val="32"/>
          <w:szCs w:val="32"/>
        </w:rPr>
        <w:t>个别</w:t>
      </w:r>
      <w:r>
        <w:rPr>
          <w:rFonts w:ascii="仿宋_GB2312" w:eastAsia="仿宋_GB2312" w:cs="DengXian-Regular"/>
          <w:sz w:val="32"/>
          <w:szCs w:val="32"/>
        </w:rPr>
        <w:t>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7E2BC6A8">
      <w:pPr>
        <w:pStyle w:val="3"/>
        <w:spacing w:line="540" w:lineRule="exact"/>
        <w:ind w:firstLine="640"/>
        <w:jc w:val="center"/>
        <w:rPr>
          <w:rFonts w:ascii="黑体" w:hAnsi="黑体"/>
          <w:b w:val="0"/>
        </w:rPr>
      </w:pPr>
      <w:bookmarkStart w:id="1" w:name="_Toc58195224"/>
      <w:r>
        <w:rPr>
          <w:rFonts w:hint="eastAsia" w:ascii="黑体" w:hAnsi="黑体"/>
          <w:b w:val="0"/>
        </w:rPr>
        <w:t>第二部分   绩效评价报告</w:t>
      </w:r>
      <w:bookmarkEnd w:id="1"/>
    </w:p>
    <w:p w14:paraId="5C388F57">
      <w:pPr>
        <w:pStyle w:val="3"/>
        <w:spacing w:before="0" w:after="0" w:line="360" w:lineRule="auto"/>
        <w:ind w:firstLine="643" w:firstLineChars="200"/>
        <w:rPr>
          <w:rFonts w:ascii="楷体" w:hAnsi="楷体" w:eastAsia="楷体" w:cs="楷体"/>
        </w:rPr>
      </w:pPr>
      <w:bookmarkStart w:id="2" w:name="_Toc58195225"/>
      <w:bookmarkStart w:id="3" w:name="_Toc492652763"/>
      <w:r>
        <w:rPr>
          <w:rFonts w:hint="eastAsia" w:ascii="楷体" w:hAnsi="楷体" w:eastAsia="楷体" w:cs="楷体"/>
        </w:rPr>
        <w:t>一、保定市徐水保定市徐水区市场监督管理局基本情况</w:t>
      </w:r>
      <w:bookmarkEnd w:id="2"/>
      <w:bookmarkEnd w:id="3"/>
      <w:bookmarkStart w:id="4" w:name="_Toc492652764"/>
    </w:p>
    <w:p w14:paraId="687CE7E9">
      <w:pPr>
        <w:pStyle w:val="4"/>
        <w:spacing w:before="0" w:after="0"/>
        <w:ind w:firstLine="643" w:firstLineChars="200"/>
        <w:jc w:val="both"/>
        <w:rPr>
          <w:rFonts w:ascii="仿宋_GB2312" w:hAnsi="Tahoma" w:cs="DengXian-Regular"/>
          <w:sz w:val="32"/>
        </w:rPr>
      </w:pPr>
      <w:bookmarkStart w:id="5" w:name="_Toc58195226"/>
      <w:r>
        <w:rPr>
          <w:rFonts w:hint="eastAsia" w:ascii="仿宋_GB2312" w:hAnsi="Tahoma" w:cs="DengXian-Regular"/>
          <w:sz w:val="32"/>
        </w:rPr>
        <w:t>（一）部门职责和工作活动</w:t>
      </w:r>
      <w:bookmarkEnd w:id="4"/>
      <w:bookmarkEnd w:id="5"/>
    </w:p>
    <w:p w14:paraId="46ED9D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保定市徐水区人民政府办公室关于印发《保定市徐水保定市徐水区市场监督管理局职能配置内设机构和人员编制规定》的通知，保定市徐水区市场监督管理局为区政府工作部门，正科级单位，下设</w:t>
      </w:r>
      <w:r>
        <w:rPr>
          <w:rFonts w:ascii="仿宋_GB2312" w:eastAsia="仿宋_GB2312" w:cs="DengXian-Regular"/>
          <w:sz w:val="32"/>
          <w:szCs w:val="32"/>
        </w:rPr>
        <w:t>9</w:t>
      </w:r>
      <w:r>
        <w:rPr>
          <w:rFonts w:hint="eastAsia" w:ascii="仿宋_GB2312" w:eastAsia="仿宋_GB2312" w:cs="DengXian-Regular"/>
          <w:sz w:val="32"/>
          <w:szCs w:val="32"/>
        </w:rPr>
        <w:t>个股室组织部根据绩效预算管理改革的相关要求，按照“部门职责—工作活动绩效目标”的层级设立了绩效预算架构，职责活动包括党组织建设及党员教育管理、省市及区委管理干部管理、干部队伍管理、</w:t>
      </w:r>
      <w:r>
        <w:rPr>
          <w:rFonts w:ascii="仿宋_GB2312" w:eastAsia="仿宋_GB2312" w:cs="DengXian-Regular"/>
          <w:sz w:val="32"/>
          <w:szCs w:val="32"/>
        </w:rPr>
        <w:t>干部培养选拔、</w:t>
      </w:r>
      <w:r>
        <w:rPr>
          <w:rFonts w:hint="eastAsia" w:ascii="仿宋_GB2312" w:eastAsia="仿宋_GB2312" w:cs="DengXian-Regular"/>
          <w:sz w:val="32"/>
          <w:szCs w:val="32"/>
        </w:rPr>
        <w:t>干部教育</w:t>
      </w:r>
      <w:r>
        <w:rPr>
          <w:rFonts w:ascii="仿宋_GB2312" w:eastAsia="仿宋_GB2312" w:cs="DengXian-Regular"/>
          <w:sz w:val="32"/>
          <w:szCs w:val="32"/>
        </w:rPr>
        <w:t>培训、</w:t>
      </w:r>
      <w:r>
        <w:rPr>
          <w:rFonts w:hint="eastAsia" w:ascii="仿宋_GB2312" w:eastAsia="仿宋_GB2312" w:cs="DengXian-Regular"/>
          <w:sz w:val="32"/>
          <w:szCs w:val="32"/>
        </w:rPr>
        <w:t>全区人才工作及队伍建设和</w:t>
      </w:r>
      <w:r>
        <w:rPr>
          <w:rFonts w:ascii="仿宋_GB2312" w:eastAsia="仿宋_GB2312" w:cs="DengXian-Regular"/>
          <w:sz w:val="32"/>
          <w:szCs w:val="32"/>
        </w:rPr>
        <w:t>综合事务管理</w:t>
      </w:r>
      <w:r>
        <w:rPr>
          <w:rFonts w:hint="eastAsia" w:ascii="仿宋_GB2312" w:eastAsia="仿宋_GB2312" w:cs="DengXian-Regular"/>
          <w:sz w:val="32"/>
          <w:szCs w:val="32"/>
        </w:rPr>
        <w:t>共</w:t>
      </w:r>
      <w:r>
        <w:rPr>
          <w:rFonts w:ascii="仿宋_GB2312" w:eastAsia="仿宋_GB2312" w:cs="DengXian-Regular"/>
          <w:sz w:val="32"/>
          <w:szCs w:val="32"/>
        </w:rPr>
        <w:t>7</w:t>
      </w:r>
      <w:r>
        <w:rPr>
          <w:rFonts w:hint="eastAsia" w:ascii="仿宋_GB2312" w:eastAsia="仿宋_GB2312" w:cs="DengXian-Regular"/>
          <w:sz w:val="32"/>
          <w:szCs w:val="32"/>
        </w:rPr>
        <w:t>部分。</w:t>
      </w:r>
      <w:bookmarkStart w:id="6" w:name="_Toc465149499"/>
      <w:bookmarkStart w:id="7" w:name="_Toc492652765"/>
    </w:p>
    <w:p w14:paraId="5BAC5290">
      <w:pPr>
        <w:pStyle w:val="4"/>
        <w:spacing w:before="0" w:after="0"/>
        <w:ind w:firstLine="643" w:firstLineChars="200"/>
        <w:jc w:val="both"/>
        <w:rPr>
          <w:rFonts w:ascii="仿宋_GB2312" w:hAnsi="Tahoma" w:cs="DengXian-Regular"/>
          <w:sz w:val="32"/>
        </w:rPr>
      </w:pPr>
      <w:bookmarkStart w:id="8" w:name="_Toc58195227"/>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45B5EB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按照2019年绩效预算编制要求，组织部设置的年度发展规划总体目标为：</w:t>
      </w:r>
    </w:p>
    <w:p w14:paraId="2D9CBF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全区党组织建设；负责区委基层组织建设联席会议党的牵头抓总工作；研究和提出党内生活制度建设的意见；协调、规划和指导全区党员教育工作；主管党员的管理和发展工作。做好换届工作，选优配强各级领导班子；负责省市管理干部及全区干部队伍管理、干部培养选拔、干部调配、挂职、交流和安置；对区委管理领导班子和领导干部的考核工作，以及全区干部考核工作的督导检查；指导领导班子的思想作风建设；负责对全</w:t>
      </w:r>
      <w:r>
        <w:rPr>
          <w:rFonts w:hint="eastAsia" w:ascii="仿宋_GB2312" w:eastAsia="仿宋_GB2312" w:cs="DengXian-Regular"/>
          <w:sz w:val="32"/>
          <w:szCs w:val="32"/>
          <w:lang w:eastAsia="zh-CN"/>
        </w:rPr>
        <w:t>区委组织部</w:t>
      </w:r>
      <w:r>
        <w:rPr>
          <w:rFonts w:hint="eastAsia" w:ascii="仿宋_GB2312" w:eastAsia="仿宋_GB2312" w:cs="DengXian-Regular"/>
          <w:sz w:val="32"/>
          <w:szCs w:val="32"/>
        </w:rPr>
        <w:t>门干部监督工作的综合、协调。负责全区人才工作牵头抓总职能的落实，对全区人才工作和人才队伍建设进行指导、协调和督促检查；负责全区有关专项人才支持计划组织实施工作；负责收集、掌握、反映全区人才工作动态。负责做好部机关机要、文秘、信访、会议、固定资产等工作的计划安排和管理；负责机关自身建设；负责老干部综合服务和保障工作；负责组织史征编工作；组织系统信息化建设。</w:t>
      </w:r>
    </w:p>
    <w:p w14:paraId="242145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6B57F7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1.开展党员和党组织建设工作。</w:t>
      </w:r>
    </w:p>
    <w:p w14:paraId="3F9B44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2.开展干部管理工作。</w:t>
      </w:r>
    </w:p>
    <w:p w14:paraId="5CA056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3.开展全区人才工作及队伍建设工作。</w:t>
      </w:r>
      <w:bookmarkStart w:id="9" w:name="_Toc492652766"/>
      <w:bookmarkStart w:id="10" w:name="_Toc465149500"/>
    </w:p>
    <w:p w14:paraId="4E3150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4.组织事务管理</w:t>
      </w:r>
    </w:p>
    <w:p w14:paraId="5CBA97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p>
    <w:p w14:paraId="3BF7C6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2019年保定市徐水区市场监督管理局预算收入</w:t>
      </w:r>
      <w:r>
        <w:rPr>
          <w:rFonts w:ascii="仿宋_GB2312" w:eastAsia="仿宋_GB2312" w:cs="DengXian-Regular"/>
          <w:sz w:val="32"/>
          <w:szCs w:val="32"/>
        </w:rPr>
        <w:t>4965.24</w:t>
      </w:r>
      <w:r>
        <w:rPr>
          <w:rFonts w:hint="eastAsia" w:ascii="仿宋_GB2312" w:eastAsia="仿宋_GB2312" w:cs="DengXian-Regular"/>
          <w:sz w:val="32"/>
          <w:szCs w:val="32"/>
        </w:rPr>
        <w:t>万元，均为一般公共预算拨款，其中：财政拨款</w:t>
      </w:r>
      <w:r>
        <w:rPr>
          <w:rFonts w:ascii="仿宋_GB2312" w:eastAsia="仿宋_GB2312" w:cs="DengXian-Regular"/>
          <w:sz w:val="32"/>
          <w:szCs w:val="32"/>
        </w:rPr>
        <w:t>4965.24</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31.11</w:t>
      </w:r>
      <w:r>
        <w:rPr>
          <w:rFonts w:hint="eastAsia" w:ascii="仿宋_GB2312" w:eastAsia="仿宋_GB2312" w:cs="DengXian-Regular"/>
          <w:sz w:val="32"/>
          <w:szCs w:val="32"/>
        </w:rPr>
        <w:t>万元。预算收入按功能分类包含：一般</w:t>
      </w:r>
      <w:r>
        <w:rPr>
          <w:rFonts w:ascii="仿宋_GB2312" w:eastAsia="仿宋_GB2312" w:cs="DengXian-Regular"/>
          <w:sz w:val="32"/>
          <w:szCs w:val="32"/>
        </w:rPr>
        <w:t>公共服务</w:t>
      </w:r>
      <w:r>
        <w:rPr>
          <w:rFonts w:hint="eastAsia" w:ascii="仿宋_GB2312" w:eastAsia="仿宋_GB2312" w:cs="DengXian-Regular"/>
          <w:sz w:val="32"/>
          <w:szCs w:val="32"/>
        </w:rPr>
        <w:t>支出474.76，社会保障和就业支出</w:t>
      </w:r>
      <w:r>
        <w:rPr>
          <w:rFonts w:ascii="仿宋_GB2312" w:eastAsia="仿宋_GB2312" w:cs="DengXian-Regular"/>
          <w:sz w:val="32"/>
          <w:szCs w:val="32"/>
        </w:rPr>
        <w:t>,78.2</w:t>
      </w:r>
      <w:r>
        <w:rPr>
          <w:rFonts w:hint="eastAsia" w:ascii="仿宋_GB2312" w:eastAsia="仿宋_GB2312" w:cs="DengXian-Regular"/>
          <w:sz w:val="32"/>
          <w:szCs w:val="32"/>
        </w:rPr>
        <w:t>万元，卫生健康支出</w:t>
      </w:r>
      <w:r>
        <w:rPr>
          <w:rFonts w:ascii="仿宋_GB2312" w:eastAsia="仿宋_GB2312" w:cs="DengXian-Regular"/>
          <w:sz w:val="32"/>
          <w:szCs w:val="32"/>
        </w:rPr>
        <w:t>9.92</w:t>
      </w:r>
      <w:r>
        <w:rPr>
          <w:rFonts w:hint="eastAsia" w:ascii="仿宋_GB2312" w:eastAsia="仿宋_GB2312" w:cs="DengXian-Regular"/>
          <w:sz w:val="32"/>
          <w:szCs w:val="32"/>
        </w:rPr>
        <w:t>万元，农林水</w:t>
      </w:r>
      <w:r>
        <w:rPr>
          <w:rFonts w:ascii="仿宋_GB2312" w:eastAsia="仿宋_GB2312" w:cs="DengXian-Regular"/>
          <w:sz w:val="32"/>
          <w:szCs w:val="32"/>
        </w:rPr>
        <w:t>支出</w:t>
      </w:r>
      <w:r>
        <w:rPr>
          <w:rFonts w:hint="eastAsia" w:ascii="仿宋_GB2312" w:eastAsia="仿宋_GB2312" w:cs="DengXian-Regular"/>
          <w:sz w:val="32"/>
          <w:szCs w:val="32"/>
        </w:rPr>
        <w:t>4</w:t>
      </w:r>
      <w:r>
        <w:rPr>
          <w:rFonts w:ascii="仿宋_GB2312" w:eastAsia="仿宋_GB2312" w:cs="DengXian-Regular"/>
          <w:sz w:val="32"/>
          <w:szCs w:val="32"/>
        </w:rPr>
        <w:t>3</w:t>
      </w:r>
      <w:r>
        <w:rPr>
          <w:rFonts w:hint="eastAsia" w:ascii="仿宋_GB2312" w:eastAsia="仿宋_GB2312" w:cs="DengXian-Regular"/>
          <w:sz w:val="32"/>
          <w:szCs w:val="32"/>
        </w:rPr>
        <w:t>84.72万元</w:t>
      </w:r>
      <w:r>
        <w:rPr>
          <w:rFonts w:ascii="仿宋_GB2312" w:eastAsia="仿宋_GB2312" w:cs="DengXian-Regular"/>
          <w:sz w:val="32"/>
          <w:szCs w:val="32"/>
        </w:rPr>
        <w:t>，</w:t>
      </w:r>
      <w:r>
        <w:rPr>
          <w:rFonts w:hint="eastAsia" w:ascii="仿宋_GB2312" w:eastAsia="仿宋_GB2312" w:cs="DengXian-Regular"/>
          <w:sz w:val="32"/>
          <w:szCs w:val="32"/>
        </w:rPr>
        <w:t>住房保障支出</w:t>
      </w:r>
      <w:r>
        <w:rPr>
          <w:rFonts w:ascii="仿宋_GB2312" w:eastAsia="仿宋_GB2312" w:cs="DengXian-Regular"/>
          <w:sz w:val="32"/>
          <w:szCs w:val="32"/>
        </w:rPr>
        <w:t>17.64</w:t>
      </w:r>
      <w:r>
        <w:rPr>
          <w:rFonts w:hint="eastAsia" w:ascii="仿宋_GB2312" w:eastAsia="仿宋_GB2312" w:cs="DengXian-Regular"/>
          <w:sz w:val="32"/>
          <w:szCs w:val="32"/>
        </w:rPr>
        <w:t>万元。具体预算收入详见附件2。</w:t>
      </w:r>
    </w:p>
    <w:p w14:paraId="57FCC2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2019年保定市徐水区市场监督管理局决算收入</w:t>
      </w:r>
      <w:r>
        <w:rPr>
          <w:rFonts w:ascii="仿宋_GB2312" w:eastAsia="仿宋_GB2312" w:cs="DengXian-Regular"/>
          <w:sz w:val="32"/>
          <w:szCs w:val="32"/>
        </w:rPr>
        <w:t>4161.8</w:t>
      </w:r>
      <w:r>
        <w:rPr>
          <w:rFonts w:hint="eastAsia" w:ascii="仿宋_GB2312" w:eastAsia="仿宋_GB2312" w:cs="DengXian-Regular"/>
          <w:sz w:val="32"/>
          <w:szCs w:val="32"/>
        </w:rPr>
        <w:t>万元，其中：财政拨款收入</w:t>
      </w:r>
      <w:r>
        <w:rPr>
          <w:rFonts w:ascii="仿宋_GB2312" w:eastAsia="仿宋_GB2312" w:cs="DengXian-Regular"/>
          <w:sz w:val="32"/>
          <w:szCs w:val="32"/>
        </w:rPr>
        <w:t>4161.77</w:t>
      </w:r>
      <w:r>
        <w:rPr>
          <w:rFonts w:hint="eastAsia" w:ascii="仿宋_GB2312" w:eastAsia="仿宋_GB2312" w:cs="DengXian-Regular"/>
          <w:sz w:val="32"/>
          <w:szCs w:val="32"/>
        </w:rPr>
        <w:t>万元，其他收入</w:t>
      </w:r>
      <w:r>
        <w:rPr>
          <w:rFonts w:ascii="仿宋_GB2312" w:eastAsia="仿宋_GB2312" w:cs="DengXian-Regular"/>
          <w:sz w:val="32"/>
          <w:szCs w:val="32"/>
        </w:rPr>
        <w:t>0.03</w:t>
      </w:r>
      <w:r>
        <w:rPr>
          <w:rFonts w:hint="eastAsia" w:ascii="仿宋_GB2312" w:eastAsia="仿宋_GB2312" w:cs="DengXian-Regular"/>
          <w:sz w:val="32"/>
          <w:szCs w:val="32"/>
        </w:rPr>
        <w:t>万元（全部为利息收入）。决算收入按功能分类包含：一般公共</w:t>
      </w:r>
      <w:r>
        <w:rPr>
          <w:rFonts w:ascii="仿宋_GB2312" w:eastAsia="仿宋_GB2312" w:cs="DengXian-Regular"/>
          <w:sz w:val="32"/>
          <w:szCs w:val="32"/>
        </w:rPr>
        <w:t>服务支出436.64</w:t>
      </w:r>
      <w:r>
        <w:rPr>
          <w:rFonts w:hint="eastAsia" w:ascii="仿宋_GB2312" w:eastAsia="仿宋_GB2312" w:cs="DengXian-Regular"/>
          <w:sz w:val="32"/>
          <w:szCs w:val="32"/>
        </w:rPr>
        <w:t>万元，占比</w:t>
      </w:r>
      <w:r>
        <w:rPr>
          <w:rFonts w:ascii="仿宋_GB2312" w:eastAsia="仿宋_GB2312" w:cs="DengXian-Regular"/>
          <w:sz w:val="32"/>
          <w:szCs w:val="32"/>
        </w:rPr>
        <w:t>10.49</w:t>
      </w:r>
      <w:r>
        <w:rPr>
          <w:rFonts w:hint="eastAsia" w:ascii="仿宋_GB2312" w:eastAsia="仿宋_GB2312" w:cs="DengXian-Regular"/>
          <w:sz w:val="32"/>
          <w:szCs w:val="32"/>
        </w:rPr>
        <w:t>%；社会保障和就业支出</w:t>
      </w:r>
      <w:r>
        <w:rPr>
          <w:rFonts w:ascii="仿宋_GB2312" w:eastAsia="仿宋_GB2312" w:cs="DengXian-Regular"/>
          <w:sz w:val="32"/>
          <w:szCs w:val="32"/>
        </w:rPr>
        <w:t>95.39</w:t>
      </w:r>
      <w:r>
        <w:rPr>
          <w:rFonts w:hint="eastAsia" w:ascii="仿宋_GB2312" w:eastAsia="仿宋_GB2312" w:cs="DengXian-Regular"/>
          <w:sz w:val="32"/>
          <w:szCs w:val="32"/>
        </w:rPr>
        <w:t>万元，占比</w:t>
      </w:r>
      <w:r>
        <w:rPr>
          <w:rFonts w:ascii="仿宋_GB2312" w:eastAsia="仿宋_GB2312" w:cs="DengXian-Regular"/>
          <w:sz w:val="32"/>
          <w:szCs w:val="32"/>
        </w:rPr>
        <w:t>2.29</w:t>
      </w:r>
      <w:r>
        <w:rPr>
          <w:rFonts w:hint="eastAsia" w:ascii="仿宋_GB2312" w:eastAsia="仿宋_GB2312" w:cs="DengXian-Regular"/>
          <w:sz w:val="32"/>
          <w:szCs w:val="32"/>
        </w:rPr>
        <w:t>%；卫生健康支出</w:t>
      </w:r>
      <w:r>
        <w:rPr>
          <w:rFonts w:ascii="仿宋_GB2312" w:eastAsia="仿宋_GB2312" w:cs="DengXian-Regular"/>
          <w:sz w:val="32"/>
          <w:szCs w:val="32"/>
        </w:rPr>
        <w:t>8.52</w:t>
      </w:r>
      <w:r>
        <w:rPr>
          <w:rFonts w:hint="eastAsia" w:ascii="仿宋_GB2312" w:eastAsia="仿宋_GB2312" w:cs="DengXian-Regular"/>
          <w:sz w:val="32"/>
          <w:szCs w:val="32"/>
        </w:rPr>
        <w:t>万元，占比</w:t>
      </w:r>
      <w:r>
        <w:rPr>
          <w:rFonts w:ascii="仿宋_GB2312" w:eastAsia="仿宋_GB2312" w:cs="DengXian-Regular"/>
          <w:sz w:val="32"/>
          <w:szCs w:val="32"/>
        </w:rPr>
        <w:t>0.2</w:t>
      </w:r>
      <w:r>
        <w:rPr>
          <w:rFonts w:hint="eastAsia" w:ascii="仿宋_GB2312" w:eastAsia="仿宋_GB2312" w:cs="DengXian-Regular"/>
          <w:sz w:val="32"/>
          <w:szCs w:val="32"/>
        </w:rPr>
        <w:t>%；农林水</w:t>
      </w:r>
      <w:r>
        <w:rPr>
          <w:rFonts w:ascii="仿宋_GB2312" w:eastAsia="仿宋_GB2312" w:cs="DengXian-Regular"/>
          <w:sz w:val="32"/>
          <w:szCs w:val="32"/>
        </w:rPr>
        <w:t>支出</w:t>
      </w:r>
      <w:r>
        <w:rPr>
          <w:rFonts w:hint="eastAsia" w:ascii="仿宋_GB2312" w:eastAsia="仿宋_GB2312" w:cs="DengXian-Regular"/>
          <w:sz w:val="32"/>
          <w:szCs w:val="32"/>
        </w:rPr>
        <w:t>3604.29万元</w:t>
      </w:r>
      <w:r>
        <w:rPr>
          <w:rFonts w:ascii="仿宋_GB2312" w:eastAsia="仿宋_GB2312" w:cs="DengXian-Regular"/>
          <w:sz w:val="32"/>
          <w:szCs w:val="32"/>
        </w:rPr>
        <w:t>，占比</w:t>
      </w:r>
      <w:r>
        <w:rPr>
          <w:rFonts w:hint="eastAsia" w:ascii="仿宋_GB2312" w:eastAsia="仿宋_GB2312" w:cs="DengXian-Regular"/>
          <w:sz w:val="32"/>
          <w:szCs w:val="32"/>
        </w:rPr>
        <w:t>86.6</w:t>
      </w:r>
      <w:r>
        <w:rPr>
          <w:rFonts w:ascii="仿宋_GB2312" w:eastAsia="仿宋_GB2312" w:cs="DengXian-Regular"/>
          <w:sz w:val="32"/>
          <w:szCs w:val="32"/>
        </w:rPr>
        <w:t>%；</w:t>
      </w:r>
      <w:r>
        <w:rPr>
          <w:rFonts w:hint="eastAsia" w:ascii="仿宋_GB2312" w:eastAsia="仿宋_GB2312" w:cs="DengXian-Regular"/>
          <w:sz w:val="32"/>
          <w:szCs w:val="32"/>
        </w:rPr>
        <w:t>住房保障支出</w:t>
      </w:r>
      <w:r>
        <w:rPr>
          <w:rFonts w:ascii="仿宋_GB2312" w:eastAsia="仿宋_GB2312" w:cs="DengXian-Regular"/>
          <w:sz w:val="32"/>
          <w:szCs w:val="32"/>
        </w:rPr>
        <w:t>16.95</w:t>
      </w:r>
      <w:r>
        <w:rPr>
          <w:rFonts w:hint="eastAsia" w:ascii="仿宋_GB2312" w:eastAsia="仿宋_GB2312" w:cs="DengXian-Regular"/>
          <w:sz w:val="32"/>
          <w:szCs w:val="32"/>
        </w:rPr>
        <w:t>万元，占比</w:t>
      </w:r>
      <w:r>
        <w:rPr>
          <w:rFonts w:ascii="仿宋_GB2312" w:eastAsia="仿宋_GB2312" w:cs="DengXian-Regular"/>
          <w:sz w:val="32"/>
          <w:szCs w:val="32"/>
        </w:rPr>
        <w:t>0.4</w:t>
      </w:r>
      <w:r>
        <w:rPr>
          <w:rFonts w:hint="eastAsia" w:ascii="仿宋_GB2312" w:eastAsia="仿宋_GB2312" w:cs="DengXian-Regular"/>
          <w:sz w:val="32"/>
          <w:szCs w:val="32"/>
        </w:rPr>
        <w:t>%。具体决算收入详见附件2。</w:t>
      </w:r>
    </w:p>
    <w:p w14:paraId="64121FB0">
      <w:pPr>
        <w:spacing w:after="0" w:line="360" w:lineRule="auto"/>
        <w:ind w:firstLine="640" w:firstLineChars="200"/>
        <w:jc w:val="both"/>
        <w:rPr>
          <w:rFonts w:ascii="仿宋_GB2312" w:eastAsia="仿宋_GB2312" w:cs="Times New Roman" w:hAnsiTheme="minorEastAsia"/>
          <w:bCs/>
          <w:sz w:val="32"/>
          <w:szCs w:val="32"/>
          <w:u w:color="000000"/>
        </w:rPr>
      </w:pPr>
      <w:r>
        <w:rPr>
          <w:rFonts w:hint="eastAsia" w:ascii="仿宋_GB2312" w:eastAsia="仿宋_GB2312" w:cs="DengXian-Regular"/>
          <w:sz w:val="32"/>
          <w:szCs w:val="32"/>
        </w:rPr>
        <w:t>组织部一般公共预算财政拨款决算收入比年初预算减少80</w:t>
      </w:r>
      <w:r>
        <w:rPr>
          <w:rFonts w:ascii="仿宋_GB2312" w:eastAsia="仿宋_GB2312" w:cs="DengXian-Regular"/>
          <w:sz w:val="32"/>
          <w:szCs w:val="32"/>
        </w:rPr>
        <w:t>3.44</w:t>
      </w:r>
      <w:r>
        <w:rPr>
          <w:rFonts w:hint="eastAsia" w:ascii="仿宋_GB2312" w:eastAsia="仿宋_GB2312" w:cs="DengXian-Regular"/>
          <w:sz w:val="32"/>
          <w:szCs w:val="32"/>
        </w:rPr>
        <w:t>万元，完成年初预算的</w:t>
      </w:r>
      <w:r>
        <w:rPr>
          <w:rFonts w:ascii="仿宋_GB2312" w:eastAsia="仿宋_GB2312" w:cs="DengXian-Regular"/>
          <w:sz w:val="32"/>
          <w:szCs w:val="32"/>
        </w:rPr>
        <w:t>83.82</w:t>
      </w:r>
      <w:r>
        <w:rPr>
          <w:rFonts w:hint="eastAsia" w:ascii="仿宋_GB2312" w:eastAsia="仿宋_GB2312" w:cs="DengXian-Regular"/>
          <w:sz w:val="32"/>
          <w:szCs w:val="32"/>
        </w:rPr>
        <w:t>%。决算收入小于预算收入的主要原因为2019年度保定市徐水区市场监督管理局农村</w:t>
      </w:r>
      <w:r>
        <w:rPr>
          <w:rFonts w:ascii="仿宋_GB2312" w:eastAsia="仿宋_GB2312" w:cs="DengXian-Regular"/>
          <w:sz w:val="32"/>
          <w:szCs w:val="32"/>
        </w:rPr>
        <w:t>干部基础职务补贴项目预算包含村两委干部</w:t>
      </w:r>
      <w:r>
        <w:rPr>
          <w:rFonts w:hint="eastAsia" w:ascii="仿宋_GB2312" w:eastAsia="仿宋_GB2312" w:cs="DengXian-Regular"/>
          <w:sz w:val="32"/>
          <w:szCs w:val="32"/>
        </w:rPr>
        <w:t>绩效</w:t>
      </w:r>
      <w:r>
        <w:rPr>
          <w:rFonts w:ascii="仿宋_GB2312" w:eastAsia="仿宋_GB2312" w:cs="DengXian-Regular"/>
          <w:sz w:val="32"/>
          <w:szCs w:val="32"/>
        </w:rPr>
        <w:t>补贴</w:t>
      </w:r>
      <w:r>
        <w:rPr>
          <w:rFonts w:hint="eastAsia" w:ascii="仿宋_GB2312" w:eastAsia="仿宋_GB2312" w:cs="DengXian-Regular"/>
          <w:sz w:val="32"/>
          <w:szCs w:val="32"/>
        </w:rPr>
        <w:t>300元/人/月</w:t>
      </w:r>
      <w:r>
        <w:rPr>
          <w:rFonts w:ascii="仿宋_GB2312" w:eastAsia="仿宋_GB2312" w:cs="DengXian-Regular"/>
          <w:sz w:val="32"/>
          <w:szCs w:val="32"/>
        </w:rPr>
        <w:t>，</w:t>
      </w:r>
      <w:r>
        <w:rPr>
          <w:rFonts w:hint="eastAsia" w:ascii="仿宋_GB2312" w:eastAsia="仿宋_GB2312" w:cs="DengXian-Regular"/>
          <w:sz w:val="32"/>
          <w:szCs w:val="32"/>
        </w:rPr>
        <w:t>全年513.88万元</w:t>
      </w:r>
      <w:r>
        <w:rPr>
          <w:rFonts w:ascii="仿宋_GB2312" w:eastAsia="仿宋_GB2312" w:cs="DengXian-Regular"/>
          <w:sz w:val="32"/>
          <w:szCs w:val="32"/>
        </w:rPr>
        <w:t>以及村级组织维护建设资金</w:t>
      </w:r>
      <w:r>
        <w:rPr>
          <w:rFonts w:hint="eastAsia" w:ascii="仿宋_GB2312" w:eastAsia="仿宋_GB2312" w:cs="DengXian-Regular"/>
          <w:sz w:val="32"/>
          <w:szCs w:val="32"/>
        </w:rPr>
        <w:t>200万元，</w:t>
      </w:r>
      <w:r>
        <w:rPr>
          <w:rFonts w:ascii="仿宋_GB2312" w:eastAsia="仿宋_GB2312" w:cs="DengXian-Regular"/>
          <w:sz w:val="32"/>
          <w:szCs w:val="32"/>
        </w:rPr>
        <w:t>两项共</w:t>
      </w:r>
      <w:r>
        <w:rPr>
          <w:rFonts w:hint="eastAsia" w:ascii="仿宋_GB2312" w:eastAsia="仿宋_GB2312" w:cs="DengXian-Regular"/>
          <w:sz w:val="32"/>
          <w:szCs w:val="32"/>
        </w:rPr>
        <w:t>715.88万元</w:t>
      </w:r>
      <w:r>
        <w:rPr>
          <w:rFonts w:ascii="仿宋_GB2312" w:eastAsia="仿宋_GB2312" w:cs="DengXian-Regular"/>
          <w:sz w:val="32"/>
          <w:szCs w:val="32"/>
        </w:rPr>
        <w:t>，后来为了便于乡镇管理</w:t>
      </w:r>
      <w:r>
        <w:rPr>
          <w:rFonts w:hint="eastAsia" w:ascii="仿宋_GB2312" w:eastAsia="仿宋_GB2312" w:cs="DengXian-Regular"/>
          <w:sz w:val="32"/>
          <w:szCs w:val="32"/>
        </w:rPr>
        <w:t>下拨</w:t>
      </w:r>
      <w:r>
        <w:rPr>
          <w:rFonts w:ascii="仿宋_GB2312" w:eastAsia="仿宋_GB2312" w:cs="DengXian-Regular"/>
          <w:sz w:val="32"/>
          <w:szCs w:val="32"/>
        </w:rPr>
        <w:t>到了乡镇</w:t>
      </w:r>
      <w:r>
        <w:rPr>
          <w:rFonts w:hint="eastAsia" w:ascii="仿宋_GB2312" w:eastAsia="仿宋_GB2312" w:cs="DengXian-Regular"/>
          <w:sz w:val="32"/>
          <w:szCs w:val="32"/>
        </w:rPr>
        <w:t>。</w:t>
      </w:r>
    </w:p>
    <w:p w14:paraId="4A7A6F91">
      <w:pPr>
        <w:pStyle w:val="4"/>
        <w:spacing w:before="0" w:after="0"/>
        <w:ind w:firstLine="643" w:firstLineChars="200"/>
        <w:jc w:val="both"/>
        <w:rPr>
          <w:rFonts w:ascii="仿宋_GB2312" w:hAnsiTheme="minorEastAsia"/>
          <w:sz w:val="32"/>
        </w:rPr>
      </w:pPr>
      <w:bookmarkStart w:id="11" w:name="_Toc58195228"/>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1"/>
    </w:p>
    <w:p w14:paraId="4D90D11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2019年度保定市徐水区市场监督管理局</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4965.24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396.64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4568.6</w:t>
      </w:r>
      <w:r>
        <w:rPr>
          <w:rFonts w:hint="eastAsia" w:ascii="仿宋_GB2312" w:eastAsia="仿宋_GB2312" w:cs="Times New Roman" w:hAnsiTheme="minorEastAsia"/>
          <w:sz w:val="32"/>
          <w:szCs w:val="32"/>
          <w:u w:color="000000"/>
        </w:rPr>
        <w:t>万元。预算支出按功能分类包含：一般公共</w:t>
      </w:r>
      <w:r>
        <w:rPr>
          <w:rFonts w:ascii="仿宋_GB2312" w:eastAsia="仿宋_GB2312" w:cs="Times New Roman" w:hAnsiTheme="minorEastAsia"/>
          <w:sz w:val="32"/>
          <w:szCs w:val="32"/>
          <w:u w:color="000000"/>
        </w:rPr>
        <w:t>服务</w:t>
      </w:r>
      <w:r>
        <w:rPr>
          <w:rFonts w:hint="eastAsia" w:ascii="仿宋_GB2312" w:eastAsia="仿宋_GB2312" w:cs="Times New Roman" w:hAnsiTheme="minorEastAsia"/>
          <w:sz w:val="32"/>
          <w:szCs w:val="32"/>
          <w:u w:color="000000"/>
        </w:rPr>
        <w:t>支出</w:t>
      </w:r>
      <w:r>
        <w:rPr>
          <w:rFonts w:ascii="仿宋_GB2312" w:eastAsia="仿宋_GB2312" w:cs="Times New Roman" w:hAnsiTheme="minorEastAsia"/>
          <w:sz w:val="32"/>
          <w:szCs w:val="32"/>
          <w:u w:color="000000"/>
        </w:rPr>
        <w:t>474.76</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78.2</w:t>
      </w:r>
      <w:r>
        <w:rPr>
          <w:rFonts w:hint="eastAsia" w:ascii="仿宋_GB2312" w:eastAsia="仿宋_GB2312" w:cs="Times New Roman" w:hAnsiTheme="minorEastAsia"/>
          <w:sz w:val="32"/>
          <w:szCs w:val="32"/>
          <w:u w:color="000000"/>
        </w:rPr>
        <w:t>万元，卫生健康支出</w:t>
      </w:r>
      <w:r>
        <w:rPr>
          <w:rFonts w:ascii="仿宋_GB2312" w:eastAsia="仿宋_GB2312" w:cs="Times New Roman" w:hAnsiTheme="minorEastAsia"/>
          <w:sz w:val="32"/>
          <w:szCs w:val="32"/>
          <w:u w:color="000000"/>
        </w:rPr>
        <w:t>9.92</w:t>
      </w:r>
      <w:r>
        <w:rPr>
          <w:rFonts w:hint="eastAsia" w:ascii="仿宋_GB2312" w:eastAsia="仿宋_GB2312" w:cs="Times New Roman" w:hAnsiTheme="minorEastAsia"/>
          <w:sz w:val="32"/>
          <w:szCs w:val="32"/>
          <w:u w:color="000000"/>
        </w:rPr>
        <w:t>万元，农林水</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4384.72万元</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17.64</w:t>
      </w:r>
      <w:r>
        <w:rPr>
          <w:rFonts w:hint="eastAsia" w:ascii="仿宋_GB2312" w:eastAsia="仿宋_GB2312" w:cs="Times New Roman" w:hAnsiTheme="minorEastAsia"/>
          <w:sz w:val="32"/>
          <w:szCs w:val="32"/>
          <w:u w:color="000000"/>
        </w:rPr>
        <w:t>万元。具体预算支出详见附件2。</w:t>
      </w:r>
    </w:p>
    <w:p w14:paraId="36B6C59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2019年度保定市徐水区市场监督管理局</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4166.92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342.19</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3824.73</w:t>
      </w:r>
      <w:r>
        <w:rPr>
          <w:rFonts w:hint="eastAsia" w:ascii="仿宋_GB2312" w:eastAsia="仿宋_GB2312" w:cs="Times New Roman" w:hAnsiTheme="minorEastAsia"/>
          <w:sz w:val="32"/>
          <w:szCs w:val="32"/>
          <w:u w:color="000000"/>
        </w:rPr>
        <w:t>万元。决算支出按功能分类包含：一般公共服务支出</w:t>
      </w:r>
      <w:r>
        <w:rPr>
          <w:rFonts w:ascii="仿宋_GB2312" w:eastAsia="仿宋_GB2312" w:cs="Times New Roman" w:hAnsiTheme="minorEastAsia"/>
          <w:sz w:val="32"/>
          <w:szCs w:val="32"/>
          <w:u w:color="000000"/>
        </w:rPr>
        <w:t>442.08</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10.61</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95.08</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2.28</w:t>
      </w:r>
      <w:r>
        <w:rPr>
          <w:rFonts w:hint="eastAsia" w:ascii="仿宋_GB2312" w:eastAsia="仿宋_GB2312" w:cs="Times New Roman" w:hAnsiTheme="minorEastAsia"/>
          <w:sz w:val="32"/>
          <w:szCs w:val="32"/>
          <w:u w:color="000000"/>
        </w:rPr>
        <w:t>%；卫生健康支出</w:t>
      </w:r>
      <w:r>
        <w:rPr>
          <w:rFonts w:ascii="仿宋_GB2312" w:eastAsia="仿宋_GB2312" w:cs="Times New Roman" w:hAnsiTheme="minorEastAsia"/>
          <w:sz w:val="32"/>
          <w:szCs w:val="32"/>
          <w:u w:color="000000"/>
        </w:rPr>
        <w:t>8.52</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0.2</w:t>
      </w:r>
      <w:r>
        <w:rPr>
          <w:rFonts w:hint="eastAsia" w:ascii="仿宋_GB2312" w:eastAsia="仿宋_GB2312" w:cs="Times New Roman" w:hAnsiTheme="minorEastAsia"/>
          <w:sz w:val="32"/>
          <w:szCs w:val="32"/>
          <w:u w:color="000000"/>
        </w:rPr>
        <w:t>%；农林水</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3604.29万元</w:t>
      </w:r>
      <w:r>
        <w:rPr>
          <w:rFonts w:ascii="仿宋_GB2312" w:eastAsia="仿宋_GB2312" w:cs="Times New Roman" w:hAnsiTheme="minorEastAsia"/>
          <w:sz w:val="32"/>
          <w:szCs w:val="32"/>
          <w:u w:color="000000"/>
        </w:rPr>
        <w:t>，占比</w:t>
      </w:r>
      <w:r>
        <w:rPr>
          <w:rFonts w:hint="eastAsia" w:ascii="仿宋_GB2312" w:eastAsia="仿宋_GB2312" w:cs="Times New Roman" w:hAnsiTheme="minorEastAsia"/>
          <w:sz w:val="32"/>
          <w:szCs w:val="32"/>
          <w:u w:color="000000"/>
        </w:rPr>
        <w:t>86.5</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16.95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0.41</w:t>
      </w:r>
      <w:r>
        <w:rPr>
          <w:rFonts w:hint="eastAsia" w:ascii="仿宋_GB2312" w:eastAsia="仿宋_GB2312" w:cs="Times New Roman" w:hAnsiTheme="minorEastAsia"/>
          <w:sz w:val="32"/>
          <w:szCs w:val="32"/>
          <w:u w:color="000000"/>
        </w:rPr>
        <w:t>%。具体决算支出详见附件2。</w:t>
      </w:r>
    </w:p>
    <w:p w14:paraId="1B3F83A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财政拨款决算支出比年初预算减少798.37万元。决算支出完成年初预算的</w:t>
      </w:r>
      <w:r>
        <w:rPr>
          <w:rFonts w:ascii="仿宋_GB2312" w:eastAsia="仿宋_GB2312" w:cs="DengXian-Regular"/>
          <w:sz w:val="32"/>
          <w:szCs w:val="32"/>
        </w:rPr>
        <w:t>83.92</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主要原因为2019年度保定市徐水区市场监督管理局农村</w:t>
      </w:r>
      <w:r>
        <w:rPr>
          <w:rFonts w:ascii="仿宋_GB2312" w:eastAsia="仿宋_GB2312" w:cs="DengXian-Regular"/>
          <w:sz w:val="32"/>
          <w:szCs w:val="32"/>
        </w:rPr>
        <w:t>干部基础职务补贴项目预算包含村两委干部</w:t>
      </w:r>
      <w:r>
        <w:rPr>
          <w:rFonts w:hint="eastAsia" w:ascii="仿宋_GB2312" w:eastAsia="仿宋_GB2312" w:cs="DengXian-Regular"/>
          <w:sz w:val="32"/>
          <w:szCs w:val="32"/>
        </w:rPr>
        <w:t>绩效</w:t>
      </w:r>
      <w:r>
        <w:rPr>
          <w:rFonts w:ascii="仿宋_GB2312" w:eastAsia="仿宋_GB2312" w:cs="DengXian-Regular"/>
          <w:sz w:val="32"/>
          <w:szCs w:val="32"/>
        </w:rPr>
        <w:t>补贴</w:t>
      </w:r>
      <w:r>
        <w:rPr>
          <w:rFonts w:hint="eastAsia" w:ascii="仿宋_GB2312" w:eastAsia="仿宋_GB2312" w:cs="DengXian-Regular"/>
          <w:sz w:val="32"/>
          <w:szCs w:val="32"/>
        </w:rPr>
        <w:t>300元/人/月</w:t>
      </w:r>
      <w:r>
        <w:rPr>
          <w:rFonts w:ascii="仿宋_GB2312" w:eastAsia="仿宋_GB2312" w:cs="DengXian-Regular"/>
          <w:sz w:val="32"/>
          <w:szCs w:val="32"/>
        </w:rPr>
        <w:t>，</w:t>
      </w:r>
      <w:r>
        <w:rPr>
          <w:rFonts w:hint="eastAsia" w:ascii="仿宋_GB2312" w:eastAsia="仿宋_GB2312" w:cs="DengXian-Regular"/>
          <w:sz w:val="32"/>
          <w:szCs w:val="32"/>
        </w:rPr>
        <w:t>全年513.88万元</w:t>
      </w:r>
      <w:r>
        <w:rPr>
          <w:rFonts w:ascii="仿宋_GB2312" w:eastAsia="仿宋_GB2312" w:cs="DengXian-Regular"/>
          <w:sz w:val="32"/>
          <w:szCs w:val="32"/>
        </w:rPr>
        <w:t>以及村级组织维护建设资金</w:t>
      </w:r>
      <w:r>
        <w:rPr>
          <w:rFonts w:hint="eastAsia" w:ascii="仿宋_GB2312" w:eastAsia="仿宋_GB2312" w:cs="DengXian-Regular"/>
          <w:sz w:val="32"/>
          <w:szCs w:val="32"/>
        </w:rPr>
        <w:t>200万元，</w:t>
      </w:r>
      <w:r>
        <w:rPr>
          <w:rFonts w:ascii="仿宋_GB2312" w:eastAsia="仿宋_GB2312" w:cs="DengXian-Regular"/>
          <w:sz w:val="32"/>
          <w:szCs w:val="32"/>
        </w:rPr>
        <w:t>两项共</w:t>
      </w:r>
      <w:r>
        <w:rPr>
          <w:rFonts w:hint="eastAsia" w:ascii="仿宋_GB2312" w:eastAsia="仿宋_GB2312" w:cs="DengXian-Regular"/>
          <w:sz w:val="32"/>
          <w:szCs w:val="32"/>
        </w:rPr>
        <w:t>715.88万元</w:t>
      </w:r>
      <w:r>
        <w:rPr>
          <w:rFonts w:ascii="仿宋_GB2312" w:eastAsia="仿宋_GB2312" w:cs="DengXian-Regular"/>
          <w:sz w:val="32"/>
          <w:szCs w:val="32"/>
        </w:rPr>
        <w:t>，后来为了便于乡镇管理</w:t>
      </w:r>
      <w:r>
        <w:rPr>
          <w:rFonts w:hint="eastAsia" w:ascii="仿宋_GB2312" w:eastAsia="仿宋_GB2312" w:cs="DengXian-Regular"/>
          <w:sz w:val="32"/>
          <w:szCs w:val="32"/>
        </w:rPr>
        <w:t>下拨</w:t>
      </w:r>
      <w:r>
        <w:rPr>
          <w:rFonts w:ascii="仿宋_GB2312" w:eastAsia="仿宋_GB2312" w:cs="DengXian-Regular"/>
          <w:sz w:val="32"/>
          <w:szCs w:val="32"/>
        </w:rPr>
        <w:t>到了乡镇</w:t>
      </w:r>
      <w:r>
        <w:rPr>
          <w:rFonts w:hint="eastAsia" w:ascii="仿宋" w:hAnsi="仿宋" w:eastAsia="仿宋"/>
          <w:snapToGrid w:val="0"/>
          <w:sz w:val="32"/>
          <w:szCs w:val="32"/>
        </w:rPr>
        <w:t>。</w:t>
      </w:r>
    </w:p>
    <w:p w14:paraId="39AF992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保定市徐水区市场监督管理局2019年实际项目支出</w:t>
      </w:r>
      <w:r>
        <w:rPr>
          <w:rFonts w:ascii="仿宋_GB2312" w:eastAsia="仿宋_GB2312" w:cs="DengXian-Regular"/>
          <w:sz w:val="32"/>
          <w:szCs w:val="32"/>
        </w:rPr>
        <w:t>3824.73</w:t>
      </w:r>
      <w:r>
        <w:rPr>
          <w:rFonts w:hint="eastAsia" w:ascii="仿宋_GB2312" w:eastAsia="仿宋_GB2312" w:cs="DengXian-Regular"/>
          <w:sz w:val="32"/>
          <w:szCs w:val="32"/>
        </w:rPr>
        <w:t>万元，决算报表中项目支出</w:t>
      </w:r>
      <w:r>
        <w:rPr>
          <w:rFonts w:ascii="仿宋_GB2312" w:eastAsia="仿宋_GB2312" w:cs="DengXian-Regular"/>
          <w:sz w:val="32"/>
          <w:szCs w:val="32"/>
        </w:rPr>
        <w:t>3824.73</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79714450">
      <w:pPr>
        <w:pStyle w:val="4"/>
        <w:spacing w:before="0" w:after="0"/>
        <w:ind w:firstLine="643" w:firstLineChars="200"/>
        <w:jc w:val="both"/>
        <w:rPr>
          <w:rFonts w:ascii="仿宋_GB2312" w:hAnsi="Tahoma" w:cs="DengXian-Regular"/>
          <w:sz w:val="32"/>
        </w:rPr>
      </w:pPr>
      <w:bookmarkStart w:id="12" w:name="_Toc492652769"/>
      <w:bookmarkStart w:id="13" w:name="_Toc58195229"/>
      <w:bookmarkStart w:id="14" w:name="_Toc465149503"/>
      <w:r>
        <w:rPr>
          <w:rFonts w:hint="eastAsia" w:ascii="仿宋_GB2312" w:hAnsi="Tahoma" w:cs="DengXian-Regular"/>
          <w:sz w:val="32"/>
        </w:rPr>
        <w:t>（五）“三公”经费预算安排及支出情况</w:t>
      </w:r>
      <w:bookmarkEnd w:id="12"/>
      <w:bookmarkEnd w:id="13"/>
      <w:bookmarkEnd w:id="14"/>
    </w:p>
    <w:p w14:paraId="2E98919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2019年保定市徐水区市场监督管理局“三公”经费预算</w:t>
      </w:r>
      <w:r>
        <w:rPr>
          <w:rFonts w:ascii="仿宋_GB2312" w:eastAsia="仿宋_GB2312" w:cs="DengXian-Regular"/>
          <w:sz w:val="32"/>
          <w:szCs w:val="32"/>
        </w:rPr>
        <w:t>27</w:t>
      </w:r>
      <w:r>
        <w:rPr>
          <w:rFonts w:hint="eastAsia" w:ascii="仿宋_GB2312" w:eastAsia="仿宋_GB2312" w:cs="DengXian-Regular"/>
          <w:sz w:val="32"/>
          <w:szCs w:val="32"/>
        </w:rPr>
        <w:t>万元（公务用车运行维护费</w:t>
      </w:r>
      <w:r>
        <w:rPr>
          <w:rFonts w:ascii="仿宋_GB2312" w:eastAsia="仿宋_GB2312" w:cs="DengXian-Regular"/>
          <w:sz w:val="32"/>
          <w:szCs w:val="32"/>
        </w:rPr>
        <w:t>20</w:t>
      </w:r>
      <w:r>
        <w:rPr>
          <w:rFonts w:hint="eastAsia" w:ascii="仿宋_GB2312" w:eastAsia="仿宋_GB2312" w:cs="DengXian-Regular"/>
          <w:sz w:val="32"/>
          <w:szCs w:val="32"/>
        </w:rPr>
        <w:t>万元，公务接待费</w:t>
      </w:r>
      <w:r>
        <w:rPr>
          <w:rFonts w:ascii="仿宋_GB2312" w:eastAsia="仿宋_GB2312" w:cs="DengXian-Regular"/>
          <w:sz w:val="32"/>
          <w:szCs w:val="32"/>
        </w:rPr>
        <w:t>7</w:t>
      </w:r>
      <w:r>
        <w:rPr>
          <w:rFonts w:hint="eastAsia" w:ascii="仿宋_GB2312" w:eastAsia="仿宋_GB2312" w:cs="DengXian-Regular"/>
          <w:sz w:val="32"/>
          <w:szCs w:val="32"/>
        </w:rPr>
        <w:t>万元），实际支出</w:t>
      </w:r>
      <w:r>
        <w:rPr>
          <w:rFonts w:ascii="仿宋_GB2312" w:eastAsia="仿宋_GB2312" w:cs="DengXian-Regular"/>
          <w:sz w:val="32"/>
          <w:szCs w:val="32"/>
        </w:rPr>
        <w:t>8.14</w:t>
      </w:r>
      <w:r>
        <w:rPr>
          <w:rFonts w:hint="eastAsia" w:ascii="仿宋_GB2312" w:eastAsia="仿宋_GB2312" w:cs="DengXian-Regular"/>
          <w:sz w:val="32"/>
          <w:szCs w:val="32"/>
        </w:rPr>
        <w:t>万元（公务用车运行维护费</w:t>
      </w:r>
      <w:r>
        <w:rPr>
          <w:rFonts w:ascii="仿宋_GB2312" w:eastAsia="仿宋_GB2312" w:cs="DengXian-Regular"/>
          <w:sz w:val="32"/>
          <w:szCs w:val="32"/>
        </w:rPr>
        <w:t>5.79</w:t>
      </w:r>
      <w:r>
        <w:rPr>
          <w:rFonts w:hint="eastAsia" w:ascii="仿宋_GB2312" w:eastAsia="仿宋_GB2312" w:cs="DengXian-Regular"/>
          <w:sz w:val="32"/>
          <w:szCs w:val="32"/>
        </w:rPr>
        <w:t>万元，公务接待费</w:t>
      </w:r>
      <w:r>
        <w:rPr>
          <w:rFonts w:ascii="仿宋_GB2312" w:eastAsia="仿宋_GB2312" w:cs="DengXian-Regular"/>
          <w:sz w:val="32"/>
          <w:szCs w:val="32"/>
        </w:rPr>
        <w:t>2.35</w:t>
      </w:r>
      <w:r>
        <w:rPr>
          <w:rFonts w:hint="eastAsia" w:ascii="仿宋_GB2312" w:eastAsia="仿宋_GB2312" w:cs="DengXian-Regular"/>
          <w:sz w:val="32"/>
          <w:szCs w:val="32"/>
        </w:rPr>
        <w:t>万元），比预算减少</w:t>
      </w:r>
      <w:r>
        <w:rPr>
          <w:rFonts w:ascii="仿宋_GB2312" w:eastAsia="仿宋_GB2312" w:cs="DengXian-Regular"/>
          <w:sz w:val="32"/>
          <w:szCs w:val="32"/>
        </w:rPr>
        <w:t>18.86</w:t>
      </w:r>
      <w:r>
        <w:rPr>
          <w:rFonts w:hint="eastAsia" w:ascii="仿宋_GB2312" w:eastAsia="仿宋_GB2312" w:cs="DengXian-Regular"/>
          <w:sz w:val="32"/>
          <w:szCs w:val="32"/>
        </w:rPr>
        <w:t>万元，节约率</w:t>
      </w:r>
      <w:r>
        <w:rPr>
          <w:rFonts w:ascii="仿宋_GB2312" w:eastAsia="仿宋_GB2312" w:cs="DengXian-Regular"/>
          <w:sz w:val="32"/>
          <w:szCs w:val="32"/>
        </w:rPr>
        <w:t>70</w:t>
      </w:r>
      <w:r>
        <w:rPr>
          <w:rFonts w:hint="eastAsia" w:ascii="仿宋_GB2312" w:eastAsia="仿宋_GB2312" w:cs="DengXian-Regular"/>
          <w:sz w:val="32"/>
          <w:szCs w:val="32"/>
        </w:rPr>
        <w:t>%。2019年“三公”经费预算数与2018年预算数相比无变化，决算数与2018年实际支出相比，减少</w:t>
      </w:r>
      <w:r>
        <w:rPr>
          <w:rFonts w:ascii="仿宋_GB2312" w:eastAsia="仿宋_GB2312" w:cs="DengXian-Regular"/>
          <w:sz w:val="32"/>
          <w:szCs w:val="32"/>
        </w:rPr>
        <w:t>7.18</w:t>
      </w:r>
      <w:r>
        <w:rPr>
          <w:rFonts w:hint="eastAsia" w:ascii="仿宋_GB2312" w:eastAsia="仿宋_GB2312" w:cs="DengXian-Regular"/>
          <w:sz w:val="32"/>
          <w:szCs w:val="32"/>
        </w:rPr>
        <w:t>万元。具体详见表1。</w:t>
      </w:r>
    </w:p>
    <w:p w14:paraId="04227940">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保定市徐水区市场监督管理局</w:t>
      </w:r>
      <w:r>
        <w:rPr>
          <w:rFonts w:hint="eastAsia" w:asciiTheme="minorEastAsia" w:hAnsiTheme="minorEastAsia" w:eastAsiaTheme="minorEastAsia" w:cstheme="minorEastAsia"/>
          <w:b/>
          <w:bCs/>
          <w:sz w:val="32"/>
          <w:szCs w:val="32"/>
        </w:rPr>
        <w:t>“三公”经费预算及决算明细表</w:t>
      </w:r>
    </w:p>
    <w:p w14:paraId="042AB37B">
      <w:pPr>
        <w:spacing w:after="0" w:line="540" w:lineRule="exac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79835C85">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89FEC">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DE354">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12972">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614BCDED">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256E">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76F32FB8">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88E21">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7F890">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0C87F">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EFFCFA">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8AD9107">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A79062">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23BAE9">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684839">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34B9DC1E">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F2AB">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1BDA658C">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8F0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2E68">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94C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E3B5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EEB67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161467">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265CBA22">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5CE4">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A5911E">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8E84">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82280">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12.87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64B4">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1BB6">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5.79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9F06E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87A112">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7.08</w:t>
            </w:r>
          </w:p>
        </w:tc>
      </w:tr>
      <w:tr w14:paraId="1E492E4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E4E51">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88569">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86CF">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1546">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A24A">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E2F0">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FEF494">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8DC7B2">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0.1</w:t>
            </w:r>
          </w:p>
        </w:tc>
      </w:tr>
      <w:tr w14:paraId="4C8DDA1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F9C7F">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3B475B">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0DD6">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F65C">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5DB8">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27</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9F4749">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57F3A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B5A59A">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7.18</w:t>
            </w:r>
          </w:p>
        </w:tc>
      </w:tr>
    </w:tbl>
    <w:p w14:paraId="17588B3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1、公务用车：2019年底保定市徐水区市场监督管理局车辆合计</w:t>
      </w:r>
      <w:r>
        <w:rPr>
          <w:rFonts w:ascii="仿宋_GB2312" w:eastAsia="仿宋_GB2312" w:cs="DengXian-Regular"/>
          <w:sz w:val="32"/>
          <w:szCs w:val="32"/>
        </w:rPr>
        <w:t>1</w:t>
      </w:r>
      <w:r>
        <w:rPr>
          <w:rFonts w:hint="eastAsia" w:ascii="仿宋_GB2312" w:eastAsia="仿宋_GB2312" w:cs="DengXian-Regular"/>
          <w:sz w:val="32"/>
          <w:szCs w:val="32"/>
        </w:rPr>
        <w:t>辆，其中应急保障用车1辆，无其他用车。2019年公务用车购置及运维费年初预算</w:t>
      </w:r>
      <w:r>
        <w:rPr>
          <w:rFonts w:ascii="仿宋_GB2312" w:eastAsia="仿宋_GB2312" w:cs="DengXian-Regular"/>
          <w:sz w:val="32"/>
          <w:szCs w:val="32"/>
        </w:rPr>
        <w:t>20</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5.79</w:t>
      </w:r>
      <w:r>
        <w:rPr>
          <w:rFonts w:hint="eastAsia" w:ascii="仿宋_GB2312" w:eastAsia="仿宋_GB2312" w:cs="DengXian-Regular"/>
          <w:sz w:val="32"/>
          <w:szCs w:val="32"/>
        </w:rPr>
        <w:t>万元，比预算减少</w:t>
      </w:r>
      <w:r>
        <w:rPr>
          <w:rFonts w:ascii="仿宋_GB2312" w:eastAsia="仿宋_GB2312" w:cs="DengXian-Regular"/>
          <w:sz w:val="32"/>
          <w:szCs w:val="32"/>
        </w:rPr>
        <w:t>14.21</w:t>
      </w:r>
      <w:r>
        <w:rPr>
          <w:rFonts w:hint="eastAsia" w:ascii="仿宋_GB2312" w:eastAsia="仿宋_GB2312" w:cs="DengXian-Regular"/>
          <w:sz w:val="32"/>
          <w:szCs w:val="32"/>
        </w:rPr>
        <w:t>万元，节约率</w:t>
      </w:r>
      <w:r>
        <w:rPr>
          <w:rFonts w:ascii="仿宋_GB2312" w:eastAsia="仿宋_GB2312" w:cs="DengXian-Regular"/>
          <w:sz w:val="32"/>
          <w:szCs w:val="32"/>
        </w:rPr>
        <w:t>71</w:t>
      </w:r>
      <w:r>
        <w:rPr>
          <w:rFonts w:hint="eastAsia" w:ascii="仿宋_GB2312" w:eastAsia="仿宋_GB2312" w:cs="DengXian-Regular"/>
          <w:sz w:val="32"/>
          <w:szCs w:val="32"/>
        </w:rPr>
        <w:t>%。2019年预算数与2018年预算相比无变化，决算数与2018年实际支出相比，减少</w:t>
      </w:r>
      <w:r>
        <w:rPr>
          <w:rFonts w:ascii="仿宋_GB2312" w:eastAsia="仿宋_GB2312" w:cs="DengXian-Regular"/>
          <w:sz w:val="32"/>
          <w:szCs w:val="32"/>
        </w:rPr>
        <w:t>7.08</w:t>
      </w:r>
      <w:r>
        <w:rPr>
          <w:rFonts w:hint="eastAsia" w:ascii="仿宋_GB2312" w:eastAsia="仿宋_GB2312" w:cs="DengXian-Regular"/>
          <w:sz w:val="32"/>
          <w:szCs w:val="32"/>
        </w:rPr>
        <w:t>万元。</w:t>
      </w:r>
    </w:p>
    <w:p w14:paraId="1B77DBE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2、公务接待：2019年保定市徐水区市场监督管理局公务接待费年初预算</w:t>
      </w:r>
      <w:r>
        <w:rPr>
          <w:rFonts w:ascii="仿宋_GB2312" w:eastAsia="仿宋_GB2312" w:cs="DengXian-Regular"/>
          <w:sz w:val="32"/>
          <w:szCs w:val="32"/>
        </w:rPr>
        <w:t>7</w:t>
      </w:r>
      <w:r>
        <w:rPr>
          <w:rFonts w:hint="eastAsia" w:ascii="仿宋_GB2312" w:eastAsia="仿宋_GB2312" w:cs="DengXian-Regular"/>
          <w:sz w:val="32"/>
          <w:szCs w:val="32"/>
        </w:rPr>
        <w:t>万元，实际支出</w:t>
      </w:r>
      <w:r>
        <w:rPr>
          <w:rFonts w:ascii="仿宋_GB2312" w:eastAsia="仿宋_GB2312" w:cs="DengXian-Regular"/>
          <w:sz w:val="32"/>
          <w:szCs w:val="32"/>
        </w:rPr>
        <w:t>2.35</w:t>
      </w:r>
      <w:r>
        <w:rPr>
          <w:rFonts w:hint="eastAsia" w:ascii="仿宋_GB2312" w:eastAsia="仿宋_GB2312" w:cs="DengXian-Regular"/>
          <w:sz w:val="32"/>
          <w:szCs w:val="32"/>
        </w:rPr>
        <w:t>万元，比预算减少了</w:t>
      </w:r>
      <w:r>
        <w:rPr>
          <w:rFonts w:ascii="仿宋_GB2312" w:eastAsia="仿宋_GB2312" w:cs="DengXian-Regular"/>
          <w:sz w:val="32"/>
          <w:szCs w:val="32"/>
        </w:rPr>
        <w:t>0.1</w:t>
      </w:r>
      <w:r>
        <w:rPr>
          <w:rFonts w:hint="eastAsia" w:ascii="仿宋_GB2312" w:eastAsia="仿宋_GB2312" w:cs="DengXian-Regular"/>
          <w:sz w:val="32"/>
          <w:szCs w:val="32"/>
        </w:rPr>
        <w:t>万元，节约率</w:t>
      </w:r>
      <w:r>
        <w:rPr>
          <w:rFonts w:ascii="仿宋_GB2312" w:eastAsia="仿宋_GB2312" w:cs="DengXian-Regular"/>
          <w:sz w:val="32"/>
          <w:szCs w:val="32"/>
        </w:rPr>
        <w:t>1.4</w:t>
      </w:r>
      <w:r>
        <w:rPr>
          <w:rFonts w:hint="eastAsia" w:ascii="仿宋_GB2312" w:eastAsia="仿宋_GB2312" w:cs="DengXian-Regular"/>
          <w:sz w:val="32"/>
          <w:szCs w:val="32"/>
        </w:rPr>
        <w:t>%。2019年预算数与2018年预算相比无变化，决算数与2018年实际支出相比，减少了0.1万元。</w:t>
      </w:r>
    </w:p>
    <w:p w14:paraId="339C2E03">
      <w:pPr>
        <w:pStyle w:val="3"/>
        <w:spacing w:before="0" w:after="0" w:line="360" w:lineRule="auto"/>
        <w:ind w:firstLine="643" w:firstLineChars="200"/>
        <w:rPr>
          <w:rFonts w:ascii="黑体" w:hAnsiTheme="minorEastAsia"/>
          <w:u w:color="000000"/>
        </w:rPr>
      </w:pPr>
      <w:bookmarkStart w:id="15" w:name="_Toc58195230"/>
      <w:bookmarkStart w:id="16" w:name="_Toc492652770"/>
      <w:bookmarkStart w:id="17" w:name="_Toc465149504"/>
      <w:r>
        <w:rPr>
          <w:rFonts w:hint="eastAsia" w:ascii="黑体"/>
        </w:rPr>
        <w:t>二、部门整体支出绩效评价指标体系设定情况</w:t>
      </w:r>
      <w:bookmarkEnd w:id="15"/>
      <w:bookmarkEnd w:id="16"/>
    </w:p>
    <w:p w14:paraId="602D548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根据绩效预算管理改革的有关政策和文件规定，并与保定市徐水区市场监督管理局沟通，绩效评价工作组以绩效预算架构为指导，以部门预算文本及相关资料为基础，制定了部门整体支出绩效评价指标体系。</w:t>
      </w:r>
    </w:p>
    <w:p w14:paraId="1BC40DB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8" w:name="_Toc492652771"/>
    </w:p>
    <w:p w14:paraId="0D829433">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8"/>
    </w:p>
    <w:p w14:paraId="169107C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68E22E06">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5B3151EC">
      <w:pPr>
        <w:pStyle w:val="4"/>
        <w:spacing w:before="0" w:after="0"/>
        <w:ind w:firstLine="643" w:firstLineChars="200"/>
        <w:jc w:val="both"/>
        <w:rPr>
          <w:rFonts w:ascii="楷体" w:hAnsi="楷体" w:eastAsia="楷体"/>
          <w:sz w:val="32"/>
        </w:rPr>
      </w:pPr>
      <w:bookmarkStart w:id="19" w:name="_Toc58195231"/>
      <w:bookmarkStart w:id="20" w:name="_Toc492652772"/>
      <w:r>
        <w:rPr>
          <w:rFonts w:hint="eastAsia" w:ascii="楷体" w:hAnsi="楷体" w:eastAsia="楷体"/>
          <w:kern w:val="2"/>
          <w:sz w:val="32"/>
        </w:rPr>
        <w:t>（二）过程（48分）</w:t>
      </w:r>
      <w:bookmarkEnd w:id="19"/>
      <w:bookmarkEnd w:id="20"/>
    </w:p>
    <w:p w14:paraId="7CDA37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3DA35A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3F9CA96">
      <w:pPr>
        <w:pStyle w:val="4"/>
        <w:spacing w:before="0" w:after="0"/>
        <w:ind w:firstLine="643" w:firstLineChars="200"/>
        <w:jc w:val="both"/>
        <w:rPr>
          <w:rFonts w:ascii="楷体" w:hAnsi="楷体" w:eastAsia="楷体"/>
          <w:kern w:val="2"/>
          <w:sz w:val="32"/>
        </w:rPr>
      </w:pPr>
      <w:bookmarkStart w:id="21" w:name="_Toc58195232"/>
      <w:bookmarkStart w:id="22" w:name="_Toc492652773"/>
      <w:r>
        <w:rPr>
          <w:rFonts w:hint="eastAsia" w:ascii="楷体" w:hAnsi="楷体" w:eastAsia="楷体"/>
          <w:kern w:val="2"/>
          <w:sz w:val="32"/>
        </w:rPr>
        <w:t>（三）产出（25分）</w:t>
      </w:r>
      <w:bookmarkEnd w:id="21"/>
      <w:bookmarkEnd w:id="22"/>
    </w:p>
    <w:p w14:paraId="5E15084F">
      <w:pPr>
        <w:spacing w:after="0" w:line="360" w:lineRule="auto"/>
        <w:ind w:firstLine="640" w:firstLineChars="200"/>
        <w:jc w:val="both"/>
        <w:textAlignment w:val="baseline"/>
        <w:rPr>
          <w:rFonts w:ascii="仿宋_GB2312" w:eastAsia="仿宋_GB2312" w:cs="DengXian-Regular"/>
          <w:sz w:val="32"/>
          <w:szCs w:val="32"/>
        </w:rPr>
      </w:pPr>
      <w:bookmarkStart w:id="23" w:name="_Toc492652774"/>
      <w:r>
        <w:rPr>
          <w:rFonts w:hint="eastAsia" w:ascii="仿宋_GB2312" w:eastAsia="仿宋_GB2312" w:cs="DengXian-Regular"/>
          <w:sz w:val="32"/>
          <w:szCs w:val="32"/>
        </w:rPr>
        <w:t>主要反映结转结余率，项目资金使用率。</w:t>
      </w:r>
    </w:p>
    <w:p w14:paraId="72A29C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C7B8209">
      <w:pPr>
        <w:pStyle w:val="4"/>
        <w:spacing w:before="0" w:after="0"/>
        <w:ind w:firstLine="643" w:firstLineChars="200"/>
        <w:jc w:val="both"/>
        <w:rPr>
          <w:rFonts w:ascii="楷体_GB2312" w:eastAsia="楷体_GB2312" w:hAnsiTheme="minorEastAsia"/>
          <w:sz w:val="32"/>
        </w:rPr>
      </w:pPr>
      <w:bookmarkStart w:id="24" w:name="_Toc58195233"/>
      <w:r>
        <w:rPr>
          <w:rFonts w:hint="eastAsia" w:ascii="楷体_GB2312" w:eastAsia="楷体_GB2312" w:hAnsiTheme="minorEastAsia"/>
          <w:kern w:val="2"/>
          <w:sz w:val="32"/>
        </w:rPr>
        <w:t>（四）效果（15分）</w:t>
      </w:r>
      <w:bookmarkEnd w:id="23"/>
      <w:bookmarkEnd w:id="24"/>
    </w:p>
    <w:p w14:paraId="74CD24AE">
      <w:pPr>
        <w:spacing w:after="0" w:line="360" w:lineRule="auto"/>
        <w:ind w:firstLine="640" w:firstLineChars="200"/>
        <w:jc w:val="both"/>
        <w:textAlignment w:val="baseline"/>
        <w:rPr>
          <w:rFonts w:ascii="仿宋_GB2312" w:eastAsia="仿宋_GB2312" w:cs="DengXian-Regular"/>
          <w:sz w:val="32"/>
          <w:szCs w:val="32"/>
        </w:rPr>
      </w:pPr>
      <w:bookmarkStart w:id="25"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0D6A16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2F8FA5D">
      <w:pPr>
        <w:pStyle w:val="3"/>
        <w:spacing w:before="0" w:after="0" w:line="360" w:lineRule="auto"/>
        <w:ind w:firstLine="643" w:firstLineChars="200"/>
        <w:rPr>
          <w:rFonts w:ascii="黑体"/>
        </w:rPr>
      </w:pPr>
      <w:bookmarkStart w:id="26" w:name="_Toc58195234"/>
      <w:r>
        <w:rPr>
          <w:rFonts w:hint="eastAsia" w:ascii="黑体"/>
        </w:rPr>
        <w:t>三、综合绩效评价工作情况</w:t>
      </w:r>
      <w:bookmarkEnd w:id="17"/>
      <w:bookmarkEnd w:id="25"/>
      <w:bookmarkEnd w:id="26"/>
      <w:bookmarkStart w:id="27" w:name="_Toc465149505"/>
      <w:bookmarkStart w:id="28" w:name="_Toc492652776"/>
    </w:p>
    <w:p w14:paraId="23379C95">
      <w:pPr>
        <w:pStyle w:val="4"/>
        <w:spacing w:before="0" w:after="0"/>
        <w:ind w:firstLine="643" w:firstLineChars="200"/>
        <w:jc w:val="both"/>
        <w:rPr>
          <w:rFonts w:ascii="楷体_GB2312" w:eastAsia="楷体_GB2312" w:hAnsiTheme="minorEastAsia"/>
          <w:sz w:val="32"/>
        </w:rPr>
      </w:pPr>
      <w:bookmarkStart w:id="29" w:name="_Toc58195235"/>
      <w:r>
        <w:rPr>
          <w:rFonts w:hint="eastAsia" w:ascii="楷体_GB2312" w:eastAsia="楷体_GB2312" w:hAnsiTheme="minorEastAsia"/>
          <w:kern w:val="2"/>
          <w:sz w:val="32"/>
        </w:rPr>
        <w:t>（一）绩效评价目的</w:t>
      </w:r>
      <w:bookmarkEnd w:id="27"/>
      <w:bookmarkEnd w:id="28"/>
      <w:bookmarkEnd w:id="29"/>
    </w:p>
    <w:p w14:paraId="13B19F97">
      <w:pPr>
        <w:spacing w:after="0" w:line="360" w:lineRule="auto"/>
        <w:ind w:firstLine="640" w:firstLineChars="200"/>
        <w:jc w:val="both"/>
        <w:textAlignment w:val="baseline"/>
        <w:rPr>
          <w:rFonts w:ascii="仿宋_GB2312" w:eastAsia="仿宋_GB2312" w:cs="DengXian-Regular"/>
          <w:sz w:val="32"/>
          <w:szCs w:val="32"/>
        </w:rPr>
      </w:pPr>
      <w:bookmarkStart w:id="30" w:name="_Toc492652777"/>
      <w:bookmarkStart w:id="31" w:name="_Toc465149506"/>
      <w:r>
        <w:rPr>
          <w:rFonts w:hint="eastAsia" w:ascii="仿宋_GB2312" w:eastAsia="仿宋_GB2312" w:cs="DengXian-Regular"/>
          <w:sz w:val="32"/>
          <w:szCs w:val="32"/>
        </w:rPr>
        <w:t>通过对保定市徐水区市场监督管理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030E9D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11BE436D">
      <w:pPr>
        <w:pStyle w:val="4"/>
        <w:spacing w:before="0" w:after="0"/>
        <w:ind w:firstLine="643" w:firstLineChars="200"/>
        <w:jc w:val="both"/>
        <w:rPr>
          <w:rFonts w:ascii="楷体_GB2312" w:eastAsia="楷体_GB2312" w:hAnsiTheme="minorEastAsia"/>
          <w:kern w:val="2"/>
          <w:sz w:val="32"/>
        </w:rPr>
      </w:pPr>
      <w:bookmarkStart w:id="32" w:name="_Toc58195236"/>
      <w:r>
        <w:rPr>
          <w:rFonts w:hint="eastAsia" w:ascii="楷体_GB2312" w:eastAsia="楷体_GB2312" w:hAnsiTheme="minorEastAsia"/>
          <w:kern w:val="2"/>
          <w:sz w:val="32"/>
        </w:rPr>
        <w:t>（二）绩效评价依据</w:t>
      </w:r>
      <w:bookmarkEnd w:id="30"/>
      <w:bookmarkEnd w:id="31"/>
      <w:bookmarkEnd w:id="32"/>
    </w:p>
    <w:p w14:paraId="342942B7">
      <w:pPr>
        <w:spacing w:after="0" w:line="360" w:lineRule="auto"/>
        <w:ind w:firstLine="640" w:firstLineChars="200"/>
        <w:jc w:val="both"/>
        <w:textAlignment w:val="baseline"/>
        <w:rPr>
          <w:rFonts w:ascii="仿宋_GB2312" w:eastAsia="仿宋_GB2312" w:cs="DengXian-Regular"/>
          <w:sz w:val="32"/>
          <w:szCs w:val="32"/>
        </w:rPr>
      </w:pPr>
      <w:bookmarkStart w:id="33"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48A9AD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2.中央国务院《关于全面实施预算绩效管理的意见》（中发〔2018〕34号）；</w:t>
      </w:r>
    </w:p>
    <w:p w14:paraId="2EEF42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995B5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6BFA9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7D1252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5076A3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4" w:name="_Toc492652778"/>
    </w:p>
    <w:p w14:paraId="71329B18">
      <w:pPr>
        <w:pStyle w:val="4"/>
        <w:spacing w:before="0" w:after="0"/>
        <w:ind w:firstLine="643" w:firstLineChars="200"/>
        <w:jc w:val="both"/>
        <w:rPr>
          <w:rFonts w:ascii="楷体_GB2312" w:eastAsia="楷体_GB2312" w:hAnsiTheme="minorEastAsia"/>
          <w:kern w:val="2"/>
          <w:sz w:val="32"/>
        </w:rPr>
      </w:pPr>
      <w:bookmarkStart w:id="35" w:name="_Toc58195237"/>
      <w:r>
        <w:rPr>
          <w:rFonts w:hint="eastAsia" w:ascii="楷体_GB2312" w:eastAsia="楷体_GB2312" w:hAnsiTheme="minorEastAsia"/>
          <w:kern w:val="2"/>
          <w:sz w:val="32"/>
        </w:rPr>
        <w:t>（三）绩效评价</w:t>
      </w:r>
      <w:bookmarkEnd w:id="34"/>
      <w:r>
        <w:rPr>
          <w:rFonts w:hint="eastAsia" w:ascii="楷体_GB2312" w:eastAsia="楷体_GB2312" w:hAnsiTheme="minorEastAsia"/>
          <w:kern w:val="2"/>
          <w:sz w:val="32"/>
        </w:rPr>
        <w:t>内容</w:t>
      </w:r>
      <w:bookmarkEnd w:id="35"/>
    </w:p>
    <w:bookmarkEnd w:id="33"/>
    <w:p w14:paraId="1E393D3D">
      <w:pPr>
        <w:spacing w:after="0" w:line="360" w:lineRule="auto"/>
        <w:ind w:firstLine="640" w:firstLineChars="200"/>
        <w:jc w:val="both"/>
        <w:textAlignment w:val="baseline"/>
        <w:rPr>
          <w:rFonts w:ascii="仿宋_GB2312" w:eastAsia="仿宋_GB2312" w:cs="DengXian-Regular"/>
          <w:sz w:val="32"/>
          <w:szCs w:val="32"/>
        </w:rPr>
      </w:pPr>
      <w:bookmarkStart w:id="36" w:name="_Toc465149508"/>
      <w:bookmarkStart w:id="37" w:name="_Toc492652779"/>
      <w:r>
        <w:rPr>
          <w:rFonts w:hint="eastAsia" w:ascii="仿宋_GB2312" w:eastAsia="仿宋_GB2312" w:cs="DengXian-Regular"/>
          <w:sz w:val="32"/>
          <w:szCs w:val="32"/>
        </w:rPr>
        <w:t>保定市徐水区市场监督管理局2019年部门整体支出绩效目标和指标的设置及完成情况；资金预算情况、实际收支情况及结转结余情况；部门履职对社会发展所带来的直接或间接影响及服务对象对部门履职效果的满意程度。</w:t>
      </w:r>
    </w:p>
    <w:p w14:paraId="2CED3008">
      <w:pPr>
        <w:pStyle w:val="4"/>
        <w:spacing w:before="0" w:after="0"/>
        <w:ind w:firstLine="643" w:firstLineChars="200"/>
        <w:jc w:val="both"/>
        <w:rPr>
          <w:rFonts w:ascii="楷体_GB2312" w:eastAsia="楷体_GB2312" w:hAnsiTheme="minorEastAsia"/>
          <w:kern w:val="2"/>
          <w:sz w:val="32"/>
        </w:rPr>
      </w:pPr>
      <w:bookmarkStart w:id="38" w:name="_Toc58195238"/>
      <w:r>
        <w:rPr>
          <w:rFonts w:hint="eastAsia" w:ascii="楷体_GB2312" w:eastAsia="楷体_GB2312" w:hAnsiTheme="minorEastAsia"/>
          <w:kern w:val="2"/>
          <w:sz w:val="32"/>
        </w:rPr>
        <w:t>（四）绩效评价原则</w:t>
      </w:r>
      <w:bookmarkEnd w:id="38"/>
    </w:p>
    <w:p w14:paraId="506141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28CB6A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09F79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1B9C36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3F08F9E9">
      <w:pPr>
        <w:pStyle w:val="4"/>
        <w:spacing w:before="0" w:after="0"/>
        <w:ind w:firstLine="643" w:firstLineChars="200"/>
        <w:jc w:val="both"/>
        <w:rPr>
          <w:rFonts w:ascii="楷体_GB2312" w:eastAsia="楷体_GB2312" w:hAnsiTheme="minorEastAsia"/>
          <w:kern w:val="2"/>
          <w:sz w:val="32"/>
        </w:rPr>
      </w:pPr>
      <w:bookmarkStart w:id="39" w:name="_Toc58195239"/>
      <w:r>
        <w:rPr>
          <w:rFonts w:hint="eastAsia" w:ascii="楷体_GB2312" w:eastAsia="楷体_GB2312" w:hAnsiTheme="minorEastAsia"/>
          <w:kern w:val="2"/>
          <w:sz w:val="32"/>
        </w:rPr>
        <w:t>（五）</w:t>
      </w:r>
      <w:bookmarkEnd w:id="36"/>
      <w:bookmarkStart w:id="40" w:name="_Toc465149509"/>
      <w:r>
        <w:rPr>
          <w:rFonts w:hint="eastAsia" w:ascii="楷体_GB2312" w:eastAsia="楷体_GB2312" w:hAnsiTheme="minorEastAsia"/>
          <w:kern w:val="2"/>
          <w:sz w:val="32"/>
        </w:rPr>
        <w:t>绩效评价方法</w:t>
      </w:r>
      <w:bookmarkEnd w:id="37"/>
      <w:bookmarkEnd w:id="39"/>
      <w:bookmarkEnd w:id="40"/>
    </w:p>
    <w:p w14:paraId="33D8F8E4">
      <w:pPr>
        <w:spacing w:after="0" w:line="360" w:lineRule="auto"/>
        <w:ind w:firstLine="640" w:firstLineChars="200"/>
        <w:jc w:val="both"/>
        <w:textAlignment w:val="baseline"/>
        <w:rPr>
          <w:rFonts w:ascii="仿宋_GB2312" w:eastAsia="仿宋_GB2312" w:cs="DengXian-Regular"/>
          <w:sz w:val="32"/>
          <w:szCs w:val="32"/>
        </w:rPr>
      </w:pPr>
      <w:bookmarkStart w:id="41" w:name="_Toc422314152"/>
      <w:bookmarkStart w:id="42" w:name="_Toc421623217"/>
      <w:bookmarkStart w:id="43" w:name="_Toc492652780"/>
      <w:bookmarkStart w:id="44"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1"/>
      <w:bookmarkEnd w:id="42"/>
    </w:p>
    <w:p w14:paraId="28191803">
      <w:pPr>
        <w:spacing w:after="0" w:line="360" w:lineRule="auto"/>
        <w:ind w:firstLine="640" w:firstLineChars="200"/>
        <w:jc w:val="both"/>
        <w:textAlignment w:val="baseline"/>
        <w:rPr>
          <w:rFonts w:ascii="仿宋_GB2312" w:eastAsia="仿宋_GB2312" w:cs="DengXian-Regular"/>
          <w:sz w:val="32"/>
          <w:szCs w:val="32"/>
        </w:rPr>
      </w:pPr>
      <w:bookmarkStart w:id="45" w:name="_Toc422314153"/>
      <w:bookmarkStart w:id="46"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5"/>
      <w:bookmarkEnd w:id="46"/>
    </w:p>
    <w:p w14:paraId="4BB5611A">
      <w:pPr>
        <w:spacing w:after="0" w:line="360" w:lineRule="auto"/>
        <w:ind w:firstLine="640" w:firstLineChars="200"/>
        <w:jc w:val="both"/>
        <w:textAlignment w:val="baseline"/>
        <w:rPr>
          <w:rFonts w:ascii="仿宋_GB2312" w:eastAsia="仿宋_GB2312" w:cs="DengXian-Regular"/>
          <w:sz w:val="32"/>
          <w:szCs w:val="32"/>
        </w:rPr>
      </w:pPr>
      <w:bookmarkStart w:id="47" w:name="_Toc422314155"/>
      <w:bookmarkStart w:id="48"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7"/>
      <w:bookmarkEnd w:id="48"/>
    </w:p>
    <w:p w14:paraId="786F7309">
      <w:pPr>
        <w:spacing w:after="0" w:line="360" w:lineRule="auto"/>
        <w:ind w:firstLine="640" w:firstLineChars="200"/>
        <w:jc w:val="both"/>
        <w:textAlignment w:val="baseline"/>
        <w:rPr>
          <w:rFonts w:ascii="仿宋_GB2312" w:eastAsia="仿宋_GB2312" w:cs="DengXian-Regular"/>
          <w:sz w:val="32"/>
          <w:szCs w:val="32"/>
        </w:rPr>
      </w:pPr>
      <w:bookmarkStart w:id="49" w:name="_Toc422314156"/>
      <w:bookmarkStart w:id="50"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9"/>
      <w:bookmarkEnd w:id="50"/>
    </w:p>
    <w:p w14:paraId="472A0BC6">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3"/>
      <w:bookmarkEnd w:id="44"/>
    </w:p>
    <w:p w14:paraId="2CE7AF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8C8B3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65741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经与保定市徐水区市场监督管理局充分沟通，并充分收集相关资料，主要包括部门职责、工作活动、预决算文本、相关管理制度、资金使用等相关资料，为制定绩效评价实施方案和指标体系奠定了基础。</w:t>
      </w:r>
    </w:p>
    <w:p w14:paraId="107373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07A835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基于对保定市徐水区市场监督管理局相关资料的收集，制定绩效评价实施方案和体系,确定最终方案。</w:t>
      </w:r>
    </w:p>
    <w:p w14:paraId="7BC180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1CA63E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保定市徐水区市场监督管理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11331A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65149511"/>
      <w:bookmarkStart w:id="52" w:name="_Toc492652781"/>
    </w:p>
    <w:p w14:paraId="1B84E23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5230937">
      <w:pPr>
        <w:pStyle w:val="3"/>
        <w:spacing w:before="0" w:after="0" w:line="360" w:lineRule="auto"/>
        <w:ind w:firstLine="643" w:firstLineChars="200"/>
        <w:rPr>
          <w:rFonts w:ascii="黑体"/>
        </w:rPr>
      </w:pPr>
      <w:bookmarkStart w:id="53" w:name="_Toc58195240"/>
      <w:r>
        <w:rPr>
          <w:rFonts w:hint="eastAsia" w:ascii="黑体"/>
        </w:rPr>
        <w:t>四、</w:t>
      </w:r>
      <w:bookmarkEnd w:id="51"/>
      <w:bookmarkEnd w:id="52"/>
      <w:bookmarkStart w:id="54" w:name="_Toc492652782"/>
      <w:r>
        <w:rPr>
          <w:rFonts w:hint="eastAsia" w:ascii="黑体"/>
        </w:rPr>
        <w:t>绩效评价评分情况</w:t>
      </w:r>
      <w:bookmarkEnd w:id="53"/>
    </w:p>
    <w:bookmarkEnd w:id="54"/>
    <w:p w14:paraId="3CAF6B4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保定市徐水区市场监督管理局部门整体支出绩效评价总得分为87.63分，综合绩效评价等级为“良”。各项得分情况如下</w:t>
      </w:r>
      <w:r>
        <w:rPr>
          <w:rFonts w:hint="eastAsia" w:ascii="仿宋_GB2312" w:eastAsia="仿宋_GB2312" w:cs="Times New Roman" w:hAnsiTheme="minorEastAsia"/>
          <w:sz w:val="32"/>
          <w:szCs w:val="32"/>
          <w:u w:color="000000"/>
        </w:rPr>
        <w:t>：</w:t>
      </w:r>
    </w:p>
    <w:p w14:paraId="00710DA5">
      <w:pPr>
        <w:pStyle w:val="4"/>
        <w:spacing w:before="0" w:after="0"/>
        <w:ind w:firstLine="643" w:firstLineChars="200"/>
        <w:jc w:val="both"/>
        <w:rPr>
          <w:rFonts w:ascii="楷体_GB2312" w:eastAsia="楷体_GB2312" w:hAnsiTheme="minorEastAsia"/>
          <w:kern w:val="2"/>
          <w:sz w:val="32"/>
        </w:rPr>
      </w:pPr>
      <w:bookmarkStart w:id="55" w:name="_Toc492652783"/>
      <w:bookmarkStart w:id="56" w:name="_Toc58195241"/>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w:t>
      </w:r>
      <w:r>
        <w:rPr>
          <w:rFonts w:ascii="楷体_GB2312" w:eastAsia="楷体_GB2312" w:hAnsiTheme="minorEastAsia"/>
          <w:kern w:val="2"/>
          <w:sz w:val="32"/>
        </w:rPr>
        <w:t>0</w:t>
      </w:r>
      <w:r>
        <w:rPr>
          <w:rFonts w:hint="eastAsia" w:ascii="楷体_GB2312" w:eastAsia="楷体_GB2312" w:hAnsiTheme="minorEastAsia"/>
          <w:kern w:val="2"/>
          <w:sz w:val="32"/>
        </w:rPr>
        <w:t>分）</w:t>
      </w:r>
      <w:bookmarkEnd w:id="56"/>
    </w:p>
    <w:p w14:paraId="40C7B2B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527FC9C0">
      <w:pPr>
        <w:spacing w:after="0" w:line="360" w:lineRule="auto"/>
        <w:ind w:firstLine="643"/>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37EA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70AE05E6">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127AA194">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4F56B8EB">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2CCC56B">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20CBF080">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10FD4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312837F1">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3F9A5FE">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16D29782">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041E3F4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F3B6E2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181977F">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119DF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F23C2D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92DD4E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896C157">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230AF66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16252AC">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6E45D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CE0CC2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CEC24E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0E771E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47C18E9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4A1C0425">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4E522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53DBF6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33F7EC0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AE7DFF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7C4E7F0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43B4B4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455D987">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A942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ED0742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29C9B3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31FAF4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55DE72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6225396">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D8A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8E5030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3D9043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6E20BE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33142B2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69F1C9A">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2082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9113FA6">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69A94B04">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79D4D3F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785C4EDD">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bl>
    <w:p w14:paraId="28F7A2CD">
      <w:pPr>
        <w:spacing w:after="0" w:line="360" w:lineRule="auto"/>
        <w:ind w:firstLine="640" w:firstLineChars="20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w:t>
      </w:r>
      <w:r>
        <w:rPr>
          <w:rFonts w:ascii="仿宋_GB2312" w:eastAsia="仿宋_GB2312" w:cs="DengXian-Regular"/>
          <w:sz w:val="32"/>
          <w:szCs w:val="32"/>
        </w:rPr>
        <w:t>4</w:t>
      </w:r>
      <w:r>
        <w:rPr>
          <w:rFonts w:hint="eastAsia" w:ascii="仿宋_GB2312" w:eastAsia="仿宋_GB2312" w:cs="DengXian-Regular"/>
          <w:sz w:val="32"/>
          <w:szCs w:val="32"/>
        </w:rPr>
        <w:t>分）</w:t>
      </w:r>
    </w:p>
    <w:p w14:paraId="3EDF6C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ascii="仿宋_GB2312" w:eastAsia="仿宋_GB2312" w:cs="DengXian-Regular"/>
          <w:sz w:val="32"/>
          <w:szCs w:val="32"/>
        </w:rPr>
        <w:t>2</w:t>
      </w:r>
      <w:r>
        <w:rPr>
          <w:rFonts w:hint="eastAsia" w:ascii="仿宋_GB2312" w:eastAsia="仿宋_GB2312" w:cs="DengXian-Regular"/>
          <w:sz w:val="32"/>
          <w:szCs w:val="32"/>
        </w:rPr>
        <w:t>分)</w:t>
      </w:r>
    </w:p>
    <w:p w14:paraId="720F95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F6D4A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印发的《徐水区市场监督管理局职能配置、内设机构和人员编制规定》和保定市徐水区市场监督管理局2019年预算文本—部门职责工作活动绩效目标，评价工作组认为保定市徐水区市场监督管理局部门职责符合“三定”方案中所赋予的职责，绩效目标设立依据充分，符合客观实际，与部门职责、工作规划和重点工作相关，工作活动和项目预算安排合理。</w:t>
      </w:r>
    </w:p>
    <w:p w14:paraId="5FC8A2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6F439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w:t>
      </w:r>
      <w:r>
        <w:rPr>
          <w:rFonts w:ascii="仿宋_GB2312" w:eastAsia="仿宋_GB2312" w:cs="DengXian-Regular"/>
          <w:sz w:val="32"/>
          <w:szCs w:val="32"/>
        </w:rPr>
        <w:t>1</w:t>
      </w:r>
      <w:r>
        <w:rPr>
          <w:rFonts w:hint="eastAsia" w:ascii="仿宋_GB2312" w:eastAsia="仿宋_GB2312" w:cs="DengXian-Regular"/>
          <w:sz w:val="32"/>
          <w:szCs w:val="32"/>
        </w:rPr>
        <w:t>分）</w:t>
      </w:r>
    </w:p>
    <w:p w14:paraId="097F5C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635249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部门职责工作活动绩效目标（详见附件4），干部培养选拔和省市及区委管理干部管理两项职责活动未设置可评价、可衡量的绩效指标，部门绩效目标未划分为具体的工作任务，不利于对绩效目标实际完成情况进行考核。</w:t>
      </w:r>
    </w:p>
    <w:p w14:paraId="3C4AFE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p>
    <w:p w14:paraId="5BFD94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52B6A5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w:t>
      </w:r>
      <w:r>
        <w:rPr>
          <w:rFonts w:ascii="仿宋_GB2312" w:eastAsia="仿宋_GB2312" w:cs="DengXian-Regular"/>
          <w:sz w:val="32"/>
          <w:szCs w:val="32"/>
        </w:rPr>
        <w:t>1</w:t>
      </w:r>
      <w:r>
        <w:rPr>
          <w:rFonts w:hint="eastAsia" w:ascii="仿宋_GB2312" w:eastAsia="仿宋_GB2312" w:cs="DengXian-Regular"/>
          <w:sz w:val="32"/>
          <w:szCs w:val="32"/>
        </w:rPr>
        <w:t>分）</w:t>
      </w:r>
    </w:p>
    <w:p w14:paraId="126F8CE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6E582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根据保定市徐水区市场监督管理局2019年预算文本—部门职责工作活动绩效目标,干部工资政策和区管干部离退休待遇政策两项职责活动未设置绩效指标及绩效指标评价标准，不便于评价及衡量。</w:t>
      </w:r>
    </w:p>
    <w:p w14:paraId="5FE999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1AED8F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ascii="仿宋_GB2312" w:eastAsia="仿宋_GB2312" w:cs="DengXian-Regular"/>
          <w:sz w:val="32"/>
          <w:szCs w:val="32"/>
        </w:rPr>
        <w:t>6</w:t>
      </w:r>
      <w:r>
        <w:rPr>
          <w:rFonts w:hint="eastAsia" w:ascii="仿宋_GB2312" w:eastAsia="仿宋_GB2312" w:cs="DengXian-Regular"/>
          <w:sz w:val="32"/>
          <w:szCs w:val="32"/>
        </w:rPr>
        <w:t>分）</w:t>
      </w:r>
    </w:p>
    <w:p w14:paraId="24FF35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3EDA7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710965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根据保定市徐水区市场监督管理局2019年预算文本及相关会计资料，保定市徐水区市场监督管理局所有收入均已纳入部门预算，部门支出按基本支出、项目支出分别编制。</w:t>
      </w:r>
    </w:p>
    <w:p w14:paraId="6C37F6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0ED68B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330549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01480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122EA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根据保定市徐水区市场监督管理局2019年预算文本—部门项目支出预算表，组织部2019年预算项目共</w:t>
      </w:r>
      <w:r>
        <w:rPr>
          <w:rFonts w:ascii="仿宋_GB2312" w:eastAsia="仿宋_GB2312" w:cs="DengXian-Regular"/>
          <w:sz w:val="32"/>
          <w:szCs w:val="32"/>
        </w:rPr>
        <w:t>24</w:t>
      </w:r>
      <w:r>
        <w:rPr>
          <w:rFonts w:hint="eastAsia" w:ascii="仿宋_GB2312" w:eastAsia="仿宋_GB2312" w:cs="DengXian-Regular"/>
          <w:sz w:val="32"/>
          <w:szCs w:val="32"/>
        </w:rPr>
        <w:t>个（详见附件2-2-2），涉及资金</w:t>
      </w:r>
      <w:r>
        <w:rPr>
          <w:rFonts w:ascii="仿宋_GB2312" w:eastAsia="仿宋_GB2312" w:cs="DengXian-Regular"/>
          <w:sz w:val="32"/>
          <w:szCs w:val="32"/>
        </w:rPr>
        <w:t>4568.6</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4568.6</w:t>
      </w:r>
      <w:r>
        <w:rPr>
          <w:rFonts w:hint="eastAsia" w:ascii="仿宋_GB2312" w:eastAsia="仿宋_GB2312" w:cs="DengXian-Regular"/>
          <w:sz w:val="32"/>
          <w:szCs w:val="32"/>
        </w:rPr>
        <w:t>/</w:t>
      </w:r>
      <w:r>
        <w:rPr>
          <w:rFonts w:ascii="仿宋_GB2312" w:eastAsia="仿宋_GB2312" w:cs="DengXian-Regular"/>
          <w:sz w:val="32"/>
          <w:szCs w:val="32"/>
        </w:rPr>
        <w:t>4568.6</w:t>
      </w:r>
      <w:r>
        <w:rPr>
          <w:rFonts w:hint="eastAsia" w:ascii="仿宋_GB2312" w:eastAsia="仿宋_GB2312" w:cs="DengXian-Regular"/>
          <w:sz w:val="32"/>
          <w:szCs w:val="32"/>
        </w:rPr>
        <w:t>）*100%=100%</w:t>
      </w:r>
    </w:p>
    <w:p w14:paraId="67EC2E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2D15CB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w:t>
      </w:r>
      <w:r>
        <w:rPr>
          <w:rFonts w:ascii="仿宋_GB2312" w:eastAsia="仿宋_GB2312" w:cs="DengXian-Regular"/>
          <w:sz w:val="32"/>
          <w:szCs w:val="32"/>
        </w:rPr>
        <w:t>2</w:t>
      </w:r>
      <w:r>
        <w:rPr>
          <w:rFonts w:hint="eastAsia" w:ascii="仿宋_GB2312" w:eastAsia="仿宋_GB2312" w:cs="DengXian-Regular"/>
          <w:sz w:val="32"/>
          <w:szCs w:val="32"/>
        </w:rPr>
        <w:t>分）</w:t>
      </w:r>
    </w:p>
    <w:p w14:paraId="6979AD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该指标主要考核截至2019年底保定市徐水区市场监督管理局在职人员控制情况，通过在职人员控制率衡量。</w:t>
      </w:r>
    </w:p>
    <w:p w14:paraId="2D32C8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1B2CC5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根据保定市徐水区委办公室印发的《徐水区市场监督管理局职能配置、内设机构和人员编制规定》的通知，徐水区市场监督管理局人员编制为</w:t>
      </w:r>
      <w:r>
        <w:rPr>
          <w:rFonts w:ascii="仿宋_GB2312" w:eastAsia="仿宋_GB2312" w:cs="DengXian-Regular"/>
          <w:sz w:val="32"/>
          <w:szCs w:val="32"/>
        </w:rPr>
        <w:t>25</w:t>
      </w:r>
      <w:r>
        <w:rPr>
          <w:rFonts w:hint="eastAsia" w:ascii="仿宋_GB2312" w:eastAsia="仿宋_GB2312" w:cs="DengXian-Regular"/>
          <w:sz w:val="32"/>
          <w:szCs w:val="32"/>
        </w:rPr>
        <w:t>人，根据保定市徐水区市场监督管理局2019年决算文本-部门基本情况表，截至2019年底，在职人员</w:t>
      </w:r>
      <w:r>
        <w:rPr>
          <w:rFonts w:ascii="仿宋_GB2312" w:eastAsia="仿宋_GB2312" w:cs="DengXian-Regular"/>
          <w:sz w:val="32"/>
          <w:szCs w:val="32"/>
        </w:rPr>
        <w:t>19</w:t>
      </w:r>
      <w:r>
        <w:rPr>
          <w:rFonts w:hint="eastAsia" w:ascii="仿宋_GB2312" w:eastAsia="仿宋_GB2312" w:cs="DengXian-Regular"/>
          <w:sz w:val="32"/>
          <w:szCs w:val="32"/>
        </w:rPr>
        <w:t>人，在职人员控制率=（</w:t>
      </w:r>
      <w:r>
        <w:rPr>
          <w:rFonts w:ascii="仿宋_GB2312" w:eastAsia="仿宋_GB2312" w:cs="DengXian-Regular"/>
          <w:sz w:val="32"/>
          <w:szCs w:val="32"/>
        </w:rPr>
        <w:t>19</w:t>
      </w:r>
      <w:r>
        <w:rPr>
          <w:rFonts w:hint="eastAsia" w:ascii="仿宋_GB2312" w:eastAsia="仿宋_GB2312" w:cs="DengXian-Regular"/>
          <w:sz w:val="32"/>
          <w:szCs w:val="32"/>
        </w:rPr>
        <w:t>/</w:t>
      </w:r>
      <w:r>
        <w:rPr>
          <w:rFonts w:ascii="仿宋_GB2312" w:eastAsia="仿宋_GB2312" w:cs="DengXian-Regular"/>
          <w:sz w:val="32"/>
          <w:szCs w:val="32"/>
        </w:rPr>
        <w:t>25</w:t>
      </w:r>
      <w:r>
        <w:rPr>
          <w:rFonts w:hint="eastAsia" w:ascii="仿宋_GB2312" w:eastAsia="仿宋_GB2312" w:cs="DengXian-Regular"/>
          <w:sz w:val="32"/>
          <w:szCs w:val="32"/>
        </w:rPr>
        <w:t>）*100%=</w:t>
      </w:r>
      <w:r>
        <w:rPr>
          <w:rFonts w:ascii="仿宋_GB2312" w:eastAsia="仿宋_GB2312" w:cs="DengXian-Regular"/>
          <w:sz w:val="32"/>
          <w:szCs w:val="32"/>
        </w:rPr>
        <w:t>76</w:t>
      </w:r>
      <w:r>
        <w:rPr>
          <w:rFonts w:hint="eastAsia" w:ascii="仿宋_GB2312" w:eastAsia="仿宋_GB2312" w:cs="DengXian-Regular"/>
          <w:sz w:val="32"/>
          <w:szCs w:val="32"/>
        </w:rPr>
        <w:t>%&lt;</w:t>
      </w:r>
      <w:r>
        <w:rPr>
          <w:rFonts w:ascii="仿宋_GB2312" w:eastAsia="仿宋_GB2312" w:cs="DengXian-Regular"/>
          <w:sz w:val="32"/>
          <w:szCs w:val="32"/>
        </w:rPr>
        <w:t>100%</w:t>
      </w:r>
      <w:r>
        <w:rPr>
          <w:rFonts w:hint="eastAsia" w:ascii="仿宋_GB2312" w:eastAsia="仿宋_GB2312" w:cs="DengXian-Regular"/>
          <w:sz w:val="32"/>
          <w:szCs w:val="32"/>
        </w:rPr>
        <w:t>。</w:t>
      </w:r>
    </w:p>
    <w:p w14:paraId="627CC8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57"/>
    <w:bookmarkEnd w:id="58"/>
    <w:p w14:paraId="7A4E12D5">
      <w:pPr>
        <w:pStyle w:val="4"/>
        <w:spacing w:before="0" w:after="0"/>
        <w:ind w:firstLine="643" w:firstLineChars="200"/>
        <w:jc w:val="both"/>
        <w:rPr>
          <w:rFonts w:ascii="楷体" w:hAnsi="楷体" w:eastAsia="楷体"/>
          <w:sz w:val="32"/>
        </w:rPr>
      </w:pPr>
      <w:bookmarkStart w:id="59" w:name="_Toc58195242"/>
      <w:r>
        <w:rPr>
          <w:rFonts w:hint="eastAsia" w:ascii="楷体" w:hAnsi="楷体" w:eastAsia="楷体"/>
          <w:sz w:val="32"/>
        </w:rPr>
        <w:t>（二）过程（48分）</w:t>
      </w:r>
      <w:bookmarkEnd w:id="59"/>
    </w:p>
    <w:p w14:paraId="161B488F">
      <w:pPr>
        <w:spacing w:after="0" w:line="360" w:lineRule="auto"/>
        <w:ind w:firstLine="640" w:firstLineChars="20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75DD89DB">
      <w:pPr>
        <w:spacing w:after="0" w:line="360" w:lineRule="auto"/>
        <w:ind w:firstLine="643"/>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60D1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9A658B4">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6624F869">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4BEBC93">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76EB843D">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6EA699B8">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3D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7345172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46964DE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13E06EA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3F86EB4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911225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AF9F90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r>
              <w:rPr>
                <w:rFonts w:cs="宋体" w:asciiTheme="minorEastAsia" w:hAnsiTheme="minorEastAsia" w:eastAsiaTheme="minorEastAsia"/>
                <w:sz w:val="21"/>
                <w:szCs w:val="21"/>
              </w:rPr>
              <w:t>3</w:t>
            </w:r>
          </w:p>
        </w:tc>
      </w:tr>
      <w:tr w14:paraId="1690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34992F4">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54861D93">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203FA6B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ED531C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82BBD3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350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9D1BAB2">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2C91FCDB">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3C1F432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C9FCCD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2FC6985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ED8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9A835B0">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48F1224C">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5E25544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128DAEF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66ACC7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AA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0588C38">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61E484CC">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78F43AD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08EBD3E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B27747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188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342C05C">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6559F0E0">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10DF5F4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0EC3C4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A2D8C7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04E6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A52B01">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79649CB4">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23CE5B9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9AAA52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A73AD8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E17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DA62F8A">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0EDF5F25">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6B8B141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4965B89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13DA22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C41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61F0DA3">
            <w:pPr>
              <w:spacing w:line="420" w:lineRule="exact"/>
              <w:ind w:firstLine="420"/>
              <w:jc w:val="center"/>
              <w:rPr>
                <w:rFonts w:cs="宋体" w:asciiTheme="minorEastAsia" w:hAnsiTheme="minorEastAsia" w:eastAsiaTheme="minorEastAsia"/>
                <w:sz w:val="21"/>
                <w:szCs w:val="21"/>
              </w:rPr>
            </w:pPr>
          </w:p>
        </w:tc>
        <w:tc>
          <w:tcPr>
            <w:tcW w:w="1388" w:type="dxa"/>
            <w:vMerge w:val="restart"/>
            <w:vAlign w:val="center"/>
          </w:tcPr>
          <w:p w14:paraId="76F6F197">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28C63C2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6544DE0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2C38B8C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7730DF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271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8C99FA7">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04FA2ACD">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61CD7ED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298A309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D716AA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B24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1D4FFE5">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7F78D836">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53A1FE1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A3C500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36BAF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E63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444728D">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53B42072">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31713351">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B97AB8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3DC980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E3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0614677A">
            <w:pPr>
              <w:spacing w:line="420" w:lineRule="exact"/>
              <w:ind w:firstLine="420"/>
              <w:jc w:val="center"/>
              <w:rPr>
                <w:rFonts w:cs="宋体" w:asciiTheme="minorEastAsia" w:hAnsiTheme="minorEastAsia" w:eastAsiaTheme="minorEastAsia"/>
                <w:sz w:val="21"/>
                <w:szCs w:val="21"/>
              </w:rPr>
            </w:pPr>
          </w:p>
        </w:tc>
        <w:tc>
          <w:tcPr>
            <w:tcW w:w="1388" w:type="dxa"/>
            <w:vMerge w:val="restart"/>
            <w:vAlign w:val="center"/>
          </w:tcPr>
          <w:p w14:paraId="22FB0E3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6754DCE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7044980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3F66D9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134E4E1">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154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exact"/>
          <w:jc w:val="center"/>
        </w:trPr>
        <w:tc>
          <w:tcPr>
            <w:tcW w:w="1557" w:type="dxa"/>
            <w:vMerge w:val="continue"/>
            <w:vAlign w:val="center"/>
          </w:tcPr>
          <w:p w14:paraId="7907BDDE">
            <w:pPr>
              <w:spacing w:line="420" w:lineRule="exact"/>
              <w:ind w:firstLine="420"/>
              <w:jc w:val="center"/>
              <w:rPr>
                <w:rFonts w:cs="宋体" w:asciiTheme="minorEastAsia" w:hAnsiTheme="minorEastAsia" w:eastAsiaTheme="minorEastAsia"/>
                <w:sz w:val="21"/>
                <w:szCs w:val="21"/>
              </w:rPr>
            </w:pPr>
          </w:p>
        </w:tc>
        <w:tc>
          <w:tcPr>
            <w:tcW w:w="1388" w:type="dxa"/>
            <w:vMerge w:val="continue"/>
            <w:vAlign w:val="center"/>
          </w:tcPr>
          <w:p w14:paraId="4D4EFE2A">
            <w:pPr>
              <w:spacing w:line="420" w:lineRule="exact"/>
              <w:ind w:firstLine="420"/>
              <w:jc w:val="center"/>
              <w:rPr>
                <w:rFonts w:cs="宋体" w:asciiTheme="minorEastAsia" w:hAnsiTheme="minorEastAsia" w:eastAsiaTheme="minorEastAsia"/>
                <w:sz w:val="21"/>
                <w:szCs w:val="21"/>
              </w:rPr>
            </w:pPr>
          </w:p>
        </w:tc>
        <w:tc>
          <w:tcPr>
            <w:tcW w:w="2277" w:type="dxa"/>
            <w:vAlign w:val="center"/>
          </w:tcPr>
          <w:p w14:paraId="6823CE0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549BD83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DDFF1B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693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exact"/>
          <w:jc w:val="center"/>
        </w:trPr>
        <w:tc>
          <w:tcPr>
            <w:tcW w:w="2945" w:type="dxa"/>
            <w:gridSpan w:val="2"/>
            <w:vAlign w:val="center"/>
          </w:tcPr>
          <w:p w14:paraId="7303431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05865D72">
            <w:pPr>
              <w:spacing w:line="420" w:lineRule="exact"/>
              <w:ind w:firstLine="420"/>
              <w:jc w:val="center"/>
              <w:rPr>
                <w:rFonts w:cs="宋体" w:asciiTheme="minorEastAsia" w:hAnsiTheme="minorEastAsia" w:eastAsiaTheme="minorEastAsia"/>
                <w:sz w:val="21"/>
                <w:szCs w:val="21"/>
              </w:rPr>
            </w:pPr>
          </w:p>
        </w:tc>
        <w:tc>
          <w:tcPr>
            <w:tcW w:w="1155" w:type="dxa"/>
            <w:vAlign w:val="center"/>
          </w:tcPr>
          <w:p w14:paraId="3E74C23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0D85FCB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42.63</w:t>
            </w:r>
          </w:p>
        </w:tc>
      </w:tr>
      <w:bookmarkEnd w:id="60"/>
    </w:tbl>
    <w:p w14:paraId="126AF785">
      <w:pPr>
        <w:spacing w:after="0" w:line="360" w:lineRule="auto"/>
        <w:ind w:firstLine="640" w:firstLineChars="200"/>
        <w:jc w:val="both"/>
        <w:textAlignment w:val="baseline"/>
        <w:rPr>
          <w:rFonts w:ascii="仿宋_GB2312" w:eastAsia="仿宋_GB2312" w:cs="DengXian-Regular"/>
          <w:sz w:val="32"/>
          <w:szCs w:val="32"/>
        </w:rPr>
      </w:pPr>
      <w:bookmarkStart w:id="61" w:name="_Toc465149514"/>
      <w:bookmarkStart w:id="62" w:name="_Toc464638487"/>
      <w:r>
        <w:rPr>
          <w:rFonts w:hint="eastAsia" w:ascii="仿宋_GB2312" w:eastAsia="仿宋_GB2312" w:cs="DengXian-Regular"/>
          <w:sz w:val="32"/>
          <w:szCs w:val="32"/>
        </w:rPr>
        <w:t>1.预算执行（18</w:t>
      </w:r>
      <w:r>
        <w:rPr>
          <w:rFonts w:ascii="仿宋_GB2312" w:eastAsia="仿宋_GB2312" w:cs="DengXian-Regular"/>
          <w:sz w:val="32"/>
          <w:szCs w:val="32"/>
        </w:rPr>
        <w:t>.63</w:t>
      </w:r>
      <w:r>
        <w:rPr>
          <w:rFonts w:hint="eastAsia" w:ascii="仿宋_GB2312" w:eastAsia="仿宋_GB2312" w:cs="DengXian-Regular"/>
          <w:sz w:val="32"/>
          <w:szCs w:val="32"/>
        </w:rPr>
        <w:t>分）</w:t>
      </w:r>
    </w:p>
    <w:p w14:paraId="61E0AA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w:t>
      </w:r>
      <w:r>
        <w:rPr>
          <w:rFonts w:ascii="仿宋_GB2312" w:eastAsia="仿宋_GB2312" w:cs="DengXian-Regular"/>
          <w:sz w:val="32"/>
          <w:szCs w:val="32"/>
        </w:rPr>
        <w:t>1.63</w:t>
      </w:r>
      <w:r>
        <w:rPr>
          <w:rFonts w:hint="eastAsia" w:ascii="仿宋_GB2312" w:eastAsia="仿宋_GB2312" w:cs="DengXian-Regular"/>
          <w:sz w:val="32"/>
          <w:szCs w:val="32"/>
        </w:rPr>
        <w:t>分）</w:t>
      </w:r>
    </w:p>
    <w:p w14:paraId="119980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BEBC6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605672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根据保定市徐水区市场监督管理局提供的预算指标文件，徐水区市场监督管理局201</w:t>
      </w:r>
      <w:r>
        <w:rPr>
          <w:rFonts w:ascii="仿宋_GB2312" w:eastAsia="仿宋_GB2312" w:cs="DengXian-Regular"/>
          <w:sz w:val="32"/>
          <w:szCs w:val="32"/>
        </w:rPr>
        <w:t>9</w:t>
      </w:r>
      <w:r>
        <w:rPr>
          <w:rFonts w:hint="eastAsia" w:ascii="仿宋_GB2312" w:eastAsia="仿宋_GB2312" w:cs="DengXian-Regular"/>
          <w:sz w:val="32"/>
          <w:szCs w:val="32"/>
        </w:rPr>
        <w:t>年度预算收入的调减数</w:t>
      </w:r>
      <w:r>
        <w:rPr>
          <w:rFonts w:ascii="仿宋_GB2312" w:eastAsia="仿宋_GB2312" w:cs="DengXian-Regular"/>
          <w:sz w:val="32"/>
          <w:szCs w:val="32"/>
        </w:rPr>
        <w:t>为794.97</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年初预算数为</w:t>
      </w:r>
      <w:r>
        <w:rPr>
          <w:rFonts w:ascii="仿宋_GB2312" w:eastAsia="仿宋_GB2312" w:cs="DengXian-Regular"/>
          <w:sz w:val="32"/>
          <w:szCs w:val="32"/>
        </w:rPr>
        <w:t>4965.24</w:t>
      </w:r>
      <w:r>
        <w:rPr>
          <w:rFonts w:hint="eastAsia" w:ascii="仿宋_GB2312" w:eastAsia="仿宋_GB2312" w:cs="DengXian-Regular"/>
          <w:sz w:val="32"/>
          <w:szCs w:val="32"/>
        </w:rPr>
        <w:t>万元，扣除</w:t>
      </w:r>
      <w:r>
        <w:rPr>
          <w:rFonts w:ascii="仿宋_GB2312" w:eastAsia="仿宋_GB2312" w:cs="DengXian-Regular"/>
          <w:sz w:val="32"/>
          <w:szCs w:val="32"/>
        </w:rPr>
        <w:t>划转到乡镇的</w:t>
      </w:r>
      <w:r>
        <w:rPr>
          <w:rFonts w:hint="eastAsia" w:ascii="仿宋_GB2312" w:eastAsia="仿宋_GB2312" w:cs="DengXian-Regular"/>
          <w:sz w:val="32"/>
          <w:szCs w:val="32"/>
        </w:rPr>
        <w:t>715.88万元</w:t>
      </w:r>
      <w:r>
        <w:rPr>
          <w:rFonts w:ascii="仿宋_GB2312" w:eastAsia="仿宋_GB2312" w:cs="DengXian-Regular"/>
          <w:sz w:val="32"/>
          <w:szCs w:val="32"/>
        </w:rPr>
        <w:t>，</w:t>
      </w:r>
      <w:r>
        <w:rPr>
          <w:rFonts w:hint="eastAsia" w:ascii="仿宋_GB2312" w:eastAsia="仿宋_GB2312" w:cs="DengXian-Regular"/>
          <w:sz w:val="32"/>
          <w:szCs w:val="32"/>
        </w:rPr>
        <w:t>预算</w:t>
      </w:r>
      <w:r>
        <w:rPr>
          <w:rFonts w:ascii="仿宋_GB2312" w:eastAsia="仿宋_GB2312" w:cs="DengXian-Regular"/>
          <w:sz w:val="32"/>
          <w:szCs w:val="32"/>
        </w:rPr>
        <w:t>收入调减数应为</w:t>
      </w:r>
      <w:r>
        <w:rPr>
          <w:rFonts w:hint="eastAsia" w:ascii="仿宋_GB2312" w:eastAsia="仿宋_GB2312" w:cs="DengXian-Regular"/>
          <w:sz w:val="32"/>
          <w:szCs w:val="32"/>
        </w:rPr>
        <w:t>79.09万元</w:t>
      </w:r>
      <w:r>
        <w:rPr>
          <w:rFonts w:ascii="仿宋_GB2312" w:eastAsia="仿宋_GB2312" w:cs="DengXian-Regular"/>
          <w:sz w:val="32"/>
          <w:szCs w:val="32"/>
        </w:rPr>
        <w:t>，预算数应为</w:t>
      </w:r>
      <w:r>
        <w:rPr>
          <w:rFonts w:hint="eastAsia" w:ascii="仿宋_GB2312" w:eastAsia="仿宋_GB2312" w:cs="DengXian-Regular"/>
          <w:sz w:val="32"/>
          <w:szCs w:val="32"/>
        </w:rPr>
        <w:t>4249.36万元,预算收入调减率为79</w:t>
      </w:r>
      <w:r>
        <w:rPr>
          <w:rFonts w:ascii="仿宋_GB2312" w:eastAsia="仿宋_GB2312" w:cs="DengXian-Regular"/>
          <w:sz w:val="32"/>
          <w:szCs w:val="32"/>
        </w:rPr>
        <w:t>.09/4249.36*100%=1.86</w:t>
      </w:r>
      <w:r>
        <w:rPr>
          <w:rFonts w:hint="eastAsia" w:ascii="仿宋_GB2312" w:eastAsia="仿宋_GB2312" w:cs="DengXian-Regular"/>
          <w:sz w:val="32"/>
          <w:szCs w:val="32"/>
        </w:rPr>
        <w:t>%。</w:t>
      </w:r>
      <w:r>
        <w:rPr>
          <w:rFonts w:ascii="仿宋_GB2312" w:eastAsia="仿宋_GB2312" w:cs="DengXian-Regular"/>
          <w:sz w:val="32"/>
          <w:szCs w:val="32"/>
        </w:rPr>
        <w:t>预算调减了</w:t>
      </w:r>
      <w:r>
        <w:rPr>
          <w:rFonts w:hint="eastAsia" w:ascii="仿宋_GB2312" w:eastAsia="仿宋_GB2312" w:cs="DengXian-Regular"/>
          <w:sz w:val="32"/>
          <w:szCs w:val="32"/>
        </w:rPr>
        <w:t>1.</w:t>
      </w:r>
      <w:r>
        <w:rPr>
          <w:rFonts w:ascii="仿宋_GB2312" w:eastAsia="仿宋_GB2312" w:cs="DengXian-Regular"/>
          <w:sz w:val="32"/>
          <w:szCs w:val="32"/>
        </w:rPr>
        <w:t>86</w:t>
      </w:r>
      <w:r>
        <w:rPr>
          <w:rFonts w:hint="eastAsia" w:ascii="仿宋_GB2312" w:eastAsia="仿宋_GB2312" w:cs="DengXian-Regular"/>
          <w:sz w:val="32"/>
          <w:szCs w:val="32"/>
        </w:rPr>
        <w:t>个</w:t>
      </w:r>
      <w:r>
        <w:rPr>
          <w:rFonts w:ascii="仿宋_GB2312" w:eastAsia="仿宋_GB2312" w:cs="DengXian-Regular"/>
          <w:sz w:val="32"/>
          <w:szCs w:val="32"/>
        </w:rPr>
        <w:t>百分点，扣</w:t>
      </w:r>
      <w:r>
        <w:rPr>
          <w:rFonts w:hint="eastAsia" w:ascii="仿宋_GB2312" w:eastAsia="仿宋_GB2312" w:cs="DengXian-Regular"/>
          <w:sz w:val="32"/>
          <w:szCs w:val="32"/>
        </w:rPr>
        <w:t>1.</w:t>
      </w:r>
      <w:r>
        <w:rPr>
          <w:rFonts w:ascii="仿宋_GB2312" w:eastAsia="仿宋_GB2312" w:cs="DengXian-Regular"/>
          <w:sz w:val="32"/>
          <w:szCs w:val="32"/>
        </w:rPr>
        <w:t>86</w:t>
      </w:r>
      <w:r>
        <w:rPr>
          <w:rFonts w:hint="eastAsia" w:ascii="仿宋_GB2312" w:eastAsia="仿宋_GB2312" w:cs="DengXian-Regular"/>
          <w:sz w:val="32"/>
          <w:szCs w:val="32"/>
        </w:rPr>
        <w:t>*0.1*2</w:t>
      </w:r>
      <w:r>
        <w:rPr>
          <w:rFonts w:ascii="仿宋_GB2312" w:eastAsia="仿宋_GB2312" w:cs="DengXian-Regular"/>
          <w:sz w:val="32"/>
          <w:szCs w:val="32"/>
        </w:rPr>
        <w:t>=0.37</w:t>
      </w:r>
      <w:r>
        <w:rPr>
          <w:rFonts w:hint="eastAsia" w:ascii="仿宋_GB2312" w:eastAsia="仿宋_GB2312" w:cs="DengXian-Regular"/>
          <w:sz w:val="32"/>
          <w:szCs w:val="32"/>
        </w:rPr>
        <w:t>分</w:t>
      </w:r>
    </w:p>
    <w:p w14:paraId="246370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1.63</w:t>
      </w:r>
      <w:r>
        <w:rPr>
          <w:rFonts w:hint="eastAsia" w:ascii="仿宋_GB2312" w:eastAsia="仿宋_GB2312" w:cs="DengXian-Regular"/>
          <w:sz w:val="32"/>
          <w:szCs w:val="32"/>
        </w:rPr>
        <w:t>分。</w:t>
      </w:r>
    </w:p>
    <w:p w14:paraId="636B7F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w:t>
      </w:r>
      <w:r>
        <w:rPr>
          <w:rFonts w:ascii="仿宋_GB2312" w:eastAsia="仿宋_GB2312" w:cs="DengXian-Regular"/>
          <w:sz w:val="32"/>
          <w:szCs w:val="32"/>
        </w:rPr>
        <w:t>4</w:t>
      </w:r>
      <w:r>
        <w:rPr>
          <w:rFonts w:hint="eastAsia" w:ascii="仿宋_GB2312" w:eastAsia="仿宋_GB2312" w:cs="DengXian-Regular"/>
          <w:sz w:val="32"/>
          <w:szCs w:val="32"/>
        </w:rPr>
        <w:t>分）</w:t>
      </w:r>
    </w:p>
    <w:p w14:paraId="307323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E4D4C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3CE6BE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根据保定市徐水区市场监督管理局2019年预算文本、决算文本，2019年收入预算数</w:t>
      </w:r>
      <w:r>
        <w:rPr>
          <w:rFonts w:ascii="仿宋_GB2312" w:eastAsia="仿宋_GB2312" w:cs="DengXian-Regular"/>
          <w:sz w:val="32"/>
          <w:szCs w:val="32"/>
        </w:rPr>
        <w:t>4965.24</w:t>
      </w:r>
      <w:r>
        <w:rPr>
          <w:rFonts w:hint="eastAsia" w:ascii="仿宋_GB2312" w:eastAsia="仿宋_GB2312" w:cs="DengXian-Regular"/>
          <w:sz w:val="32"/>
          <w:szCs w:val="32"/>
        </w:rPr>
        <w:t>万元，扣除</w:t>
      </w:r>
      <w:r>
        <w:rPr>
          <w:rFonts w:ascii="仿宋_GB2312" w:eastAsia="仿宋_GB2312" w:cs="DengXian-Regular"/>
          <w:sz w:val="32"/>
          <w:szCs w:val="32"/>
        </w:rPr>
        <w:t>划转到乡镇的</w:t>
      </w:r>
      <w:r>
        <w:rPr>
          <w:rFonts w:hint="eastAsia" w:ascii="仿宋_GB2312" w:eastAsia="仿宋_GB2312" w:cs="DengXian-Regular"/>
          <w:sz w:val="32"/>
          <w:szCs w:val="32"/>
        </w:rPr>
        <w:t>715.88万元</w:t>
      </w:r>
      <w:r>
        <w:rPr>
          <w:rFonts w:ascii="仿宋_GB2312" w:eastAsia="仿宋_GB2312" w:cs="DengXian-Regular"/>
          <w:sz w:val="32"/>
          <w:szCs w:val="32"/>
        </w:rPr>
        <w:t>，预算数应为</w:t>
      </w:r>
      <w:r>
        <w:rPr>
          <w:rFonts w:hint="eastAsia" w:ascii="仿宋_GB2312" w:eastAsia="仿宋_GB2312" w:cs="DengXian-Regular"/>
          <w:sz w:val="32"/>
          <w:szCs w:val="32"/>
        </w:rPr>
        <w:t>4249.36万元</w:t>
      </w:r>
      <w:r>
        <w:rPr>
          <w:rFonts w:ascii="仿宋_GB2312" w:eastAsia="仿宋_GB2312" w:cs="DengXian-Regular"/>
          <w:sz w:val="32"/>
          <w:szCs w:val="32"/>
        </w:rPr>
        <w:t>，</w:t>
      </w:r>
      <w:r>
        <w:rPr>
          <w:rFonts w:hint="eastAsia" w:ascii="仿宋_GB2312" w:eastAsia="仿宋_GB2312" w:cs="DengXian-Regular"/>
          <w:sz w:val="32"/>
          <w:szCs w:val="32"/>
        </w:rPr>
        <w:t>收入决算数</w:t>
      </w:r>
      <w:r>
        <w:rPr>
          <w:rFonts w:ascii="仿宋_GB2312" w:eastAsia="仿宋_GB2312" w:cs="DengXian-Regular"/>
          <w:sz w:val="32"/>
          <w:szCs w:val="32"/>
        </w:rPr>
        <w:t>4161.8</w:t>
      </w:r>
      <w:r>
        <w:rPr>
          <w:rFonts w:hint="eastAsia" w:ascii="仿宋_GB2312" w:eastAsia="仿宋_GB2312" w:cs="DengXian-Regular"/>
          <w:sz w:val="32"/>
          <w:szCs w:val="32"/>
        </w:rPr>
        <w:t>万元，收入完成率=（4</w:t>
      </w:r>
      <w:r>
        <w:rPr>
          <w:rFonts w:ascii="仿宋_GB2312" w:eastAsia="仿宋_GB2312" w:cs="DengXian-Regular"/>
          <w:sz w:val="32"/>
          <w:szCs w:val="32"/>
        </w:rPr>
        <w:t>161.8</w:t>
      </w:r>
      <w:r>
        <w:rPr>
          <w:rFonts w:hint="eastAsia" w:ascii="仿宋_GB2312" w:eastAsia="仿宋_GB2312" w:cs="DengXian-Regular"/>
          <w:sz w:val="32"/>
          <w:szCs w:val="32"/>
        </w:rPr>
        <w:t>/</w:t>
      </w:r>
      <w:r>
        <w:rPr>
          <w:rFonts w:ascii="仿宋_GB2312" w:eastAsia="仿宋_GB2312" w:cs="DengXian-Regular"/>
          <w:sz w:val="32"/>
          <w:szCs w:val="32"/>
        </w:rPr>
        <w:t>4249.36</w:t>
      </w:r>
      <w:r>
        <w:rPr>
          <w:rFonts w:hint="eastAsia" w:ascii="仿宋_GB2312" w:eastAsia="仿宋_GB2312" w:cs="DengXian-Regular"/>
          <w:sz w:val="32"/>
          <w:szCs w:val="32"/>
        </w:rPr>
        <w:t>）*100%=</w:t>
      </w:r>
      <w:r>
        <w:rPr>
          <w:rFonts w:ascii="仿宋_GB2312" w:eastAsia="仿宋_GB2312" w:cs="DengXian-Regular"/>
          <w:sz w:val="32"/>
          <w:szCs w:val="32"/>
        </w:rPr>
        <w:t>97.94</w:t>
      </w:r>
      <w:r>
        <w:rPr>
          <w:rFonts w:hint="eastAsia" w:ascii="仿宋_GB2312" w:eastAsia="仿宋_GB2312" w:cs="DengXian-Regular"/>
          <w:sz w:val="32"/>
          <w:szCs w:val="32"/>
        </w:rPr>
        <w:t>%&gt;9</w:t>
      </w:r>
      <w:r>
        <w:rPr>
          <w:rFonts w:ascii="仿宋_GB2312" w:eastAsia="仿宋_GB2312" w:cs="DengXian-Regular"/>
          <w:sz w:val="32"/>
          <w:szCs w:val="32"/>
        </w:rPr>
        <w:t>5%</w:t>
      </w:r>
      <w:r>
        <w:rPr>
          <w:rFonts w:hint="eastAsia" w:ascii="仿宋_GB2312" w:eastAsia="仿宋_GB2312" w:cs="DengXian-Regular"/>
          <w:sz w:val="32"/>
          <w:szCs w:val="32"/>
        </w:rPr>
        <w:t>。</w:t>
      </w:r>
    </w:p>
    <w:p w14:paraId="2E7243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37CFE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68510A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1CD7FE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701A4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根据保定市徐水区市场监督管理局提供的预算指标文件，徐水区市场监督管理局201</w:t>
      </w:r>
      <w:r>
        <w:rPr>
          <w:rFonts w:ascii="仿宋_GB2312" w:eastAsia="仿宋_GB2312" w:cs="DengXian-Regular"/>
          <w:sz w:val="32"/>
          <w:szCs w:val="32"/>
        </w:rPr>
        <w:t>9</w:t>
      </w:r>
      <w:r>
        <w:rPr>
          <w:rFonts w:hint="eastAsia" w:ascii="仿宋_GB2312" w:eastAsia="仿宋_GB2312" w:cs="DengXian-Regular"/>
          <w:sz w:val="32"/>
          <w:szCs w:val="32"/>
        </w:rPr>
        <w:t>年度预算支出的调减数</w:t>
      </w:r>
      <w:r>
        <w:rPr>
          <w:rFonts w:ascii="仿宋_GB2312" w:eastAsia="仿宋_GB2312" w:cs="DengXian-Regular"/>
          <w:sz w:val="32"/>
          <w:szCs w:val="32"/>
        </w:rPr>
        <w:t>为794.97</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年初预算数为</w:t>
      </w:r>
      <w:r>
        <w:rPr>
          <w:rFonts w:ascii="仿宋_GB2312" w:eastAsia="仿宋_GB2312" w:cs="DengXian-Regular"/>
          <w:sz w:val="32"/>
          <w:szCs w:val="32"/>
        </w:rPr>
        <w:t>4965.24</w:t>
      </w:r>
      <w:r>
        <w:rPr>
          <w:rFonts w:hint="eastAsia" w:ascii="仿宋_GB2312" w:eastAsia="仿宋_GB2312" w:cs="DengXian-Regular"/>
          <w:sz w:val="32"/>
          <w:szCs w:val="32"/>
        </w:rPr>
        <w:t>万元，扣除</w:t>
      </w:r>
      <w:r>
        <w:rPr>
          <w:rFonts w:ascii="仿宋_GB2312" w:eastAsia="仿宋_GB2312" w:cs="DengXian-Regular"/>
          <w:sz w:val="32"/>
          <w:szCs w:val="32"/>
        </w:rPr>
        <w:t>划转到乡镇的</w:t>
      </w:r>
      <w:r>
        <w:rPr>
          <w:rFonts w:hint="eastAsia" w:ascii="仿宋_GB2312" w:eastAsia="仿宋_GB2312" w:cs="DengXian-Regular"/>
          <w:sz w:val="32"/>
          <w:szCs w:val="32"/>
        </w:rPr>
        <w:t>715.88万元</w:t>
      </w:r>
      <w:r>
        <w:rPr>
          <w:rFonts w:ascii="仿宋_GB2312" w:eastAsia="仿宋_GB2312" w:cs="DengXian-Regular"/>
          <w:sz w:val="32"/>
          <w:szCs w:val="32"/>
        </w:rPr>
        <w:t>，</w:t>
      </w:r>
      <w:r>
        <w:rPr>
          <w:rFonts w:hint="eastAsia" w:ascii="仿宋_GB2312" w:eastAsia="仿宋_GB2312" w:cs="DengXian-Regular"/>
          <w:sz w:val="32"/>
          <w:szCs w:val="32"/>
        </w:rPr>
        <w:t>预算支出</w:t>
      </w:r>
      <w:r>
        <w:rPr>
          <w:rFonts w:ascii="仿宋_GB2312" w:eastAsia="仿宋_GB2312" w:cs="DengXian-Regular"/>
          <w:sz w:val="32"/>
          <w:szCs w:val="32"/>
        </w:rPr>
        <w:t>调减数应为</w:t>
      </w:r>
      <w:r>
        <w:rPr>
          <w:rFonts w:hint="eastAsia" w:ascii="仿宋_GB2312" w:eastAsia="仿宋_GB2312" w:cs="DengXian-Regular"/>
          <w:sz w:val="32"/>
          <w:szCs w:val="32"/>
        </w:rPr>
        <w:t>79.09万元</w:t>
      </w:r>
      <w:r>
        <w:rPr>
          <w:rFonts w:ascii="仿宋_GB2312" w:eastAsia="仿宋_GB2312" w:cs="DengXian-Regular"/>
          <w:sz w:val="32"/>
          <w:szCs w:val="32"/>
        </w:rPr>
        <w:t>，预算数应为</w:t>
      </w:r>
      <w:r>
        <w:rPr>
          <w:rFonts w:hint="eastAsia" w:ascii="仿宋_GB2312" w:eastAsia="仿宋_GB2312" w:cs="DengXian-Regular"/>
          <w:sz w:val="32"/>
          <w:szCs w:val="32"/>
        </w:rPr>
        <w:t>4249.36万元,预算支出调减率为79</w:t>
      </w:r>
      <w:r>
        <w:rPr>
          <w:rFonts w:ascii="仿宋_GB2312" w:eastAsia="仿宋_GB2312" w:cs="DengXian-Regular"/>
          <w:sz w:val="32"/>
          <w:szCs w:val="32"/>
        </w:rPr>
        <w:t>.09/4249.36*100%=1.86</w:t>
      </w:r>
      <w:r>
        <w:rPr>
          <w:rFonts w:hint="eastAsia" w:ascii="仿宋_GB2312" w:eastAsia="仿宋_GB2312" w:cs="DengXian-Regular"/>
          <w:sz w:val="32"/>
          <w:szCs w:val="32"/>
        </w:rPr>
        <w:t>%。</w:t>
      </w:r>
      <w:r>
        <w:rPr>
          <w:rFonts w:ascii="仿宋_GB2312" w:eastAsia="仿宋_GB2312" w:cs="DengXian-Regular"/>
          <w:sz w:val="32"/>
          <w:szCs w:val="32"/>
        </w:rPr>
        <w:t>预算调减了</w:t>
      </w:r>
      <w:r>
        <w:rPr>
          <w:rFonts w:hint="eastAsia" w:ascii="仿宋_GB2312" w:eastAsia="仿宋_GB2312" w:cs="DengXian-Regular"/>
          <w:sz w:val="32"/>
          <w:szCs w:val="32"/>
        </w:rPr>
        <w:t>1.</w:t>
      </w:r>
      <w:r>
        <w:rPr>
          <w:rFonts w:ascii="仿宋_GB2312" w:eastAsia="仿宋_GB2312" w:cs="DengXian-Regular"/>
          <w:sz w:val="32"/>
          <w:szCs w:val="32"/>
        </w:rPr>
        <w:t>86</w:t>
      </w:r>
      <w:r>
        <w:rPr>
          <w:rFonts w:hint="eastAsia" w:ascii="仿宋_GB2312" w:eastAsia="仿宋_GB2312" w:cs="DengXian-Regular"/>
          <w:sz w:val="32"/>
          <w:szCs w:val="32"/>
        </w:rPr>
        <w:t>个</w:t>
      </w:r>
      <w:r>
        <w:rPr>
          <w:rFonts w:ascii="仿宋_GB2312" w:eastAsia="仿宋_GB2312" w:cs="DengXian-Regular"/>
          <w:sz w:val="32"/>
          <w:szCs w:val="32"/>
        </w:rPr>
        <w:t>百分点，</w:t>
      </w:r>
      <w:r>
        <w:rPr>
          <w:rFonts w:hint="eastAsia" w:ascii="仿宋_GB2312" w:eastAsia="仿宋_GB2312" w:cs="DengXian-Regular"/>
          <w:sz w:val="32"/>
          <w:szCs w:val="32"/>
        </w:rPr>
        <w:t>加1.</w:t>
      </w:r>
      <w:r>
        <w:rPr>
          <w:rFonts w:ascii="仿宋_GB2312" w:eastAsia="仿宋_GB2312" w:cs="DengXian-Regular"/>
          <w:sz w:val="32"/>
          <w:szCs w:val="32"/>
        </w:rPr>
        <w:t>86</w:t>
      </w:r>
      <w:r>
        <w:rPr>
          <w:rFonts w:hint="eastAsia" w:ascii="仿宋_GB2312" w:eastAsia="仿宋_GB2312" w:cs="DengXian-Regular"/>
          <w:sz w:val="32"/>
          <w:szCs w:val="32"/>
        </w:rPr>
        <w:t>*0.1*2</w:t>
      </w:r>
      <w:r>
        <w:rPr>
          <w:rFonts w:ascii="仿宋_GB2312" w:eastAsia="仿宋_GB2312" w:cs="DengXian-Regular"/>
          <w:sz w:val="32"/>
          <w:szCs w:val="32"/>
        </w:rPr>
        <w:t>=0.37</w:t>
      </w:r>
      <w:r>
        <w:rPr>
          <w:rFonts w:hint="eastAsia" w:ascii="仿宋_GB2312" w:eastAsia="仿宋_GB2312" w:cs="DengXian-Regular"/>
          <w:sz w:val="32"/>
          <w:szCs w:val="32"/>
        </w:rPr>
        <w:t>分</w:t>
      </w:r>
    </w:p>
    <w:p w14:paraId="6C7CC5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7C4FA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6B152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8A679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35B6A4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保定市徐水区市场监督管理局提供的2019年决算文本，部门决算财政拨款支出数</w:t>
      </w:r>
      <w:r>
        <w:rPr>
          <w:rFonts w:ascii="仿宋_GB2312" w:eastAsia="仿宋_GB2312" w:cs="DengXian-Regular"/>
          <w:sz w:val="32"/>
          <w:szCs w:val="32"/>
        </w:rPr>
        <w:t>4166.92</w:t>
      </w:r>
      <w:r>
        <w:rPr>
          <w:rFonts w:hint="eastAsia" w:ascii="仿宋_GB2312" w:eastAsia="仿宋_GB2312" w:cs="DengXian-Regular"/>
          <w:sz w:val="32"/>
          <w:szCs w:val="32"/>
        </w:rPr>
        <w:t>万元，财政拨款收入数</w:t>
      </w:r>
      <w:r>
        <w:rPr>
          <w:rFonts w:ascii="仿宋_GB2312" w:eastAsia="仿宋_GB2312" w:cs="DengXian-Regular"/>
          <w:sz w:val="32"/>
          <w:szCs w:val="32"/>
        </w:rPr>
        <w:t>4161.77</w:t>
      </w:r>
      <w:r>
        <w:rPr>
          <w:rFonts w:hint="eastAsia" w:ascii="仿宋_GB2312" w:eastAsia="仿宋_GB2312" w:cs="DengXian-Regular"/>
          <w:sz w:val="32"/>
          <w:szCs w:val="32"/>
        </w:rPr>
        <w:t>万元，财政拨款支出率=（</w:t>
      </w:r>
      <w:r>
        <w:rPr>
          <w:rFonts w:ascii="仿宋_GB2312" w:eastAsia="仿宋_GB2312" w:cs="DengXian-Regular"/>
          <w:sz w:val="32"/>
          <w:szCs w:val="32"/>
        </w:rPr>
        <w:t>4166.92</w:t>
      </w:r>
      <w:r>
        <w:rPr>
          <w:rFonts w:hint="eastAsia" w:ascii="仿宋_GB2312" w:eastAsia="仿宋_GB2312" w:cs="DengXian-Regular"/>
          <w:sz w:val="32"/>
          <w:szCs w:val="32"/>
        </w:rPr>
        <w:t>/4</w:t>
      </w:r>
      <w:r>
        <w:rPr>
          <w:rFonts w:ascii="仿宋_GB2312" w:eastAsia="仿宋_GB2312" w:cs="DengXian-Regular"/>
          <w:sz w:val="32"/>
          <w:szCs w:val="32"/>
        </w:rPr>
        <w:t>161.77</w:t>
      </w:r>
      <w:r>
        <w:rPr>
          <w:rFonts w:hint="eastAsia" w:ascii="仿宋_GB2312" w:eastAsia="仿宋_GB2312" w:cs="DengXian-Regular"/>
          <w:sz w:val="32"/>
          <w:szCs w:val="32"/>
        </w:rPr>
        <w:t>）*100%=</w:t>
      </w:r>
      <w:r>
        <w:rPr>
          <w:rFonts w:ascii="仿宋_GB2312" w:eastAsia="仿宋_GB2312" w:cs="DengXian-Regular"/>
          <w:sz w:val="32"/>
          <w:szCs w:val="32"/>
        </w:rPr>
        <w:t>100.12</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90%。保定市徐水区市场监督管理局2019年年初结转和结余</w:t>
      </w:r>
      <w:r>
        <w:rPr>
          <w:rFonts w:ascii="仿宋_GB2312" w:eastAsia="仿宋_GB2312" w:cs="DengXian-Regular"/>
          <w:sz w:val="32"/>
          <w:szCs w:val="32"/>
        </w:rPr>
        <w:t>8.36</w:t>
      </w:r>
      <w:r>
        <w:rPr>
          <w:rFonts w:hint="eastAsia" w:ascii="仿宋_GB2312" w:eastAsia="仿宋_GB2312" w:cs="DengXian-Regular"/>
          <w:sz w:val="32"/>
          <w:szCs w:val="32"/>
        </w:rPr>
        <w:t>万元，故支出数大于收入数。</w:t>
      </w:r>
    </w:p>
    <w:p w14:paraId="6892BE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19345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3D7EE4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24947D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742C6E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根据保定市徐水区市场监督管理局2019年预算文本及决算文本，“三公”经费年初预算数</w:t>
      </w:r>
      <w:r>
        <w:rPr>
          <w:rFonts w:ascii="仿宋_GB2312" w:eastAsia="仿宋_GB2312" w:cs="DengXian-Regular"/>
          <w:sz w:val="32"/>
          <w:szCs w:val="32"/>
        </w:rPr>
        <w:t>27</w:t>
      </w:r>
      <w:r>
        <w:rPr>
          <w:rFonts w:hint="eastAsia" w:ascii="仿宋_GB2312" w:eastAsia="仿宋_GB2312" w:cs="DengXian-Regular"/>
          <w:sz w:val="32"/>
          <w:szCs w:val="32"/>
        </w:rPr>
        <w:t>万元，年末决算数</w:t>
      </w:r>
      <w:r>
        <w:rPr>
          <w:rFonts w:ascii="仿宋_GB2312" w:eastAsia="仿宋_GB2312" w:cs="DengXian-Regular"/>
          <w:sz w:val="32"/>
          <w:szCs w:val="32"/>
        </w:rPr>
        <w:t>8.14</w:t>
      </w:r>
      <w:r>
        <w:rPr>
          <w:rFonts w:hint="eastAsia" w:ascii="仿宋_GB2312" w:eastAsia="仿宋_GB2312" w:cs="DengXian-Regular"/>
          <w:sz w:val="32"/>
          <w:szCs w:val="32"/>
        </w:rPr>
        <w:t>万元，“三公”经费控制率=（8</w:t>
      </w:r>
      <w:r>
        <w:rPr>
          <w:rFonts w:ascii="仿宋_GB2312" w:eastAsia="仿宋_GB2312" w:cs="DengXian-Regular"/>
          <w:sz w:val="32"/>
          <w:szCs w:val="32"/>
        </w:rPr>
        <w:t>.14</w:t>
      </w:r>
      <w:r>
        <w:rPr>
          <w:rFonts w:hint="eastAsia" w:ascii="仿宋_GB2312" w:eastAsia="仿宋_GB2312" w:cs="DengXian-Regular"/>
          <w:sz w:val="32"/>
          <w:szCs w:val="32"/>
        </w:rPr>
        <w:t>/2</w:t>
      </w:r>
      <w:r>
        <w:rPr>
          <w:rFonts w:ascii="仿宋_GB2312" w:eastAsia="仿宋_GB2312" w:cs="DengXian-Regular"/>
          <w:sz w:val="32"/>
          <w:szCs w:val="32"/>
        </w:rPr>
        <w:t>7</w:t>
      </w:r>
      <w:r>
        <w:rPr>
          <w:rFonts w:hint="eastAsia" w:ascii="仿宋_GB2312" w:eastAsia="仿宋_GB2312" w:cs="DengXian-Regular"/>
          <w:sz w:val="32"/>
          <w:szCs w:val="32"/>
        </w:rPr>
        <w:t>）*100%=</w:t>
      </w:r>
      <w:r>
        <w:rPr>
          <w:rFonts w:ascii="仿宋_GB2312" w:eastAsia="仿宋_GB2312" w:cs="DengXian-Regular"/>
          <w:sz w:val="32"/>
          <w:szCs w:val="32"/>
        </w:rPr>
        <w:t>30.15</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27097C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B8AA1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w:t>
      </w:r>
      <w:r>
        <w:rPr>
          <w:rFonts w:ascii="仿宋_GB2312" w:eastAsia="仿宋_GB2312" w:cs="DengXian-Regular"/>
          <w:sz w:val="32"/>
          <w:szCs w:val="32"/>
        </w:rPr>
        <w:t>0</w:t>
      </w:r>
      <w:r>
        <w:rPr>
          <w:rFonts w:hint="eastAsia" w:ascii="仿宋_GB2312" w:eastAsia="仿宋_GB2312" w:cs="DengXian-Regular"/>
          <w:sz w:val="32"/>
          <w:szCs w:val="32"/>
        </w:rPr>
        <w:t>分）</w:t>
      </w:r>
    </w:p>
    <w:p w14:paraId="22D3F7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36C3AE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0B079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根据保定市徐水区市场监督管理局2019年预算文本及决算文本，政府采购年初预算数</w:t>
      </w:r>
      <w:r>
        <w:rPr>
          <w:rFonts w:ascii="仿宋_GB2312" w:eastAsia="仿宋_GB2312" w:cs="DengXian-Regular"/>
          <w:sz w:val="32"/>
          <w:szCs w:val="32"/>
        </w:rPr>
        <w:t>3</w:t>
      </w:r>
      <w:r>
        <w:rPr>
          <w:rFonts w:hint="eastAsia" w:ascii="仿宋_GB2312" w:eastAsia="仿宋_GB2312" w:cs="DengXian-Regular"/>
          <w:sz w:val="32"/>
          <w:szCs w:val="32"/>
        </w:rPr>
        <w:t>万元，年末决算数</w:t>
      </w:r>
      <w:r>
        <w:rPr>
          <w:rFonts w:ascii="仿宋_GB2312" w:eastAsia="仿宋_GB2312" w:cs="DengXian-Regular"/>
          <w:sz w:val="32"/>
          <w:szCs w:val="32"/>
        </w:rPr>
        <w:t>0</w:t>
      </w:r>
      <w:r>
        <w:rPr>
          <w:rFonts w:hint="eastAsia" w:ascii="仿宋_GB2312" w:eastAsia="仿宋_GB2312" w:cs="DengXian-Regular"/>
          <w:sz w:val="32"/>
          <w:szCs w:val="32"/>
        </w:rPr>
        <w:t>万元，政府采购执行率为</w:t>
      </w:r>
      <w:r>
        <w:rPr>
          <w:rFonts w:ascii="仿宋_GB2312" w:eastAsia="仿宋_GB2312" w:cs="DengXian-Regular"/>
          <w:sz w:val="32"/>
          <w:szCs w:val="32"/>
        </w:rPr>
        <w:t>0</w:t>
      </w:r>
      <w:r>
        <w:rPr>
          <w:rFonts w:hint="eastAsia" w:ascii="仿宋_GB2312" w:eastAsia="仿宋_GB2312" w:cs="DengXian-Regular"/>
          <w:sz w:val="32"/>
          <w:szCs w:val="32"/>
        </w:rPr>
        <w:t>。</w:t>
      </w:r>
    </w:p>
    <w:p w14:paraId="2BE1EF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0</w:t>
      </w:r>
      <w:r>
        <w:rPr>
          <w:rFonts w:hint="eastAsia" w:ascii="仿宋_GB2312" w:eastAsia="仿宋_GB2312" w:cs="DengXian-Regular"/>
          <w:sz w:val="32"/>
          <w:szCs w:val="32"/>
        </w:rPr>
        <w:t>分。</w:t>
      </w:r>
    </w:p>
    <w:p w14:paraId="04B1DF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3E73D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7386A4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明细账、会计凭证等相关资料，保定市徐水区市场监督管理局资金使用符合相关会计准则和财务制度，资金拨付有完备的审批程序和手续，资金使用符合部门预算批复的用途，未发现截留、挤占、挪用财政资金的情况。</w:t>
      </w:r>
    </w:p>
    <w:p w14:paraId="334863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6875AE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31748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34B87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经核查保定市徐水区市场监督管理局2019年决算文本、明细账及总账，保定市徐水区市场监督管理局决算文本数据均与明细账、总账一致。</w:t>
      </w:r>
    </w:p>
    <w:p w14:paraId="77DA43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4030D5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6CBDA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E44E5A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000F09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工作制度涵盖了财务制度、网络安全制度、公务用车制度等相关制度，经检查保定市徐水区市场监督管理局付款流程审批单、资产盘点表等资料，保定市徐水区市场监督管理局已按照相关管理制度的规定执行。</w:t>
      </w:r>
    </w:p>
    <w:p w14:paraId="62D588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5BAB9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69FFD0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640D6D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保定市徐水区市场监督管理局2019年按政府信息公开的有关要求在保定市徐水区人民政府网公开了2019年的预决算情况、部门责任清单、行政监督清单等相关信息。</w:t>
      </w:r>
    </w:p>
    <w:p w14:paraId="45E9CF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475D85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93742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2135DF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根据保定市徐水区市场监督管理局提供的会计账簿、凭证及其他相关资料，保定市徐水区市场监督管理局会计信息资料真实完整，</w:t>
      </w:r>
    </w:p>
    <w:p w14:paraId="532218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B41E7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45E65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A4726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保定市徐水区市场监督管理局建立了固定资产台账，资产保存完整，2019年新增资产</w:t>
      </w:r>
      <w:r>
        <w:rPr>
          <w:rFonts w:ascii="仿宋_GB2312" w:eastAsia="仿宋_GB2312" w:cs="DengXian-Regular"/>
          <w:sz w:val="32"/>
          <w:szCs w:val="32"/>
        </w:rPr>
        <w:t>9.02</w:t>
      </w:r>
      <w:r>
        <w:rPr>
          <w:rFonts w:hint="eastAsia" w:ascii="仿宋_GB2312" w:eastAsia="仿宋_GB2312" w:cs="DengXian-Regular"/>
          <w:sz w:val="32"/>
          <w:szCs w:val="32"/>
        </w:rPr>
        <w:t>万元，包含：扫描仪（</w:t>
      </w:r>
      <w:r>
        <w:rPr>
          <w:rFonts w:ascii="仿宋_GB2312" w:eastAsia="仿宋_GB2312" w:cs="DengXian-Regular"/>
          <w:sz w:val="32"/>
          <w:szCs w:val="32"/>
        </w:rPr>
        <w:t>0.97</w:t>
      </w:r>
      <w:r>
        <w:rPr>
          <w:rFonts w:hint="eastAsia" w:ascii="仿宋_GB2312" w:eastAsia="仿宋_GB2312" w:cs="DengXian-Regular"/>
          <w:sz w:val="32"/>
          <w:szCs w:val="32"/>
        </w:rPr>
        <w:t>万元）、电脑及计算机设备（</w:t>
      </w:r>
      <w:r>
        <w:rPr>
          <w:rFonts w:ascii="仿宋_GB2312" w:eastAsia="仿宋_GB2312" w:cs="DengXian-Regular"/>
          <w:sz w:val="32"/>
          <w:szCs w:val="32"/>
        </w:rPr>
        <w:t>2.69</w:t>
      </w:r>
      <w:r>
        <w:rPr>
          <w:rFonts w:hint="eastAsia" w:ascii="仿宋_GB2312" w:eastAsia="仿宋_GB2312" w:cs="DengXian-Regular"/>
          <w:sz w:val="32"/>
          <w:szCs w:val="32"/>
        </w:rPr>
        <w:t>万元）、打印机（</w:t>
      </w:r>
      <w:r>
        <w:rPr>
          <w:rFonts w:ascii="仿宋_GB2312" w:eastAsia="仿宋_GB2312" w:cs="DengXian-Regular"/>
          <w:sz w:val="32"/>
          <w:szCs w:val="32"/>
        </w:rPr>
        <w:t>0.39</w:t>
      </w:r>
      <w:r>
        <w:rPr>
          <w:rFonts w:hint="eastAsia" w:ascii="仿宋_GB2312" w:eastAsia="仿宋_GB2312" w:cs="DengXian-Regular"/>
          <w:sz w:val="32"/>
          <w:szCs w:val="32"/>
        </w:rPr>
        <w:t>万元），多功能</w:t>
      </w:r>
      <w:r>
        <w:rPr>
          <w:rFonts w:ascii="仿宋_GB2312" w:eastAsia="仿宋_GB2312" w:cs="DengXian-Regular"/>
          <w:sz w:val="32"/>
          <w:szCs w:val="32"/>
        </w:rPr>
        <w:t>一体机（1.38</w:t>
      </w:r>
      <w:r>
        <w:rPr>
          <w:rFonts w:hint="eastAsia" w:ascii="仿宋_GB2312" w:eastAsia="仿宋_GB2312" w:cs="DengXian-Regular"/>
          <w:sz w:val="32"/>
          <w:szCs w:val="32"/>
        </w:rPr>
        <w:t>万元）</w:t>
      </w:r>
      <w:r>
        <w:rPr>
          <w:rFonts w:ascii="仿宋_GB2312" w:eastAsia="仿宋_GB2312" w:cs="DengXian-Regular"/>
          <w:sz w:val="32"/>
          <w:szCs w:val="32"/>
        </w:rPr>
        <w:t>，传真机（</w:t>
      </w:r>
      <w:r>
        <w:rPr>
          <w:rFonts w:hint="eastAsia" w:ascii="仿宋_GB2312" w:eastAsia="仿宋_GB2312" w:cs="DengXian-Regular"/>
          <w:sz w:val="32"/>
          <w:szCs w:val="32"/>
        </w:rPr>
        <w:t>0.2</w:t>
      </w:r>
      <w:r>
        <w:rPr>
          <w:rFonts w:ascii="仿宋_GB2312" w:eastAsia="仿宋_GB2312" w:cs="DengXian-Regular"/>
          <w:sz w:val="32"/>
          <w:szCs w:val="32"/>
        </w:rPr>
        <w:t>1</w:t>
      </w:r>
      <w:r>
        <w:rPr>
          <w:rFonts w:hint="eastAsia" w:ascii="仿宋_GB2312" w:eastAsia="仿宋_GB2312" w:cs="DengXian-Regular"/>
          <w:sz w:val="32"/>
          <w:szCs w:val="32"/>
        </w:rPr>
        <w:t>万元</w:t>
      </w:r>
      <w:r>
        <w:rPr>
          <w:rFonts w:ascii="仿宋_GB2312" w:eastAsia="仿宋_GB2312" w:cs="DengXian-Regular"/>
          <w:sz w:val="32"/>
          <w:szCs w:val="32"/>
        </w:rPr>
        <w:t>），空调（</w:t>
      </w:r>
      <w:r>
        <w:rPr>
          <w:rFonts w:hint="eastAsia" w:ascii="仿宋_GB2312" w:eastAsia="仿宋_GB2312" w:cs="DengXian-Regular"/>
          <w:sz w:val="32"/>
          <w:szCs w:val="32"/>
        </w:rPr>
        <w:t>1.14万元</w:t>
      </w:r>
      <w:r>
        <w:rPr>
          <w:rFonts w:ascii="仿宋_GB2312" w:eastAsia="仿宋_GB2312" w:cs="DengXian-Regular"/>
          <w:sz w:val="32"/>
          <w:szCs w:val="32"/>
        </w:rPr>
        <w:t>），密集架（0</w:t>
      </w:r>
      <w:r>
        <w:rPr>
          <w:rFonts w:hint="eastAsia" w:ascii="仿宋_GB2312" w:eastAsia="仿宋_GB2312" w:cs="DengXian-Regular"/>
          <w:sz w:val="32"/>
          <w:szCs w:val="32"/>
        </w:rPr>
        <w:t>.96万元</w:t>
      </w:r>
      <w:r>
        <w:rPr>
          <w:rFonts w:ascii="仿宋_GB2312" w:eastAsia="仿宋_GB2312" w:cs="DengXian-Regular"/>
          <w:sz w:val="32"/>
          <w:szCs w:val="32"/>
        </w:rPr>
        <w:t>），文件柜</w:t>
      </w:r>
      <w:r>
        <w:rPr>
          <w:rFonts w:hint="eastAsia" w:ascii="仿宋_GB2312" w:eastAsia="仿宋_GB2312" w:cs="DengXian-Regular"/>
          <w:sz w:val="32"/>
          <w:szCs w:val="32"/>
        </w:rPr>
        <w:t>（</w:t>
      </w:r>
      <w:r>
        <w:rPr>
          <w:rFonts w:ascii="仿宋_GB2312" w:eastAsia="仿宋_GB2312" w:cs="DengXian-Regular"/>
          <w:sz w:val="32"/>
          <w:szCs w:val="32"/>
        </w:rPr>
        <w:t>0.34</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w:t>
      </w:r>
      <w:r>
        <w:rPr>
          <w:rFonts w:ascii="仿宋_GB2312" w:eastAsia="仿宋_GB2312" w:cs="DengXian-Regular"/>
          <w:sz w:val="32"/>
          <w:szCs w:val="32"/>
        </w:rPr>
        <w:t>铁皮柜（</w:t>
      </w:r>
      <w:r>
        <w:rPr>
          <w:rFonts w:hint="eastAsia" w:ascii="仿宋_GB2312" w:eastAsia="仿宋_GB2312" w:cs="DengXian-Regular"/>
          <w:sz w:val="32"/>
          <w:szCs w:val="32"/>
        </w:rPr>
        <w:t>0.94万元</w:t>
      </w:r>
      <w:r>
        <w:rPr>
          <w:rFonts w:ascii="仿宋_GB2312" w:eastAsia="仿宋_GB2312" w:cs="DengXian-Regular"/>
          <w:sz w:val="32"/>
          <w:szCs w:val="32"/>
        </w:rPr>
        <w:t>）</w:t>
      </w:r>
      <w:r>
        <w:rPr>
          <w:rFonts w:hint="eastAsia" w:ascii="仿宋_GB2312" w:eastAsia="仿宋_GB2312" w:cs="DengXian-Regular"/>
          <w:sz w:val="32"/>
          <w:szCs w:val="32"/>
        </w:rPr>
        <w:t>资产购置手续完备，配置符合要求，资产管理整体较规范。</w:t>
      </w:r>
    </w:p>
    <w:p w14:paraId="40AD39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98434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5EC9AD3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7D93D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369233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2D5C49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根据徐水区财政局《关于开展2019年度财政专项资金部门绩效自评价工作的通知》及徐水区保定市徐水区市场监督管理局2019年一般项目部门绩效自评表，保定市徐水区市场监督管理局2019年开展绩效自评的项目数为</w:t>
      </w:r>
      <w:r>
        <w:rPr>
          <w:rFonts w:ascii="仿宋_GB2312" w:eastAsia="仿宋_GB2312" w:cs="DengXian-Regular"/>
          <w:sz w:val="32"/>
          <w:szCs w:val="32"/>
        </w:rPr>
        <w:t>19</w:t>
      </w:r>
      <w:r>
        <w:rPr>
          <w:rFonts w:hint="eastAsia" w:ascii="仿宋_GB2312" w:eastAsia="仿宋_GB2312" w:cs="DengXian-Regular"/>
          <w:sz w:val="32"/>
          <w:szCs w:val="32"/>
        </w:rPr>
        <w:t>个，年初预算文本项目数</w:t>
      </w:r>
      <w:r>
        <w:rPr>
          <w:rFonts w:ascii="仿宋_GB2312" w:eastAsia="仿宋_GB2312" w:cs="DengXian-Regular"/>
          <w:sz w:val="32"/>
          <w:szCs w:val="32"/>
        </w:rPr>
        <w:t>24</w:t>
      </w:r>
      <w:r>
        <w:rPr>
          <w:rFonts w:hint="eastAsia" w:ascii="仿宋_GB2312" w:eastAsia="仿宋_GB2312" w:cs="DengXian-Regular"/>
          <w:sz w:val="32"/>
          <w:szCs w:val="32"/>
        </w:rPr>
        <w:t>个，要求自评项目个数</w:t>
      </w:r>
      <w:r>
        <w:rPr>
          <w:rFonts w:ascii="仿宋_GB2312" w:eastAsia="仿宋_GB2312" w:cs="DengXian-Regular"/>
          <w:sz w:val="32"/>
          <w:szCs w:val="32"/>
        </w:rPr>
        <w:t>19</w:t>
      </w:r>
      <w:r>
        <w:rPr>
          <w:rFonts w:hint="eastAsia" w:ascii="仿宋_GB2312" w:eastAsia="仿宋_GB2312" w:cs="DengXian-Regular"/>
          <w:sz w:val="32"/>
          <w:szCs w:val="32"/>
        </w:rPr>
        <w:t xml:space="preserve">个，自评覆盖率为 </w:t>
      </w:r>
      <w:r>
        <w:rPr>
          <w:rFonts w:ascii="仿宋_GB2312" w:eastAsia="仿宋_GB2312" w:cs="DengXian-Regular"/>
          <w:sz w:val="32"/>
          <w:szCs w:val="32"/>
        </w:rPr>
        <w:t>100</w:t>
      </w:r>
      <w:r>
        <w:rPr>
          <w:rFonts w:hint="eastAsia" w:ascii="仿宋_GB2312" w:eastAsia="仿宋_GB2312" w:cs="DengXian-Regular"/>
          <w:sz w:val="32"/>
          <w:szCs w:val="32"/>
        </w:rPr>
        <w:t>%。</w:t>
      </w:r>
    </w:p>
    <w:p w14:paraId="3ABC59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25710A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7EBC24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02967E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11A63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保定市徐水区市场监督管理局2019年参评数量</w:t>
      </w:r>
      <w:r>
        <w:rPr>
          <w:rFonts w:ascii="仿宋_GB2312" w:eastAsia="仿宋_GB2312" w:cs="DengXian-Regular"/>
          <w:sz w:val="32"/>
          <w:szCs w:val="32"/>
        </w:rPr>
        <w:t>19</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19</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00491B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1"/>
      <w:bookmarkEnd w:id="62"/>
    </w:p>
    <w:p w14:paraId="2A40E1E4">
      <w:pPr>
        <w:pStyle w:val="4"/>
        <w:spacing w:before="0" w:after="0"/>
        <w:ind w:firstLine="643" w:firstLineChars="200"/>
        <w:jc w:val="both"/>
        <w:rPr>
          <w:rFonts w:ascii="楷体" w:hAnsi="楷体" w:eastAsia="楷体"/>
          <w:sz w:val="32"/>
        </w:rPr>
      </w:pPr>
      <w:bookmarkStart w:id="63" w:name="_Toc58195243"/>
      <w:r>
        <w:rPr>
          <w:rFonts w:hint="eastAsia" w:ascii="楷体" w:hAnsi="楷体" w:eastAsia="楷体"/>
          <w:sz w:val="32"/>
        </w:rPr>
        <w:t>（三）产出（25分）</w:t>
      </w:r>
      <w:bookmarkEnd w:id="63"/>
    </w:p>
    <w:p w14:paraId="6723DF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2E3AC9BA">
      <w:pPr>
        <w:spacing w:after="0" w:line="360" w:lineRule="auto"/>
        <w:ind w:firstLine="643"/>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7669" w:type="dxa"/>
        <w:jc w:val="center"/>
        <w:tblLayout w:type="fixed"/>
        <w:tblCellMar>
          <w:top w:w="15" w:type="dxa"/>
          <w:left w:w="15" w:type="dxa"/>
          <w:bottom w:w="15" w:type="dxa"/>
          <w:right w:w="15" w:type="dxa"/>
        </w:tblCellMar>
      </w:tblPr>
      <w:tblGrid>
        <w:gridCol w:w="1097"/>
        <w:gridCol w:w="992"/>
        <w:gridCol w:w="3760"/>
        <w:gridCol w:w="723"/>
        <w:gridCol w:w="1097"/>
      </w:tblGrid>
      <w:tr w14:paraId="48908970">
        <w:tblPrEx>
          <w:tblCellMar>
            <w:top w:w="15" w:type="dxa"/>
            <w:left w:w="15" w:type="dxa"/>
            <w:bottom w:w="15" w:type="dxa"/>
            <w:right w:w="15" w:type="dxa"/>
          </w:tblCellMar>
        </w:tblPrEx>
        <w:trPr>
          <w:trHeight w:val="521" w:hRule="exact"/>
          <w:jc w:val="center"/>
        </w:trPr>
        <w:tc>
          <w:tcPr>
            <w:tcW w:w="1097" w:type="dxa"/>
            <w:tcBorders>
              <w:top w:val="single" w:color="000000" w:sz="4" w:space="0"/>
              <w:left w:val="single" w:color="000000" w:sz="4" w:space="0"/>
              <w:bottom w:val="single" w:color="000000" w:sz="4" w:space="0"/>
              <w:right w:val="single" w:color="000000" w:sz="4" w:space="0"/>
            </w:tcBorders>
            <w:vAlign w:val="center"/>
          </w:tcPr>
          <w:p w14:paraId="75F4017B">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037C1F12">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3760" w:type="dxa"/>
            <w:tcBorders>
              <w:top w:val="single" w:color="000000" w:sz="4" w:space="0"/>
              <w:left w:val="single" w:color="000000" w:sz="4" w:space="0"/>
              <w:bottom w:val="single" w:color="000000" w:sz="4" w:space="0"/>
              <w:right w:val="single" w:color="000000" w:sz="4" w:space="0"/>
            </w:tcBorders>
            <w:vAlign w:val="center"/>
          </w:tcPr>
          <w:p w14:paraId="28E2C116">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723" w:type="dxa"/>
            <w:tcBorders>
              <w:top w:val="single" w:color="000000" w:sz="4" w:space="0"/>
              <w:left w:val="single" w:color="000000" w:sz="4" w:space="0"/>
              <w:bottom w:val="single" w:color="000000" w:sz="4" w:space="0"/>
              <w:right w:val="single" w:color="000000" w:sz="4" w:space="0"/>
            </w:tcBorders>
            <w:vAlign w:val="center"/>
          </w:tcPr>
          <w:p w14:paraId="78B8C9F5">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97" w:type="dxa"/>
            <w:tcBorders>
              <w:top w:val="single" w:color="000000" w:sz="4" w:space="0"/>
              <w:left w:val="single" w:color="000000" w:sz="4" w:space="0"/>
              <w:bottom w:val="single" w:color="000000" w:sz="4" w:space="0"/>
              <w:right w:val="single" w:color="000000" w:sz="4" w:space="0"/>
            </w:tcBorders>
            <w:vAlign w:val="center"/>
          </w:tcPr>
          <w:p w14:paraId="215BC376">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3E0CE6E">
        <w:tblPrEx>
          <w:tblCellMar>
            <w:top w:w="15" w:type="dxa"/>
            <w:left w:w="15" w:type="dxa"/>
            <w:bottom w:w="15" w:type="dxa"/>
            <w:right w:w="15" w:type="dxa"/>
          </w:tblCellMar>
        </w:tblPrEx>
        <w:trPr>
          <w:trHeight w:val="521" w:hRule="exact"/>
          <w:jc w:val="center"/>
        </w:trPr>
        <w:tc>
          <w:tcPr>
            <w:tcW w:w="1097" w:type="dxa"/>
            <w:vMerge w:val="restart"/>
            <w:tcBorders>
              <w:top w:val="single" w:color="000000" w:sz="4" w:space="0"/>
              <w:left w:val="single" w:color="000000" w:sz="4" w:space="0"/>
              <w:bottom w:val="single" w:color="000000" w:sz="4" w:space="0"/>
              <w:right w:val="single" w:color="000000" w:sz="4" w:space="0"/>
            </w:tcBorders>
            <w:vAlign w:val="center"/>
          </w:tcPr>
          <w:p w14:paraId="1BA6BA53">
            <w:pPr>
              <w:spacing w:line="42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534B470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992" w:type="dxa"/>
            <w:vMerge w:val="restart"/>
            <w:tcBorders>
              <w:top w:val="single" w:color="000000" w:sz="4" w:space="0"/>
              <w:left w:val="single" w:color="000000" w:sz="4" w:space="0"/>
              <w:right w:val="single" w:color="000000" w:sz="4" w:space="0"/>
            </w:tcBorders>
            <w:vAlign w:val="center"/>
          </w:tcPr>
          <w:p w14:paraId="30C26452">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3760" w:type="dxa"/>
            <w:tcBorders>
              <w:top w:val="single" w:color="000000" w:sz="4" w:space="0"/>
              <w:left w:val="single" w:color="000000" w:sz="4" w:space="0"/>
              <w:bottom w:val="single" w:color="000000" w:sz="4" w:space="0"/>
              <w:right w:val="single" w:color="000000" w:sz="4" w:space="0"/>
            </w:tcBorders>
            <w:vAlign w:val="center"/>
          </w:tcPr>
          <w:p w14:paraId="2BEB904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723" w:type="dxa"/>
            <w:tcBorders>
              <w:top w:val="single" w:color="000000" w:sz="4" w:space="0"/>
              <w:left w:val="single" w:color="000000" w:sz="4" w:space="0"/>
              <w:bottom w:val="single" w:color="000000" w:sz="4" w:space="0"/>
              <w:right w:val="single" w:color="000000" w:sz="4" w:space="0"/>
            </w:tcBorders>
            <w:vAlign w:val="center"/>
          </w:tcPr>
          <w:p w14:paraId="516BB16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33110D4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4A3D602">
        <w:tblPrEx>
          <w:tblCellMar>
            <w:top w:w="15" w:type="dxa"/>
            <w:left w:w="15" w:type="dxa"/>
            <w:bottom w:w="15" w:type="dxa"/>
            <w:right w:w="15" w:type="dxa"/>
          </w:tblCellMar>
        </w:tblPrEx>
        <w:trPr>
          <w:trHeight w:val="521" w:hRule="exact"/>
          <w:jc w:val="center"/>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0FD2E09C">
            <w:pPr>
              <w:spacing w:line="420" w:lineRule="exact"/>
              <w:ind w:firstLine="420"/>
              <w:jc w:val="center"/>
              <w:rPr>
                <w:rFonts w:cs="宋体" w:asciiTheme="minorEastAsia" w:hAnsiTheme="minorEastAsia" w:eastAsiaTheme="minorEastAsia"/>
                <w:sz w:val="21"/>
                <w:szCs w:val="21"/>
              </w:rPr>
            </w:pPr>
          </w:p>
        </w:tc>
        <w:tc>
          <w:tcPr>
            <w:tcW w:w="992" w:type="dxa"/>
            <w:vMerge w:val="continue"/>
            <w:tcBorders>
              <w:left w:val="single" w:color="000000" w:sz="4" w:space="0"/>
              <w:right w:val="single" w:color="000000" w:sz="4" w:space="0"/>
            </w:tcBorders>
            <w:vAlign w:val="center"/>
          </w:tcPr>
          <w:p w14:paraId="43EA3E2A">
            <w:pPr>
              <w:spacing w:line="420" w:lineRule="exact"/>
              <w:ind w:firstLine="420"/>
              <w:jc w:val="center"/>
              <w:rPr>
                <w:rFonts w:cs="宋体" w:asciiTheme="minorEastAsia" w:hAnsiTheme="minorEastAsia" w:eastAsiaTheme="minorEastAsia"/>
                <w:sz w:val="21"/>
                <w:szCs w:val="21"/>
              </w:rPr>
            </w:pPr>
          </w:p>
        </w:tc>
        <w:tc>
          <w:tcPr>
            <w:tcW w:w="3760" w:type="dxa"/>
            <w:tcBorders>
              <w:top w:val="single" w:color="000000" w:sz="4" w:space="0"/>
              <w:left w:val="single" w:color="000000" w:sz="4" w:space="0"/>
              <w:bottom w:val="single" w:color="000000" w:sz="4" w:space="0"/>
              <w:right w:val="single" w:color="000000" w:sz="4" w:space="0"/>
            </w:tcBorders>
            <w:vAlign w:val="center"/>
          </w:tcPr>
          <w:p w14:paraId="51A8EF7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723" w:type="dxa"/>
            <w:tcBorders>
              <w:top w:val="single" w:color="000000" w:sz="4" w:space="0"/>
              <w:left w:val="single" w:color="000000" w:sz="4" w:space="0"/>
              <w:bottom w:val="single" w:color="000000" w:sz="4" w:space="0"/>
              <w:right w:val="single" w:color="000000" w:sz="4" w:space="0"/>
            </w:tcBorders>
            <w:vAlign w:val="center"/>
          </w:tcPr>
          <w:p w14:paraId="60B9AC5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777D92F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4FAAD2F">
        <w:tblPrEx>
          <w:tblCellMar>
            <w:top w:w="15" w:type="dxa"/>
            <w:left w:w="15" w:type="dxa"/>
            <w:bottom w:w="15" w:type="dxa"/>
            <w:right w:w="15" w:type="dxa"/>
          </w:tblCellMar>
        </w:tblPrEx>
        <w:trPr>
          <w:trHeight w:val="521" w:hRule="exact"/>
          <w:jc w:val="center"/>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D1C9737">
            <w:pPr>
              <w:spacing w:line="420" w:lineRule="exact"/>
              <w:ind w:firstLine="420"/>
              <w:jc w:val="center"/>
              <w:rPr>
                <w:rFonts w:cs="宋体" w:asciiTheme="minorEastAsia" w:hAnsiTheme="minorEastAsia" w:eastAsiaTheme="minorEastAsia"/>
                <w:sz w:val="21"/>
                <w:szCs w:val="21"/>
              </w:rPr>
            </w:pPr>
          </w:p>
        </w:tc>
        <w:tc>
          <w:tcPr>
            <w:tcW w:w="992" w:type="dxa"/>
            <w:vMerge w:val="continue"/>
            <w:tcBorders>
              <w:left w:val="single" w:color="000000" w:sz="4" w:space="0"/>
              <w:right w:val="single" w:color="000000" w:sz="4" w:space="0"/>
            </w:tcBorders>
            <w:vAlign w:val="center"/>
          </w:tcPr>
          <w:p w14:paraId="2220D046">
            <w:pPr>
              <w:spacing w:line="420" w:lineRule="exact"/>
              <w:ind w:firstLine="420"/>
              <w:jc w:val="center"/>
              <w:rPr>
                <w:rFonts w:cs="宋体" w:asciiTheme="minorEastAsia" w:hAnsiTheme="minorEastAsia" w:eastAsiaTheme="minorEastAsia"/>
                <w:sz w:val="21"/>
                <w:szCs w:val="21"/>
              </w:rPr>
            </w:pPr>
          </w:p>
        </w:tc>
        <w:tc>
          <w:tcPr>
            <w:tcW w:w="3760" w:type="dxa"/>
            <w:tcBorders>
              <w:top w:val="single" w:color="000000" w:sz="4" w:space="0"/>
              <w:left w:val="single" w:color="000000" w:sz="4" w:space="0"/>
              <w:bottom w:val="single" w:color="000000" w:sz="4" w:space="0"/>
              <w:right w:val="single" w:color="000000" w:sz="4" w:space="0"/>
            </w:tcBorders>
            <w:vAlign w:val="center"/>
          </w:tcPr>
          <w:p w14:paraId="5959474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发放</w:t>
            </w:r>
            <w:r>
              <w:rPr>
                <w:rFonts w:hint="eastAsia" w:cs="宋体" w:asciiTheme="minorEastAsia" w:hAnsiTheme="minorEastAsia" w:eastAsiaTheme="minorEastAsia"/>
                <w:sz w:val="21"/>
                <w:szCs w:val="21"/>
                <w:lang w:eastAsia="zh-CN"/>
              </w:rPr>
              <w:t>中华人民共和国成立前</w:t>
            </w:r>
            <w:r>
              <w:rPr>
                <w:rFonts w:hint="eastAsia" w:cs="宋体" w:asciiTheme="minorEastAsia" w:hAnsiTheme="minorEastAsia" w:eastAsiaTheme="minorEastAsia"/>
                <w:sz w:val="21"/>
                <w:szCs w:val="21"/>
              </w:rPr>
              <w:t>老党员生活补助人数</w:t>
            </w:r>
          </w:p>
        </w:tc>
        <w:tc>
          <w:tcPr>
            <w:tcW w:w="723" w:type="dxa"/>
            <w:tcBorders>
              <w:top w:val="single" w:color="000000" w:sz="4" w:space="0"/>
              <w:left w:val="single" w:color="000000" w:sz="4" w:space="0"/>
              <w:bottom w:val="single" w:color="000000" w:sz="4" w:space="0"/>
              <w:right w:val="single" w:color="000000" w:sz="4" w:space="0"/>
            </w:tcBorders>
            <w:vAlign w:val="center"/>
          </w:tcPr>
          <w:p w14:paraId="02FD9726">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4254B1B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612F555E">
        <w:tblPrEx>
          <w:tblCellMar>
            <w:top w:w="15" w:type="dxa"/>
            <w:left w:w="15" w:type="dxa"/>
            <w:bottom w:w="15" w:type="dxa"/>
            <w:right w:w="15" w:type="dxa"/>
          </w:tblCellMar>
        </w:tblPrEx>
        <w:trPr>
          <w:trHeight w:val="521" w:hRule="exact"/>
          <w:jc w:val="center"/>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7C636533">
            <w:pPr>
              <w:spacing w:line="420" w:lineRule="exact"/>
              <w:ind w:firstLine="420"/>
              <w:jc w:val="center"/>
              <w:rPr>
                <w:rFonts w:cs="宋体" w:asciiTheme="minorEastAsia" w:hAnsiTheme="minorEastAsia" w:eastAsiaTheme="minorEastAsia"/>
                <w:sz w:val="21"/>
                <w:szCs w:val="21"/>
              </w:rPr>
            </w:pPr>
          </w:p>
        </w:tc>
        <w:tc>
          <w:tcPr>
            <w:tcW w:w="992" w:type="dxa"/>
            <w:vMerge w:val="continue"/>
            <w:tcBorders>
              <w:left w:val="single" w:color="000000" w:sz="4" w:space="0"/>
              <w:right w:val="single" w:color="000000" w:sz="4" w:space="0"/>
            </w:tcBorders>
            <w:vAlign w:val="center"/>
          </w:tcPr>
          <w:p w14:paraId="0079F6CD">
            <w:pPr>
              <w:spacing w:line="420" w:lineRule="exact"/>
              <w:ind w:firstLine="420"/>
              <w:jc w:val="center"/>
              <w:rPr>
                <w:rFonts w:cs="宋体" w:asciiTheme="minorEastAsia" w:hAnsiTheme="minorEastAsia" w:eastAsiaTheme="minorEastAsia"/>
                <w:sz w:val="21"/>
                <w:szCs w:val="21"/>
              </w:rPr>
            </w:pPr>
          </w:p>
        </w:tc>
        <w:tc>
          <w:tcPr>
            <w:tcW w:w="3760" w:type="dxa"/>
            <w:tcBorders>
              <w:top w:val="single" w:color="000000" w:sz="4" w:space="0"/>
              <w:left w:val="single" w:color="000000" w:sz="4" w:space="0"/>
              <w:bottom w:val="single" w:color="000000" w:sz="4" w:space="0"/>
              <w:right w:val="single" w:color="000000" w:sz="4" w:space="0"/>
            </w:tcBorders>
            <w:vAlign w:val="center"/>
          </w:tcPr>
          <w:p w14:paraId="1667AC8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农村干部</w:t>
            </w:r>
            <w:r>
              <w:rPr>
                <w:rFonts w:cs="宋体" w:asciiTheme="minorEastAsia" w:hAnsiTheme="minorEastAsia" w:eastAsiaTheme="minorEastAsia"/>
                <w:sz w:val="21"/>
                <w:szCs w:val="21"/>
              </w:rPr>
              <w:t>养老保险参保</w:t>
            </w:r>
            <w:r>
              <w:rPr>
                <w:rFonts w:hint="eastAsia" w:cs="宋体" w:asciiTheme="minorEastAsia" w:hAnsiTheme="minorEastAsia" w:eastAsiaTheme="minorEastAsia"/>
                <w:sz w:val="21"/>
                <w:szCs w:val="21"/>
              </w:rPr>
              <w:t>率</w:t>
            </w:r>
          </w:p>
        </w:tc>
        <w:tc>
          <w:tcPr>
            <w:tcW w:w="723" w:type="dxa"/>
            <w:tcBorders>
              <w:top w:val="single" w:color="000000" w:sz="4" w:space="0"/>
              <w:left w:val="single" w:color="000000" w:sz="4" w:space="0"/>
              <w:bottom w:val="single" w:color="000000" w:sz="4" w:space="0"/>
              <w:right w:val="single" w:color="000000" w:sz="4" w:space="0"/>
            </w:tcBorders>
            <w:vAlign w:val="center"/>
          </w:tcPr>
          <w:p w14:paraId="73AF444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359D9206">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45763B62">
        <w:tblPrEx>
          <w:tblCellMar>
            <w:top w:w="15" w:type="dxa"/>
            <w:left w:w="15" w:type="dxa"/>
            <w:bottom w:w="15" w:type="dxa"/>
            <w:right w:w="15" w:type="dxa"/>
          </w:tblCellMar>
        </w:tblPrEx>
        <w:trPr>
          <w:trHeight w:val="521" w:hRule="exact"/>
          <w:jc w:val="center"/>
        </w:trPr>
        <w:tc>
          <w:tcPr>
            <w:tcW w:w="1097" w:type="dxa"/>
            <w:vMerge w:val="continue"/>
            <w:tcBorders>
              <w:top w:val="single" w:color="000000" w:sz="4" w:space="0"/>
              <w:left w:val="single" w:color="000000" w:sz="4" w:space="0"/>
              <w:bottom w:val="single" w:color="000000" w:sz="4" w:space="0"/>
              <w:right w:val="single" w:color="000000" w:sz="4" w:space="0"/>
            </w:tcBorders>
            <w:vAlign w:val="center"/>
          </w:tcPr>
          <w:p w14:paraId="4C71C795">
            <w:pPr>
              <w:spacing w:line="420" w:lineRule="exact"/>
              <w:ind w:firstLine="420"/>
              <w:jc w:val="center"/>
              <w:rPr>
                <w:rFonts w:cs="宋体" w:asciiTheme="minorEastAsia" w:hAnsiTheme="minorEastAsia" w:eastAsiaTheme="minorEastAsia"/>
                <w:sz w:val="21"/>
                <w:szCs w:val="21"/>
              </w:rPr>
            </w:pPr>
          </w:p>
        </w:tc>
        <w:tc>
          <w:tcPr>
            <w:tcW w:w="992" w:type="dxa"/>
            <w:vMerge w:val="continue"/>
            <w:tcBorders>
              <w:left w:val="single" w:color="000000" w:sz="4" w:space="0"/>
              <w:right w:val="single" w:color="000000" w:sz="4" w:space="0"/>
            </w:tcBorders>
            <w:vAlign w:val="center"/>
          </w:tcPr>
          <w:p w14:paraId="376D2C8C">
            <w:pPr>
              <w:spacing w:line="420" w:lineRule="exact"/>
              <w:ind w:firstLine="420"/>
              <w:jc w:val="center"/>
              <w:rPr>
                <w:rFonts w:cs="宋体" w:asciiTheme="minorEastAsia" w:hAnsiTheme="minorEastAsia" w:eastAsiaTheme="minorEastAsia"/>
                <w:sz w:val="21"/>
                <w:szCs w:val="21"/>
              </w:rPr>
            </w:pPr>
          </w:p>
        </w:tc>
        <w:tc>
          <w:tcPr>
            <w:tcW w:w="3760" w:type="dxa"/>
            <w:tcBorders>
              <w:top w:val="single" w:color="000000" w:sz="4" w:space="0"/>
              <w:left w:val="single" w:color="000000" w:sz="4" w:space="0"/>
              <w:bottom w:val="single" w:color="000000" w:sz="4" w:space="0"/>
              <w:right w:val="single" w:color="000000" w:sz="4" w:space="0"/>
            </w:tcBorders>
            <w:vAlign w:val="center"/>
          </w:tcPr>
          <w:p w14:paraId="3B399C9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党员干部教育培训次数</w:t>
            </w:r>
          </w:p>
        </w:tc>
        <w:tc>
          <w:tcPr>
            <w:tcW w:w="723" w:type="dxa"/>
            <w:tcBorders>
              <w:top w:val="single" w:color="000000" w:sz="4" w:space="0"/>
              <w:left w:val="single" w:color="000000" w:sz="4" w:space="0"/>
              <w:bottom w:val="single" w:color="000000" w:sz="4" w:space="0"/>
              <w:right w:val="single" w:color="000000" w:sz="4" w:space="0"/>
            </w:tcBorders>
            <w:vAlign w:val="center"/>
          </w:tcPr>
          <w:p w14:paraId="7831081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249A4D3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8461098">
        <w:tblPrEx>
          <w:tblCellMar>
            <w:top w:w="15" w:type="dxa"/>
            <w:left w:w="15" w:type="dxa"/>
            <w:bottom w:w="15" w:type="dxa"/>
            <w:right w:w="15" w:type="dxa"/>
          </w:tblCellMar>
        </w:tblPrEx>
        <w:trPr>
          <w:trHeight w:val="521" w:hRule="exact"/>
          <w:jc w:val="center"/>
        </w:trPr>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05C3A3F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3760" w:type="dxa"/>
            <w:tcBorders>
              <w:top w:val="single" w:color="000000" w:sz="4" w:space="0"/>
              <w:left w:val="single" w:color="000000" w:sz="4" w:space="0"/>
              <w:bottom w:val="single" w:color="000000" w:sz="4" w:space="0"/>
              <w:right w:val="single" w:color="000000" w:sz="4" w:space="0"/>
            </w:tcBorders>
            <w:vAlign w:val="center"/>
          </w:tcPr>
          <w:p w14:paraId="2B98C1EA">
            <w:pPr>
              <w:spacing w:line="420" w:lineRule="exact"/>
              <w:ind w:firstLine="420"/>
              <w:jc w:val="center"/>
              <w:rPr>
                <w:rFonts w:cs="宋体" w:asciiTheme="minorEastAsia" w:hAnsiTheme="minorEastAsia" w:eastAsiaTheme="minorEastAsia"/>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4A9FD61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8E4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23</w:t>
            </w:r>
          </w:p>
        </w:tc>
      </w:tr>
    </w:tbl>
    <w:p w14:paraId="0DB65E4A">
      <w:pPr>
        <w:spacing w:after="0" w:line="360" w:lineRule="auto"/>
        <w:ind w:firstLine="640" w:firstLineChars="200"/>
        <w:jc w:val="both"/>
        <w:textAlignment w:val="baseline"/>
        <w:rPr>
          <w:rFonts w:ascii="仿宋_GB2312" w:eastAsia="仿宋_GB2312" w:cs="DengXian-Regular"/>
          <w:sz w:val="32"/>
          <w:szCs w:val="32"/>
        </w:rPr>
      </w:pPr>
      <w:bookmarkStart w:id="64" w:name="_Toc464638518"/>
      <w:bookmarkStart w:id="65" w:name="_Toc465149515"/>
      <w:r>
        <w:rPr>
          <w:rFonts w:hint="eastAsia" w:ascii="仿宋_GB2312" w:eastAsia="仿宋_GB2312" w:cs="DengXian-Regular"/>
          <w:sz w:val="32"/>
          <w:szCs w:val="32"/>
        </w:rPr>
        <w:t>1.结转结余率（5分）</w:t>
      </w:r>
    </w:p>
    <w:p w14:paraId="2F5B56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5EADD2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0EDF3A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根据保定市徐水区市场监督管理局2019年决算文本及相关资料，保定市徐水区市场监督管理局2019年结转结余资金</w:t>
      </w:r>
      <w:r>
        <w:rPr>
          <w:rFonts w:ascii="仿宋_GB2312" w:eastAsia="仿宋_GB2312" w:cs="DengXian-Regular"/>
          <w:sz w:val="32"/>
          <w:szCs w:val="32"/>
        </w:rPr>
        <w:t>3.27</w:t>
      </w:r>
      <w:r>
        <w:rPr>
          <w:rFonts w:hint="eastAsia" w:ascii="仿宋_GB2312" w:eastAsia="仿宋_GB2312" w:cs="DengXian-Regular"/>
          <w:sz w:val="32"/>
          <w:szCs w:val="32"/>
        </w:rPr>
        <w:t>万元，决算收入</w:t>
      </w:r>
      <w:r>
        <w:rPr>
          <w:rFonts w:ascii="仿宋_GB2312" w:eastAsia="仿宋_GB2312" w:cs="DengXian-Regular"/>
          <w:sz w:val="32"/>
          <w:szCs w:val="32"/>
        </w:rPr>
        <w:t>4161.8</w:t>
      </w:r>
      <w:r>
        <w:rPr>
          <w:rFonts w:hint="eastAsia" w:ascii="仿宋_GB2312" w:eastAsia="仿宋_GB2312" w:cs="DengXian-Regular"/>
          <w:sz w:val="32"/>
          <w:szCs w:val="32"/>
        </w:rPr>
        <w:t>万元，结转结余率</w:t>
      </w:r>
      <w:r>
        <w:rPr>
          <w:rFonts w:ascii="仿宋_GB2312" w:eastAsia="仿宋_GB2312" w:cs="DengXian-Regular"/>
          <w:sz w:val="32"/>
          <w:szCs w:val="32"/>
        </w:rPr>
        <w:t>0.08</w:t>
      </w:r>
      <w:r>
        <w:rPr>
          <w:rFonts w:hint="eastAsia" w:ascii="仿宋_GB2312" w:eastAsia="仿宋_GB2312" w:cs="DengXian-Regular"/>
          <w:sz w:val="32"/>
          <w:szCs w:val="32"/>
        </w:rPr>
        <w:t>%，小于5%。</w:t>
      </w:r>
    </w:p>
    <w:p w14:paraId="05CED1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52F30E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36893A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527861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63273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保定市徐水区市场监督管理局2019年实际支出项目资金总额</w:t>
      </w:r>
      <w:r>
        <w:rPr>
          <w:rFonts w:ascii="仿宋_GB2312" w:eastAsia="仿宋_GB2312" w:cs="DengXian-Regular"/>
          <w:sz w:val="32"/>
          <w:szCs w:val="32"/>
        </w:rPr>
        <w:t>3824.73</w:t>
      </w:r>
      <w:r>
        <w:rPr>
          <w:rFonts w:hint="eastAsia" w:ascii="仿宋_GB2312" w:eastAsia="仿宋_GB2312" w:cs="DengXian-Regular"/>
          <w:sz w:val="32"/>
          <w:szCs w:val="32"/>
        </w:rPr>
        <w:t>万元，年初预算共</w:t>
      </w:r>
      <w:r>
        <w:rPr>
          <w:rFonts w:ascii="仿宋_GB2312" w:eastAsia="仿宋_GB2312" w:cs="DengXian-Regular"/>
          <w:sz w:val="32"/>
          <w:szCs w:val="32"/>
        </w:rPr>
        <w:t>24</w:t>
      </w:r>
      <w:r>
        <w:rPr>
          <w:rFonts w:hint="eastAsia" w:ascii="仿宋_GB2312" w:eastAsia="仿宋_GB2312" w:cs="DengXian-Regular"/>
          <w:sz w:val="32"/>
          <w:szCs w:val="32"/>
        </w:rPr>
        <w:t>个项目，预算数</w:t>
      </w:r>
      <w:r>
        <w:rPr>
          <w:rFonts w:ascii="仿宋_GB2312" w:eastAsia="仿宋_GB2312" w:cs="DengXian-Regular"/>
          <w:sz w:val="32"/>
          <w:szCs w:val="32"/>
        </w:rPr>
        <w:t>4568.6</w:t>
      </w:r>
      <w:r>
        <w:rPr>
          <w:rFonts w:hint="eastAsia" w:ascii="仿宋_GB2312" w:eastAsia="仿宋_GB2312" w:cs="DengXian-Regular"/>
          <w:sz w:val="32"/>
          <w:szCs w:val="32"/>
        </w:rPr>
        <w:t>万元，扣除</w:t>
      </w:r>
      <w:r>
        <w:rPr>
          <w:rFonts w:ascii="仿宋_GB2312" w:eastAsia="仿宋_GB2312" w:cs="DengXian-Regular"/>
          <w:sz w:val="32"/>
          <w:szCs w:val="32"/>
        </w:rPr>
        <w:t>划转到乡镇的</w:t>
      </w:r>
      <w:r>
        <w:rPr>
          <w:rFonts w:hint="eastAsia" w:ascii="仿宋_GB2312" w:eastAsia="仿宋_GB2312" w:cs="DengXian-Regular"/>
          <w:sz w:val="32"/>
          <w:szCs w:val="32"/>
        </w:rPr>
        <w:t>715.88万元</w:t>
      </w:r>
      <w:r>
        <w:rPr>
          <w:rFonts w:ascii="仿宋_GB2312" w:eastAsia="仿宋_GB2312" w:cs="DengXian-Regular"/>
          <w:sz w:val="32"/>
          <w:szCs w:val="32"/>
        </w:rPr>
        <w:t>，预算数应为3852.72</w:t>
      </w:r>
      <w:r>
        <w:rPr>
          <w:rFonts w:hint="eastAsia" w:ascii="仿宋_GB2312" w:eastAsia="仿宋_GB2312" w:cs="DengXian-Regular"/>
          <w:sz w:val="32"/>
          <w:szCs w:val="32"/>
        </w:rPr>
        <w:t>万元，本年预算</w:t>
      </w:r>
      <w:r>
        <w:rPr>
          <w:rFonts w:ascii="仿宋_GB2312" w:eastAsia="仿宋_GB2312" w:cs="DengXian-Regular"/>
          <w:sz w:val="32"/>
          <w:szCs w:val="32"/>
        </w:rPr>
        <w:t>收入调</w:t>
      </w:r>
      <w:r>
        <w:rPr>
          <w:rFonts w:hint="eastAsia" w:ascii="仿宋_GB2312" w:eastAsia="仿宋_GB2312" w:cs="DengXian-Regular"/>
          <w:sz w:val="32"/>
          <w:szCs w:val="32"/>
        </w:rPr>
        <w:t>增</w:t>
      </w:r>
      <w:r>
        <w:rPr>
          <w:rFonts w:ascii="仿宋_GB2312" w:eastAsia="仿宋_GB2312" w:cs="DengXian-Regular"/>
          <w:sz w:val="32"/>
          <w:szCs w:val="32"/>
        </w:rPr>
        <w:t>数为29.23</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项目资金使用率为3824.73/（3852.72+29.23）*100</w:t>
      </w:r>
      <w:r>
        <w:rPr>
          <w:rFonts w:ascii="仿宋_GB2312" w:eastAsia="仿宋_GB2312" w:cs="DengXian-Regular"/>
          <w:sz w:val="32"/>
          <w:szCs w:val="32"/>
        </w:rPr>
        <w:t>%=98.53</w:t>
      </w:r>
      <w:r>
        <w:rPr>
          <w:rFonts w:hint="eastAsia" w:ascii="仿宋_GB2312" w:eastAsia="仿宋_GB2312" w:cs="DengXian-Regular"/>
          <w:sz w:val="32"/>
          <w:szCs w:val="32"/>
        </w:rPr>
        <w:t>%。</w:t>
      </w:r>
    </w:p>
    <w:p w14:paraId="6DE442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73339E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3.发放</w:t>
      </w:r>
      <w:r>
        <w:rPr>
          <w:rFonts w:hint="eastAsia" w:ascii="仿宋_GB2312" w:eastAsia="仿宋_GB2312" w:cs="DengXian-Regular"/>
          <w:sz w:val="32"/>
          <w:szCs w:val="32"/>
          <w:lang w:eastAsia="zh-CN"/>
        </w:rPr>
        <w:t>中华人民共和国成立前</w:t>
      </w:r>
      <w:r>
        <w:rPr>
          <w:rFonts w:ascii="仿宋_GB2312" w:eastAsia="仿宋_GB2312" w:cs="DengXian-Regular"/>
          <w:sz w:val="32"/>
          <w:szCs w:val="32"/>
        </w:rPr>
        <w:t>老党员生活补贴</w:t>
      </w:r>
      <w:r>
        <w:rPr>
          <w:rFonts w:hint="eastAsia" w:ascii="仿宋_GB2312" w:eastAsia="仿宋_GB2312" w:cs="DengXian-Regular"/>
          <w:sz w:val="32"/>
          <w:szCs w:val="32"/>
        </w:rPr>
        <w:t>人数（</w:t>
      </w:r>
      <w:r>
        <w:rPr>
          <w:rFonts w:ascii="仿宋_GB2312" w:eastAsia="仿宋_GB2312" w:cs="DengXian-Regular"/>
          <w:sz w:val="32"/>
          <w:szCs w:val="32"/>
        </w:rPr>
        <w:t>5</w:t>
      </w:r>
      <w:r>
        <w:rPr>
          <w:rFonts w:hint="eastAsia" w:ascii="仿宋_GB2312" w:eastAsia="仿宋_GB2312" w:cs="DengXian-Regular"/>
          <w:sz w:val="32"/>
          <w:szCs w:val="32"/>
        </w:rPr>
        <w:t>分）</w:t>
      </w:r>
    </w:p>
    <w:p w14:paraId="075DA7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该指标主要评价部门党员和</w:t>
      </w:r>
      <w:r>
        <w:rPr>
          <w:rFonts w:ascii="仿宋_GB2312" w:eastAsia="仿宋_GB2312" w:cs="DengXian-Regular"/>
          <w:sz w:val="32"/>
          <w:szCs w:val="32"/>
        </w:rPr>
        <w:t>党组织建设</w:t>
      </w:r>
      <w:r>
        <w:rPr>
          <w:rFonts w:hint="eastAsia" w:ascii="仿宋_GB2312" w:eastAsia="仿宋_GB2312" w:cs="DengXian-Regular"/>
          <w:sz w:val="32"/>
          <w:szCs w:val="32"/>
        </w:rPr>
        <w:t>职责活动产出情况，通过</w:t>
      </w:r>
      <w:r>
        <w:rPr>
          <w:rFonts w:hint="eastAsia" w:ascii="仿宋_GB2312" w:eastAsia="仿宋_GB2312" w:cs="DengXian-Regular"/>
          <w:sz w:val="32"/>
          <w:szCs w:val="32"/>
          <w:lang w:eastAsia="zh-CN"/>
        </w:rPr>
        <w:t>中华人民共和国成立前</w:t>
      </w:r>
      <w:r>
        <w:rPr>
          <w:rFonts w:hint="eastAsia" w:ascii="仿宋_GB2312" w:eastAsia="仿宋_GB2312" w:cs="DengXian-Regular"/>
          <w:sz w:val="32"/>
          <w:szCs w:val="32"/>
        </w:rPr>
        <w:t>老党员享受</w:t>
      </w:r>
      <w:r>
        <w:rPr>
          <w:rFonts w:ascii="仿宋_GB2312" w:eastAsia="仿宋_GB2312" w:cs="DengXian-Regular"/>
          <w:sz w:val="32"/>
          <w:szCs w:val="32"/>
        </w:rPr>
        <w:t>补贴的人数</w:t>
      </w:r>
      <w:r>
        <w:rPr>
          <w:rFonts w:hint="eastAsia" w:ascii="仿宋_GB2312" w:eastAsia="仿宋_GB2312" w:cs="DengXian-Regular"/>
          <w:sz w:val="32"/>
          <w:szCs w:val="32"/>
        </w:rPr>
        <w:t>衡量。</w:t>
      </w:r>
    </w:p>
    <w:p w14:paraId="5CAA39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徐水区市场监督管理局2019年</w:t>
      </w:r>
      <w:r>
        <w:rPr>
          <w:rFonts w:hint="eastAsia" w:ascii="仿宋_GB2312" w:eastAsia="仿宋_GB2312" w:cs="DengXian-Regular"/>
          <w:sz w:val="32"/>
          <w:szCs w:val="32"/>
          <w:lang w:eastAsia="zh-CN"/>
        </w:rPr>
        <w:t>中华人民共和国成立前</w:t>
      </w:r>
      <w:r>
        <w:rPr>
          <w:rFonts w:ascii="仿宋_GB2312" w:eastAsia="仿宋_GB2312" w:cs="DengXian-Regular"/>
          <w:sz w:val="32"/>
          <w:szCs w:val="32"/>
        </w:rPr>
        <w:t>老党员</w:t>
      </w:r>
      <w:r>
        <w:rPr>
          <w:rFonts w:hint="eastAsia" w:ascii="仿宋_GB2312" w:eastAsia="仿宋_GB2312" w:cs="DengXian-Regular"/>
          <w:sz w:val="32"/>
          <w:szCs w:val="32"/>
        </w:rPr>
        <w:t>补贴</w:t>
      </w:r>
      <w:r>
        <w:rPr>
          <w:rFonts w:ascii="仿宋_GB2312" w:eastAsia="仿宋_GB2312" w:cs="DengXian-Regular"/>
          <w:sz w:val="32"/>
          <w:szCs w:val="32"/>
        </w:rPr>
        <w:t>人数</w:t>
      </w:r>
      <w:r>
        <w:rPr>
          <w:rFonts w:hint="eastAsia" w:ascii="仿宋_GB2312" w:eastAsia="仿宋_GB2312" w:cs="DengXian-Regular"/>
          <w:sz w:val="32"/>
          <w:szCs w:val="32"/>
        </w:rPr>
        <w:t>上半年为98人，下半年90人</w:t>
      </w:r>
      <w:r>
        <w:rPr>
          <w:rFonts w:ascii="仿宋_GB2312" w:eastAsia="仿宋_GB2312" w:cs="DengXian-Regular"/>
          <w:sz w:val="32"/>
          <w:szCs w:val="32"/>
        </w:rPr>
        <w:t>，</w:t>
      </w:r>
      <w:r>
        <w:rPr>
          <w:rFonts w:hint="eastAsia" w:ascii="仿宋_GB2312" w:eastAsia="仿宋_GB2312" w:cs="DengXian-Regular"/>
          <w:sz w:val="32"/>
          <w:szCs w:val="32"/>
        </w:rPr>
        <w:t>大于</w:t>
      </w:r>
      <w:r>
        <w:rPr>
          <w:rFonts w:ascii="仿宋_GB2312" w:eastAsia="仿宋_GB2312" w:cs="DengXian-Regular"/>
          <w:sz w:val="32"/>
          <w:szCs w:val="32"/>
        </w:rPr>
        <w:t>90</w:t>
      </w:r>
      <w:r>
        <w:rPr>
          <w:rFonts w:hint="eastAsia" w:ascii="仿宋_GB2312" w:eastAsia="仿宋_GB2312" w:cs="DengXian-Regular"/>
          <w:sz w:val="32"/>
          <w:szCs w:val="32"/>
        </w:rPr>
        <w:t>人</w:t>
      </w:r>
      <w:r>
        <w:rPr>
          <w:rFonts w:ascii="仿宋_GB2312" w:eastAsia="仿宋_GB2312" w:cs="DengXian-Regular"/>
          <w:sz w:val="32"/>
          <w:szCs w:val="32"/>
        </w:rPr>
        <w:t>评价等级为</w:t>
      </w:r>
      <w:r>
        <w:rPr>
          <w:rFonts w:hint="eastAsia" w:ascii="仿宋_GB2312" w:eastAsia="仿宋_GB2312" w:cs="DengXian-Regular"/>
          <w:sz w:val="32"/>
          <w:szCs w:val="32"/>
        </w:rPr>
        <w:t>“优”。</w:t>
      </w:r>
    </w:p>
    <w:p w14:paraId="3CC9A9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49369C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4.农村干部</w:t>
      </w:r>
      <w:r>
        <w:rPr>
          <w:rFonts w:ascii="仿宋_GB2312" w:eastAsia="仿宋_GB2312" w:cs="DengXian-Regular"/>
          <w:sz w:val="32"/>
          <w:szCs w:val="32"/>
        </w:rPr>
        <w:t>养老保险参保</w:t>
      </w:r>
      <w:r>
        <w:rPr>
          <w:rFonts w:hint="eastAsia" w:ascii="仿宋_GB2312" w:eastAsia="仿宋_GB2312" w:cs="DengXian-Regular"/>
          <w:sz w:val="32"/>
          <w:szCs w:val="32"/>
        </w:rPr>
        <w:t>率(5分）</w:t>
      </w:r>
    </w:p>
    <w:p w14:paraId="480CFA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该指标主要评价干部管理职责活动的产出结果，通过缴纳农村</w:t>
      </w:r>
      <w:r>
        <w:rPr>
          <w:rFonts w:ascii="仿宋_GB2312" w:eastAsia="仿宋_GB2312" w:cs="DengXian-Regular"/>
          <w:sz w:val="32"/>
          <w:szCs w:val="32"/>
        </w:rPr>
        <w:t>干部养老保险</w:t>
      </w:r>
      <w:r>
        <w:rPr>
          <w:rFonts w:hint="eastAsia" w:ascii="仿宋_GB2312" w:eastAsia="仿宋_GB2312" w:cs="DengXian-Regular"/>
          <w:sz w:val="32"/>
          <w:szCs w:val="32"/>
        </w:rPr>
        <w:t>衡量。</w:t>
      </w:r>
    </w:p>
    <w:p w14:paraId="25FB71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养老保险</w:t>
      </w:r>
      <w:r>
        <w:rPr>
          <w:rFonts w:ascii="仿宋_GB2312" w:eastAsia="仿宋_GB2312" w:cs="DengXian-Regular"/>
          <w:sz w:val="32"/>
          <w:szCs w:val="32"/>
        </w:rPr>
        <w:t>参保率=参保人数</w:t>
      </w:r>
      <w:r>
        <w:rPr>
          <w:rFonts w:hint="eastAsia" w:ascii="仿宋_GB2312" w:eastAsia="仿宋_GB2312" w:cs="DengXian-Regular"/>
          <w:sz w:val="32"/>
          <w:szCs w:val="32"/>
        </w:rPr>
        <w:t>/符合</w:t>
      </w:r>
      <w:r>
        <w:rPr>
          <w:rFonts w:ascii="仿宋_GB2312" w:eastAsia="仿宋_GB2312" w:cs="DengXian-Regular"/>
          <w:sz w:val="32"/>
          <w:szCs w:val="32"/>
        </w:rPr>
        <w:t>参保条件人数</w:t>
      </w:r>
      <w:r>
        <w:rPr>
          <w:rFonts w:hint="eastAsia" w:ascii="仿宋_GB2312" w:eastAsia="仿宋_GB2312" w:cs="DengXian-Regular"/>
          <w:sz w:val="32"/>
          <w:szCs w:val="32"/>
        </w:rPr>
        <w:t>*100</w:t>
      </w:r>
      <w:r>
        <w:rPr>
          <w:rFonts w:ascii="仿宋_GB2312" w:eastAsia="仿宋_GB2312" w:cs="DengXian-Regular"/>
          <w:sz w:val="32"/>
          <w:szCs w:val="32"/>
        </w:rPr>
        <w:t>%</w:t>
      </w:r>
    </w:p>
    <w:p w14:paraId="2509DB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区为组织部201</w:t>
      </w:r>
      <w:r>
        <w:rPr>
          <w:rFonts w:ascii="仿宋_GB2312" w:eastAsia="仿宋_GB2312" w:cs="DengXian-Regular"/>
          <w:sz w:val="32"/>
          <w:szCs w:val="32"/>
        </w:rPr>
        <w:t>9</w:t>
      </w:r>
      <w:r>
        <w:rPr>
          <w:rFonts w:hint="eastAsia" w:ascii="仿宋_GB2312" w:eastAsia="仿宋_GB2312" w:cs="DengXian-Regular"/>
          <w:sz w:val="32"/>
          <w:szCs w:val="32"/>
        </w:rPr>
        <w:t>年度</w:t>
      </w:r>
      <w:r>
        <w:rPr>
          <w:rFonts w:ascii="仿宋_GB2312" w:eastAsia="仿宋_GB2312" w:cs="DengXian-Regular"/>
          <w:sz w:val="32"/>
          <w:szCs w:val="32"/>
        </w:rPr>
        <w:t>农村干部养老保险</w:t>
      </w:r>
      <w:r>
        <w:rPr>
          <w:rFonts w:hint="eastAsia" w:ascii="仿宋_GB2312" w:eastAsia="仿宋_GB2312" w:cs="DengXian-Regular"/>
          <w:sz w:val="32"/>
          <w:szCs w:val="32"/>
        </w:rPr>
        <w:t>参保</w:t>
      </w:r>
      <w:r>
        <w:rPr>
          <w:rFonts w:ascii="仿宋_GB2312" w:eastAsia="仿宋_GB2312" w:cs="DengXian-Regular"/>
          <w:sz w:val="32"/>
          <w:szCs w:val="32"/>
        </w:rPr>
        <w:t>仍人数为</w:t>
      </w:r>
      <w:r>
        <w:rPr>
          <w:rFonts w:hint="eastAsia" w:ascii="仿宋_GB2312" w:eastAsia="仿宋_GB2312" w:cs="DengXian-Regular"/>
          <w:sz w:val="32"/>
          <w:szCs w:val="32"/>
        </w:rPr>
        <w:t>403人</w:t>
      </w:r>
      <w:r>
        <w:rPr>
          <w:rFonts w:ascii="仿宋_GB2312" w:eastAsia="仿宋_GB2312" w:cs="DengXian-Regular"/>
          <w:sz w:val="32"/>
          <w:szCs w:val="32"/>
        </w:rPr>
        <w:t>，符合条件人数为</w:t>
      </w:r>
      <w:r>
        <w:rPr>
          <w:rFonts w:hint="eastAsia" w:ascii="仿宋_GB2312" w:eastAsia="仿宋_GB2312" w:cs="DengXian-Regular"/>
          <w:sz w:val="32"/>
          <w:szCs w:val="32"/>
        </w:rPr>
        <w:t>416人</w:t>
      </w:r>
      <w:r>
        <w:rPr>
          <w:rFonts w:ascii="仿宋_GB2312" w:eastAsia="仿宋_GB2312" w:cs="DengXian-Regular"/>
          <w:sz w:val="32"/>
          <w:szCs w:val="32"/>
        </w:rPr>
        <w:t>，参保率为</w:t>
      </w:r>
      <w:r>
        <w:rPr>
          <w:rFonts w:hint="eastAsia" w:ascii="仿宋_GB2312" w:eastAsia="仿宋_GB2312" w:cs="DengXian-Regular"/>
          <w:sz w:val="32"/>
          <w:szCs w:val="32"/>
        </w:rPr>
        <w:t>96.88</w:t>
      </w:r>
      <w:r>
        <w:rPr>
          <w:rFonts w:ascii="仿宋_GB2312" w:eastAsia="仿宋_GB2312" w:cs="DengXian-Regular"/>
          <w:sz w:val="32"/>
          <w:szCs w:val="32"/>
        </w:rPr>
        <w:t>%，大于</w:t>
      </w:r>
      <w:r>
        <w:rPr>
          <w:rFonts w:hint="eastAsia" w:ascii="仿宋_GB2312" w:eastAsia="仿宋_GB2312" w:cs="DengXian-Regular"/>
          <w:sz w:val="32"/>
          <w:szCs w:val="32"/>
        </w:rPr>
        <w:t>95</w:t>
      </w:r>
      <w:r>
        <w:rPr>
          <w:rFonts w:ascii="仿宋_GB2312" w:eastAsia="仿宋_GB2312" w:cs="DengXian-Regular"/>
          <w:sz w:val="32"/>
          <w:szCs w:val="32"/>
        </w:rPr>
        <w:t>%</w:t>
      </w:r>
      <w:r>
        <w:rPr>
          <w:rFonts w:hint="eastAsia" w:ascii="仿宋_GB2312" w:eastAsia="仿宋_GB2312" w:cs="DengXian-Regular"/>
          <w:sz w:val="32"/>
          <w:szCs w:val="32"/>
        </w:rPr>
        <w:t>，评价等级为“优”。</w:t>
      </w:r>
    </w:p>
    <w:p w14:paraId="210C7B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2E6014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5.党员干部教育培训次数（</w:t>
      </w:r>
      <w:r>
        <w:rPr>
          <w:rFonts w:ascii="仿宋_GB2312" w:eastAsia="仿宋_GB2312" w:cs="DengXian-Regular"/>
          <w:sz w:val="32"/>
          <w:szCs w:val="32"/>
        </w:rPr>
        <w:t>5</w:t>
      </w:r>
      <w:r>
        <w:rPr>
          <w:rFonts w:hint="eastAsia" w:ascii="仿宋_GB2312" w:eastAsia="仿宋_GB2312" w:cs="DengXian-Regular"/>
          <w:sz w:val="32"/>
          <w:szCs w:val="32"/>
        </w:rPr>
        <w:t>分）</w:t>
      </w:r>
    </w:p>
    <w:p w14:paraId="201369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该指标主要评价干部教育</w:t>
      </w:r>
      <w:r>
        <w:rPr>
          <w:rFonts w:ascii="仿宋_GB2312" w:eastAsia="仿宋_GB2312" w:cs="DengXian-Regular"/>
          <w:sz w:val="32"/>
          <w:szCs w:val="32"/>
        </w:rPr>
        <w:t>培训</w:t>
      </w:r>
      <w:r>
        <w:rPr>
          <w:rFonts w:hint="eastAsia" w:ascii="仿宋_GB2312" w:eastAsia="仿宋_GB2312" w:cs="DengXian-Regular"/>
          <w:sz w:val="32"/>
          <w:szCs w:val="32"/>
        </w:rPr>
        <w:t>职责活动产出结果，通过对党员干部教育培训</w:t>
      </w:r>
      <w:r>
        <w:rPr>
          <w:rFonts w:ascii="仿宋_GB2312" w:eastAsia="仿宋_GB2312" w:cs="DengXian-Regular"/>
          <w:sz w:val="32"/>
          <w:szCs w:val="32"/>
        </w:rPr>
        <w:t>次数来</w:t>
      </w:r>
      <w:r>
        <w:rPr>
          <w:rFonts w:hint="eastAsia" w:ascii="仿宋_GB2312" w:eastAsia="仿宋_GB2312" w:cs="DengXian-Regular"/>
          <w:sz w:val="32"/>
          <w:szCs w:val="32"/>
        </w:rPr>
        <w:t>衡量。</w:t>
      </w:r>
    </w:p>
    <w:p w14:paraId="78A525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区为组织部2019年组织培训5次，大于等于</w:t>
      </w:r>
      <w:r>
        <w:rPr>
          <w:rFonts w:ascii="仿宋_GB2312" w:eastAsia="仿宋_GB2312" w:cs="DengXian-Regular"/>
          <w:sz w:val="32"/>
          <w:szCs w:val="32"/>
        </w:rPr>
        <w:t>5</w:t>
      </w:r>
      <w:r>
        <w:rPr>
          <w:rFonts w:hint="eastAsia" w:ascii="仿宋_GB2312" w:eastAsia="仿宋_GB2312" w:cs="DengXian-Regular"/>
          <w:sz w:val="32"/>
          <w:szCs w:val="32"/>
        </w:rPr>
        <w:t>次，评价等级为“优”,3次</w:t>
      </w:r>
      <w:r>
        <w:rPr>
          <w:rFonts w:ascii="仿宋_GB2312" w:eastAsia="仿宋_GB2312" w:cs="DengXian-Regular"/>
          <w:sz w:val="32"/>
          <w:szCs w:val="32"/>
        </w:rPr>
        <w:t>为</w:t>
      </w:r>
      <w:r>
        <w:rPr>
          <w:rFonts w:hint="eastAsia" w:ascii="仿宋_GB2312" w:eastAsia="仿宋_GB2312" w:cs="DengXian-Regular"/>
          <w:sz w:val="32"/>
          <w:szCs w:val="32"/>
        </w:rPr>
        <w:t>“良”。</w:t>
      </w:r>
    </w:p>
    <w:p w14:paraId="6FEA28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0A2ECB9C">
      <w:pPr>
        <w:spacing w:after="0" w:line="360" w:lineRule="auto"/>
        <w:ind w:firstLine="640" w:firstLineChars="200"/>
        <w:jc w:val="both"/>
        <w:textAlignment w:val="baseline"/>
        <w:rPr>
          <w:rFonts w:ascii="仿宋_GB2312" w:eastAsia="仿宋_GB2312" w:cs="DengXian-Regular"/>
          <w:sz w:val="32"/>
          <w:szCs w:val="32"/>
        </w:rPr>
      </w:pPr>
    </w:p>
    <w:p w14:paraId="0FCE1819">
      <w:pPr>
        <w:pStyle w:val="4"/>
        <w:spacing w:before="0" w:after="0"/>
        <w:ind w:firstLine="643" w:firstLineChars="200"/>
        <w:jc w:val="both"/>
        <w:rPr>
          <w:rFonts w:ascii="楷体" w:hAnsi="楷体" w:eastAsia="楷体"/>
          <w:sz w:val="32"/>
        </w:rPr>
      </w:pPr>
      <w:bookmarkStart w:id="66" w:name="_Toc58195244"/>
      <w:r>
        <w:rPr>
          <w:rFonts w:hint="eastAsia" w:ascii="楷体" w:hAnsi="楷体" w:eastAsia="楷体"/>
          <w:sz w:val="32"/>
        </w:rPr>
        <w:t>（四）效果</w:t>
      </w:r>
      <w:bookmarkEnd w:id="64"/>
      <w:bookmarkEnd w:id="65"/>
      <w:r>
        <w:rPr>
          <w:rFonts w:hint="eastAsia" w:ascii="楷体" w:hAnsi="楷体" w:eastAsia="楷体"/>
          <w:sz w:val="32"/>
        </w:rPr>
        <w:t>（15分）</w:t>
      </w:r>
      <w:bookmarkEnd w:id="66"/>
    </w:p>
    <w:p w14:paraId="2D205F34">
      <w:pPr>
        <w:spacing w:after="0" w:line="360" w:lineRule="auto"/>
        <w:ind w:firstLine="640" w:firstLineChars="20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079D99B">
      <w:pPr>
        <w:spacing w:after="0" w:line="360" w:lineRule="auto"/>
        <w:ind w:firstLine="643"/>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6998" w:type="dxa"/>
        <w:jc w:val="center"/>
        <w:tblLayout w:type="fixed"/>
        <w:tblCellMar>
          <w:top w:w="15" w:type="dxa"/>
          <w:left w:w="15" w:type="dxa"/>
          <w:bottom w:w="15" w:type="dxa"/>
          <w:right w:w="15" w:type="dxa"/>
        </w:tblCellMar>
      </w:tblPr>
      <w:tblGrid>
        <w:gridCol w:w="1468"/>
        <w:gridCol w:w="1419"/>
        <w:gridCol w:w="1866"/>
        <w:gridCol w:w="1200"/>
        <w:gridCol w:w="1045"/>
      </w:tblGrid>
      <w:tr w14:paraId="49B9B6B3">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17A23FFD">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419" w:type="dxa"/>
            <w:tcBorders>
              <w:top w:val="single" w:color="000000" w:sz="4" w:space="0"/>
              <w:left w:val="single" w:color="000000" w:sz="4" w:space="0"/>
              <w:bottom w:val="single" w:color="000000" w:sz="4" w:space="0"/>
              <w:right w:val="single" w:color="000000" w:sz="4" w:space="0"/>
            </w:tcBorders>
            <w:vAlign w:val="center"/>
          </w:tcPr>
          <w:p w14:paraId="7CE285AD">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1866" w:type="dxa"/>
            <w:tcBorders>
              <w:top w:val="single" w:color="000000" w:sz="4" w:space="0"/>
              <w:left w:val="single" w:color="000000" w:sz="4" w:space="0"/>
              <w:bottom w:val="single" w:color="000000" w:sz="4" w:space="0"/>
              <w:right w:val="single" w:color="000000" w:sz="4" w:space="0"/>
            </w:tcBorders>
            <w:vAlign w:val="center"/>
          </w:tcPr>
          <w:p w14:paraId="23A8A145">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18F8176">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B0D63E2">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1B07FFA1">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74567248">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797B30E">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419" w:type="dxa"/>
            <w:vMerge w:val="restart"/>
            <w:tcBorders>
              <w:top w:val="single" w:color="000000" w:sz="4" w:space="0"/>
              <w:left w:val="single" w:color="000000" w:sz="4" w:space="0"/>
              <w:bottom w:val="single" w:color="000000" w:sz="4" w:space="0"/>
              <w:right w:val="single" w:color="000000" w:sz="4" w:space="0"/>
            </w:tcBorders>
            <w:vAlign w:val="center"/>
          </w:tcPr>
          <w:p w14:paraId="47DACB36">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768995D9">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866" w:type="dxa"/>
            <w:tcBorders>
              <w:top w:val="single" w:color="000000" w:sz="4" w:space="0"/>
              <w:left w:val="single" w:color="000000" w:sz="4" w:space="0"/>
              <w:bottom w:val="single" w:color="000000" w:sz="4" w:space="0"/>
              <w:right w:val="single" w:color="000000" w:sz="4" w:space="0"/>
            </w:tcBorders>
            <w:vAlign w:val="center"/>
          </w:tcPr>
          <w:p w14:paraId="63977B80">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C8C2CB6">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69BDD87E">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7BC457FB">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4503A08">
            <w:pPr>
              <w:spacing w:line="420" w:lineRule="exact"/>
              <w:ind w:firstLine="420"/>
              <w:rPr>
                <w:rFonts w:cs="宋体" w:asciiTheme="minorEastAsia" w:hAnsiTheme="minorEastAsia" w:eastAsiaTheme="minorEastAsia"/>
                <w:sz w:val="21"/>
                <w:szCs w:val="21"/>
              </w:rPr>
            </w:pPr>
          </w:p>
        </w:tc>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798B9C21">
            <w:pPr>
              <w:spacing w:line="420" w:lineRule="exact"/>
              <w:ind w:firstLine="420"/>
              <w:rPr>
                <w:rFonts w:cs="宋体" w:asciiTheme="minorEastAsia" w:hAnsiTheme="minorEastAsia" w:eastAsiaTheme="minorEastAsia"/>
                <w:sz w:val="21"/>
                <w:szCs w:val="21"/>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0EDCA90E">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6AE4782">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72957A02">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3576579">
        <w:tblPrEx>
          <w:tblCellMar>
            <w:top w:w="15" w:type="dxa"/>
            <w:left w:w="15" w:type="dxa"/>
            <w:bottom w:w="15" w:type="dxa"/>
            <w:right w:w="15" w:type="dxa"/>
          </w:tblCellMar>
        </w:tblPrEx>
        <w:trPr>
          <w:trHeight w:val="397" w:hRule="exact"/>
          <w:jc w:val="center"/>
        </w:trPr>
        <w:tc>
          <w:tcPr>
            <w:tcW w:w="2887" w:type="dxa"/>
            <w:gridSpan w:val="2"/>
            <w:tcBorders>
              <w:top w:val="single" w:color="000000" w:sz="4" w:space="0"/>
              <w:left w:val="single" w:color="000000" w:sz="4" w:space="0"/>
              <w:bottom w:val="single" w:color="000000" w:sz="4" w:space="0"/>
              <w:right w:val="single" w:color="000000" w:sz="4" w:space="0"/>
            </w:tcBorders>
            <w:vAlign w:val="center"/>
          </w:tcPr>
          <w:p w14:paraId="165AA2E6">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866" w:type="dxa"/>
            <w:tcBorders>
              <w:top w:val="single" w:color="000000" w:sz="4" w:space="0"/>
              <w:left w:val="single" w:color="000000" w:sz="4" w:space="0"/>
              <w:bottom w:val="single" w:color="000000" w:sz="4" w:space="0"/>
              <w:right w:val="single" w:color="000000" w:sz="4" w:space="0"/>
            </w:tcBorders>
            <w:vAlign w:val="center"/>
          </w:tcPr>
          <w:p w14:paraId="4DA5EA38">
            <w:pPr>
              <w:spacing w:line="420" w:lineRule="exact"/>
              <w:ind w:firstLine="420"/>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7E6988F9">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9639557">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67"/>
    </w:tbl>
    <w:p w14:paraId="203052FC">
      <w:pPr>
        <w:spacing w:after="0" w:line="360" w:lineRule="auto"/>
        <w:ind w:firstLine="640" w:firstLineChars="200"/>
        <w:jc w:val="both"/>
        <w:textAlignment w:val="baseline"/>
        <w:rPr>
          <w:rFonts w:ascii="仿宋_GB2312" w:eastAsia="仿宋_GB2312" w:cs="DengXian-Regular"/>
          <w:sz w:val="32"/>
          <w:szCs w:val="32"/>
        </w:rPr>
      </w:pPr>
      <w:bookmarkStart w:id="68" w:name="_Toc492652784"/>
      <w:bookmarkStart w:id="69" w:name="_Toc464638561"/>
      <w:bookmarkStart w:id="70" w:name="_Toc465149516"/>
    </w:p>
    <w:p w14:paraId="676CE1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1.部门整体效益（10分）</w:t>
      </w:r>
    </w:p>
    <w:p w14:paraId="52BFB2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756FF0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经查看保定市徐水区市场监督管理局提供的相关资料，保定市徐水区市场监督管理局履行职责对社会发展所带来的社会效益较显著，有效的提高了社会公众的政治意识，减少了社会不安定因素。</w:t>
      </w:r>
    </w:p>
    <w:p w14:paraId="3EAB6A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21F693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10224E6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26460B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F0225E9">
      <w:pPr>
        <w:spacing w:after="0" w:line="360" w:lineRule="auto"/>
        <w:ind w:firstLine="643"/>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55941CAA">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8520" w:type="dxa"/>
        <w:tblInd w:w="0" w:type="dxa"/>
        <w:tblLayout w:type="fixed"/>
        <w:tblCellMar>
          <w:top w:w="15" w:type="dxa"/>
          <w:left w:w="15" w:type="dxa"/>
          <w:bottom w:w="15" w:type="dxa"/>
          <w:right w:w="15" w:type="dxa"/>
        </w:tblCellMar>
      </w:tblPr>
      <w:tblGrid>
        <w:gridCol w:w="3559"/>
        <w:gridCol w:w="992"/>
        <w:gridCol w:w="851"/>
        <w:gridCol w:w="898"/>
        <w:gridCol w:w="803"/>
        <w:gridCol w:w="1417"/>
      </w:tblGrid>
      <w:tr w14:paraId="00BA26E6">
        <w:tblPrEx>
          <w:tblCellMar>
            <w:top w:w="15" w:type="dxa"/>
            <w:left w:w="15" w:type="dxa"/>
            <w:bottom w:w="15" w:type="dxa"/>
            <w:right w:w="15" w:type="dxa"/>
          </w:tblCellMar>
        </w:tblPrEx>
        <w:trPr>
          <w:trHeight w:val="525" w:hRule="atLeast"/>
        </w:trPr>
        <w:tc>
          <w:tcPr>
            <w:tcW w:w="3559" w:type="dxa"/>
            <w:tcBorders>
              <w:top w:val="single" w:color="auto" w:sz="4" w:space="0"/>
              <w:left w:val="single" w:color="auto" w:sz="4" w:space="0"/>
              <w:bottom w:val="single" w:color="auto" w:sz="4" w:space="0"/>
              <w:right w:val="single" w:color="auto" w:sz="4" w:space="0"/>
            </w:tcBorders>
            <w:vAlign w:val="center"/>
          </w:tcPr>
          <w:p w14:paraId="13FDFBAF">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992" w:type="dxa"/>
            <w:tcBorders>
              <w:top w:val="single" w:color="auto" w:sz="4" w:space="0"/>
              <w:left w:val="single" w:color="auto" w:sz="4" w:space="0"/>
              <w:bottom w:val="single" w:color="auto" w:sz="4" w:space="0"/>
              <w:right w:val="single" w:color="auto" w:sz="4" w:space="0"/>
            </w:tcBorders>
            <w:vAlign w:val="center"/>
          </w:tcPr>
          <w:p w14:paraId="69D072E0">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851" w:type="dxa"/>
            <w:tcBorders>
              <w:top w:val="single" w:color="auto" w:sz="4" w:space="0"/>
              <w:left w:val="single" w:color="auto" w:sz="4" w:space="0"/>
              <w:bottom w:val="single" w:color="auto" w:sz="4" w:space="0"/>
              <w:right w:val="single" w:color="auto" w:sz="4" w:space="0"/>
            </w:tcBorders>
            <w:vAlign w:val="center"/>
          </w:tcPr>
          <w:p w14:paraId="77BC7562">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898" w:type="dxa"/>
            <w:tcBorders>
              <w:top w:val="single" w:color="auto" w:sz="4" w:space="0"/>
              <w:left w:val="single" w:color="auto" w:sz="4" w:space="0"/>
              <w:bottom w:val="single" w:color="auto" w:sz="4" w:space="0"/>
              <w:right w:val="single" w:color="auto" w:sz="4" w:space="0"/>
            </w:tcBorders>
            <w:vAlign w:val="center"/>
          </w:tcPr>
          <w:p w14:paraId="643C3BD0">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803" w:type="dxa"/>
            <w:tcBorders>
              <w:top w:val="single" w:color="auto" w:sz="4" w:space="0"/>
              <w:left w:val="single" w:color="auto" w:sz="4" w:space="0"/>
              <w:bottom w:val="single" w:color="auto" w:sz="4" w:space="0"/>
              <w:right w:val="single" w:color="auto" w:sz="4" w:space="0"/>
            </w:tcBorders>
            <w:vAlign w:val="center"/>
          </w:tcPr>
          <w:p w14:paraId="70D5EE1A">
            <w:pPr>
              <w:spacing w:after="0" w:line="540" w:lineRule="exact"/>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1417" w:type="dxa"/>
            <w:tcBorders>
              <w:top w:val="single" w:color="auto" w:sz="4" w:space="0"/>
              <w:left w:val="single" w:color="auto" w:sz="4" w:space="0"/>
              <w:bottom w:val="single" w:color="auto" w:sz="4" w:space="0"/>
              <w:right w:val="single" w:color="auto" w:sz="4" w:space="0"/>
            </w:tcBorders>
            <w:vAlign w:val="center"/>
          </w:tcPr>
          <w:p w14:paraId="79996B51">
            <w:pPr>
              <w:spacing w:after="0" w:line="540" w:lineRule="exact"/>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65891F35">
        <w:tblPrEx>
          <w:tblCellMar>
            <w:top w:w="15" w:type="dxa"/>
            <w:left w:w="15" w:type="dxa"/>
            <w:bottom w:w="15" w:type="dxa"/>
            <w:right w:w="15" w:type="dxa"/>
          </w:tblCellMar>
        </w:tblPrEx>
        <w:trPr>
          <w:trHeight w:val="590"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18796C76">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w:t>
            </w:r>
            <w:r>
              <w:rPr>
                <w:rFonts w:hint="eastAsia" w:cs="Times New Roman" w:asciiTheme="minorEastAsia" w:hAnsiTheme="minorEastAsia" w:eastAsiaTheme="minorEastAsia"/>
                <w:sz w:val="21"/>
                <w:szCs w:val="21"/>
                <w:u w:color="000000"/>
                <w:lang w:eastAsia="zh-CN"/>
              </w:rPr>
              <w:t>区委组织部</w:t>
            </w:r>
            <w:r>
              <w:rPr>
                <w:rFonts w:hint="eastAsia" w:cs="Times New Roman" w:asciiTheme="minorEastAsia" w:hAnsiTheme="minorEastAsia" w:eastAsiaTheme="minorEastAsia"/>
                <w:sz w:val="21"/>
                <w:szCs w:val="21"/>
                <w:u w:color="000000"/>
              </w:rPr>
              <w:t>的</w:t>
            </w:r>
            <w:r>
              <w:rPr>
                <w:rFonts w:cs="Times New Roman" w:asciiTheme="minorEastAsia" w:hAnsiTheme="minorEastAsia" w:eastAsiaTheme="minorEastAsia"/>
                <w:sz w:val="21"/>
                <w:szCs w:val="21"/>
                <w:u w:color="000000"/>
              </w:rPr>
              <w:t>党建工作</w:t>
            </w:r>
            <w:r>
              <w:rPr>
                <w:rFonts w:hint="eastAsia" w:cs="Times New Roman" w:asciiTheme="minorEastAsia" w:hAnsiTheme="minorEastAsia" w:eastAsiaTheme="minorEastAsia"/>
                <w:sz w:val="21"/>
                <w:szCs w:val="21"/>
                <w:u w:color="000000"/>
              </w:rPr>
              <w:t>是否满意</w:t>
            </w:r>
          </w:p>
        </w:tc>
        <w:tc>
          <w:tcPr>
            <w:tcW w:w="992" w:type="dxa"/>
            <w:tcBorders>
              <w:top w:val="single" w:color="000000" w:sz="4" w:space="0"/>
              <w:left w:val="single" w:color="000000" w:sz="4" w:space="0"/>
              <w:bottom w:val="single" w:color="000000" w:sz="4" w:space="0"/>
              <w:right w:val="single" w:color="000000" w:sz="4" w:space="0"/>
            </w:tcBorders>
            <w:vAlign w:val="center"/>
          </w:tcPr>
          <w:p w14:paraId="1E14DD0F">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54604E77">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3AE92B02">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4BB64221">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1B95A116">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226BB2BC">
        <w:tblPrEx>
          <w:tblCellMar>
            <w:top w:w="15" w:type="dxa"/>
            <w:left w:w="15" w:type="dxa"/>
            <w:bottom w:w="15" w:type="dxa"/>
            <w:right w:w="15" w:type="dxa"/>
          </w:tblCellMar>
        </w:tblPrEx>
        <w:trPr>
          <w:trHeight w:val="510"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50D038A8">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w:t>
            </w:r>
            <w:bookmarkStart w:id="77" w:name="_GoBack"/>
            <w:bookmarkEnd w:id="77"/>
            <w:r>
              <w:rPr>
                <w:rFonts w:hint="eastAsia" w:cs="Times New Roman" w:asciiTheme="minorEastAsia" w:hAnsiTheme="minorEastAsia" w:eastAsiaTheme="minorEastAsia"/>
                <w:sz w:val="21"/>
                <w:szCs w:val="21"/>
                <w:u w:color="000000"/>
                <w:lang w:eastAsia="zh-CN"/>
              </w:rPr>
              <w:t>区委组织部</w:t>
            </w:r>
            <w:r>
              <w:rPr>
                <w:rFonts w:hint="eastAsia" w:cs="Times New Roman" w:asciiTheme="minorEastAsia" w:hAnsiTheme="minorEastAsia" w:eastAsiaTheme="minorEastAsia"/>
                <w:sz w:val="21"/>
                <w:szCs w:val="21"/>
                <w:u w:color="000000"/>
              </w:rPr>
              <w:t>回复</w:t>
            </w:r>
            <w:r>
              <w:rPr>
                <w:rFonts w:cs="Times New Roman" w:asciiTheme="minorEastAsia" w:hAnsiTheme="minorEastAsia" w:eastAsiaTheme="minorEastAsia"/>
                <w:sz w:val="21"/>
                <w:szCs w:val="21"/>
                <w:u w:color="000000"/>
              </w:rPr>
              <w:t>的消息</w:t>
            </w:r>
            <w:r>
              <w:rPr>
                <w:rFonts w:hint="eastAsia" w:cs="Times New Roman" w:asciiTheme="minorEastAsia" w:hAnsiTheme="minorEastAsia" w:eastAsiaTheme="minorEastAsia"/>
                <w:sz w:val="21"/>
                <w:szCs w:val="21"/>
                <w:u w:color="000000"/>
              </w:rPr>
              <w:t>是否满意</w:t>
            </w:r>
          </w:p>
        </w:tc>
        <w:tc>
          <w:tcPr>
            <w:tcW w:w="992" w:type="dxa"/>
            <w:tcBorders>
              <w:top w:val="single" w:color="000000" w:sz="4" w:space="0"/>
              <w:left w:val="single" w:color="000000" w:sz="4" w:space="0"/>
              <w:bottom w:val="single" w:color="000000" w:sz="4" w:space="0"/>
              <w:right w:val="single" w:color="000000" w:sz="4" w:space="0"/>
            </w:tcBorders>
            <w:vAlign w:val="center"/>
          </w:tcPr>
          <w:p w14:paraId="55448F0E">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1B97D6C5">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344410EC">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6F465BFE">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706D3D64">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7EC49B3">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46DCE7C1">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您对组织部的</w:t>
            </w:r>
            <w:r>
              <w:rPr>
                <w:rFonts w:cs="Times New Roman" w:asciiTheme="minorEastAsia" w:hAnsiTheme="minorEastAsia" w:eastAsiaTheme="minorEastAsia"/>
                <w:sz w:val="21"/>
                <w:szCs w:val="21"/>
                <w:u w:color="000000"/>
              </w:rPr>
              <w:t>工作了解多少</w:t>
            </w:r>
          </w:p>
        </w:tc>
        <w:tc>
          <w:tcPr>
            <w:tcW w:w="992" w:type="dxa"/>
            <w:tcBorders>
              <w:top w:val="single" w:color="000000" w:sz="4" w:space="0"/>
              <w:left w:val="single" w:color="000000" w:sz="4" w:space="0"/>
              <w:bottom w:val="single" w:color="000000" w:sz="4" w:space="0"/>
              <w:right w:val="single" w:color="000000" w:sz="4" w:space="0"/>
            </w:tcBorders>
            <w:vAlign w:val="center"/>
          </w:tcPr>
          <w:p w14:paraId="473A5197">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35</w:t>
            </w:r>
          </w:p>
        </w:tc>
        <w:tc>
          <w:tcPr>
            <w:tcW w:w="851" w:type="dxa"/>
            <w:tcBorders>
              <w:top w:val="single" w:color="000000" w:sz="4" w:space="0"/>
              <w:left w:val="single" w:color="000000" w:sz="4" w:space="0"/>
              <w:bottom w:val="single" w:color="000000" w:sz="4" w:space="0"/>
              <w:right w:val="single" w:color="000000" w:sz="4" w:space="0"/>
            </w:tcBorders>
            <w:vAlign w:val="center"/>
          </w:tcPr>
          <w:p w14:paraId="1A868B12">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13</w:t>
            </w:r>
          </w:p>
        </w:tc>
        <w:tc>
          <w:tcPr>
            <w:tcW w:w="898" w:type="dxa"/>
            <w:tcBorders>
              <w:top w:val="single" w:color="000000" w:sz="4" w:space="0"/>
              <w:left w:val="single" w:color="000000" w:sz="4" w:space="0"/>
              <w:bottom w:val="single" w:color="000000" w:sz="4" w:space="0"/>
              <w:right w:val="single" w:color="000000" w:sz="4" w:space="0"/>
            </w:tcBorders>
            <w:vAlign w:val="center"/>
          </w:tcPr>
          <w:p w14:paraId="7DFBED0D">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803" w:type="dxa"/>
            <w:tcBorders>
              <w:top w:val="single" w:color="000000" w:sz="4" w:space="0"/>
              <w:left w:val="single" w:color="000000" w:sz="4" w:space="0"/>
              <w:bottom w:val="single" w:color="000000" w:sz="4" w:space="0"/>
              <w:right w:val="single" w:color="000000" w:sz="4" w:space="0"/>
            </w:tcBorders>
            <w:vAlign w:val="center"/>
          </w:tcPr>
          <w:p w14:paraId="5CE7E1EA">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4104F449">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83</w:t>
            </w:r>
          </w:p>
        </w:tc>
      </w:tr>
      <w:tr w14:paraId="4BB5EF69">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27DA9B95">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您对组织部</w:t>
            </w:r>
            <w:r>
              <w:rPr>
                <w:rFonts w:cs="Times New Roman" w:asciiTheme="minorEastAsia" w:hAnsiTheme="minorEastAsia" w:eastAsiaTheme="minorEastAsia"/>
                <w:sz w:val="21"/>
                <w:szCs w:val="21"/>
                <w:u w:color="000000"/>
              </w:rPr>
              <w:t>的</w:t>
            </w:r>
            <w:r>
              <w:rPr>
                <w:rFonts w:hint="eastAsia" w:cs="Times New Roman" w:asciiTheme="minorEastAsia" w:hAnsiTheme="minorEastAsia" w:eastAsiaTheme="minorEastAsia"/>
                <w:sz w:val="21"/>
                <w:szCs w:val="21"/>
                <w:u w:color="000000"/>
              </w:rPr>
              <w:t>信息</w:t>
            </w:r>
            <w:r>
              <w:rPr>
                <w:rFonts w:cs="Times New Roman" w:asciiTheme="minorEastAsia" w:hAnsiTheme="minorEastAsia" w:eastAsiaTheme="minorEastAsia"/>
                <w:sz w:val="21"/>
                <w:szCs w:val="21"/>
                <w:u w:color="000000"/>
              </w:rPr>
              <w:t>动态感兴趣吗</w:t>
            </w:r>
          </w:p>
        </w:tc>
        <w:tc>
          <w:tcPr>
            <w:tcW w:w="992" w:type="dxa"/>
            <w:tcBorders>
              <w:top w:val="single" w:color="000000" w:sz="4" w:space="0"/>
              <w:left w:val="single" w:color="000000" w:sz="4" w:space="0"/>
              <w:bottom w:val="single" w:color="000000" w:sz="4" w:space="0"/>
              <w:right w:val="single" w:color="000000" w:sz="4" w:space="0"/>
            </w:tcBorders>
            <w:vAlign w:val="center"/>
          </w:tcPr>
          <w:p w14:paraId="797B8271">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40</w:t>
            </w:r>
          </w:p>
        </w:tc>
        <w:tc>
          <w:tcPr>
            <w:tcW w:w="851" w:type="dxa"/>
            <w:tcBorders>
              <w:top w:val="single" w:color="000000" w:sz="4" w:space="0"/>
              <w:left w:val="single" w:color="000000" w:sz="4" w:space="0"/>
              <w:bottom w:val="single" w:color="000000" w:sz="4" w:space="0"/>
              <w:right w:val="single" w:color="000000" w:sz="4" w:space="0"/>
            </w:tcBorders>
            <w:vAlign w:val="center"/>
          </w:tcPr>
          <w:p w14:paraId="425A902A">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1CDDAFBA">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1CB34061">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1804C68A">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90</w:t>
            </w:r>
          </w:p>
        </w:tc>
      </w:tr>
      <w:tr w14:paraId="56674BD6">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03B591D6">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您对本</w:t>
            </w:r>
            <w:r>
              <w:rPr>
                <w:rFonts w:hint="eastAsia" w:cs="Times New Roman" w:asciiTheme="minorEastAsia" w:hAnsiTheme="minorEastAsia" w:eastAsiaTheme="minorEastAsia"/>
                <w:sz w:val="21"/>
                <w:szCs w:val="21"/>
                <w:u w:color="000000"/>
                <w:lang w:eastAsia="zh-CN"/>
              </w:rPr>
              <w:t>区委组织部</w:t>
            </w:r>
            <w:r>
              <w:rPr>
                <w:rFonts w:hint="eastAsia" w:cs="Times New Roman" w:asciiTheme="minorEastAsia" w:hAnsiTheme="minorEastAsia" w:eastAsiaTheme="minorEastAsia"/>
                <w:sz w:val="21"/>
                <w:szCs w:val="21"/>
                <w:u w:color="000000"/>
              </w:rPr>
              <w:t>门的工作还有哪些意见和建议</w:t>
            </w:r>
          </w:p>
        </w:tc>
        <w:tc>
          <w:tcPr>
            <w:tcW w:w="992" w:type="dxa"/>
            <w:tcBorders>
              <w:top w:val="single" w:color="000000" w:sz="4" w:space="0"/>
              <w:left w:val="single" w:color="000000" w:sz="4" w:space="0"/>
              <w:bottom w:val="single" w:color="000000" w:sz="4" w:space="0"/>
              <w:right w:val="single" w:color="000000" w:sz="4" w:space="0"/>
            </w:tcBorders>
            <w:vAlign w:val="center"/>
          </w:tcPr>
          <w:p w14:paraId="11FE8EFC">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1E9E61AB">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44CB024D">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002F688C">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417" w:type="dxa"/>
            <w:tcBorders>
              <w:top w:val="single" w:color="000000" w:sz="4" w:space="0"/>
              <w:left w:val="single" w:color="000000" w:sz="4" w:space="0"/>
              <w:bottom w:val="single" w:color="000000" w:sz="4" w:space="0"/>
              <w:right w:val="single" w:color="000000" w:sz="4" w:space="0"/>
            </w:tcBorders>
            <w:vAlign w:val="center"/>
          </w:tcPr>
          <w:p w14:paraId="1D063653">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15034A5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3C28B86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FEF7BC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各单项满意度得分</w:t>
      </w:r>
    </w:p>
    <w:p w14:paraId="10436BB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94.6</w:t>
      </w:r>
      <w:r>
        <w:rPr>
          <w:rFonts w:hint="eastAsia" w:ascii="仿宋_GB2312" w:eastAsia="仿宋_GB2312" w:cs="Times New Roman" w:hAnsiTheme="minorEastAsia"/>
          <w:sz w:val="32"/>
          <w:szCs w:val="32"/>
          <w:u w:color="000000"/>
        </w:rPr>
        <w:t>分，大于90分，评价等级为“优”。</w:t>
      </w:r>
    </w:p>
    <w:p w14:paraId="2A7E6C0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75307C45">
      <w:pPr>
        <w:pStyle w:val="3"/>
        <w:keepNext w:val="0"/>
        <w:keepLines w:val="0"/>
        <w:suppressLineNumbers/>
        <w:spacing w:before="0" w:after="0" w:line="360" w:lineRule="auto"/>
        <w:ind w:firstLine="643" w:firstLineChars="200"/>
        <w:rPr>
          <w:rFonts w:ascii="黑体"/>
        </w:rPr>
      </w:pPr>
      <w:bookmarkStart w:id="71" w:name="_Toc58195245"/>
      <w:r>
        <w:rPr>
          <w:rFonts w:hint="eastAsia" w:ascii="黑体"/>
        </w:rPr>
        <w:t>五、绩效评价发现的问题</w:t>
      </w:r>
      <w:bookmarkEnd w:id="68"/>
      <w:bookmarkEnd w:id="69"/>
      <w:bookmarkEnd w:id="70"/>
      <w:bookmarkEnd w:id="71"/>
      <w:bookmarkStart w:id="72" w:name="_Toc492652789"/>
    </w:p>
    <w:p w14:paraId="1545737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保定市徐水区市场监督管理局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p>
    <w:p w14:paraId="4843F9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2815CFC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预算文本—部门职责工作活动绩效目标表中干部培养选拔和省市及区委管理干部管理两项职责活动未设置可评价、可衡量的绩效指标，部门绩效目标未划分为具体的工作任务，不利于对绩效目标实际完成情况进行考核。</w:t>
      </w:r>
    </w:p>
    <w:p w14:paraId="6ABD77E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5C05608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预算决算差额较大</w:t>
      </w:r>
    </w:p>
    <w:p w14:paraId="3451165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徐水区市场监督管理局预算收入、支出年初预算数均为4965.24万元，决算收入4161.8万元，较预算减少803.44万元，减少比例16.18%；决算支出4166.92万元，较预算减少798.32万元，减少比例16.08%。决算数较预算数减少的主要原因为年初农村干部基础职务补贴含农村两委干部绩效补贴和村级组织活动经费，后来预算调整到了乡镇，致使决算数据较预算数据较少。</w:t>
      </w:r>
    </w:p>
    <w:p w14:paraId="6B9D9EF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4B92B98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徐水区市场监督管理局2019年预算调整到乡镇715.88万元，占年初预算的14.42%，预算调减较多。</w:t>
      </w:r>
    </w:p>
    <w:p w14:paraId="7FE29D4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ab/>
      </w:r>
      <w:r>
        <w:rPr>
          <w:rFonts w:hint="eastAsia" w:ascii="仿宋_GB2312" w:eastAsia="仿宋_GB2312" w:cs="Times New Roman" w:hAnsiTheme="minorEastAsia"/>
          <w:sz w:val="32"/>
          <w:szCs w:val="32"/>
          <w:u w:color="000000"/>
        </w:rPr>
        <w:t>政府采购方面</w:t>
      </w:r>
    </w:p>
    <w:p w14:paraId="5E8611E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未执行政府采购</w:t>
      </w:r>
    </w:p>
    <w:p w14:paraId="605637F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徐水区市场监督管理局年初预算政府采购金额3万元，决算金额0万元，本年未执行政府采购</w:t>
      </w:r>
    </w:p>
    <w:p w14:paraId="60362C2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p w14:paraId="19F0207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项目资金使用率较低</w:t>
      </w:r>
    </w:p>
    <w:p w14:paraId="18446FB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徐水区市场监督管理局年项目资金预算4568.8万元，项目资金调整到乡镇715.88万元，实际支出3824.73万元，支出率为99%，个别项目如组织史征编预算资金为3万元，实际支出为0万元，支出率较低，资金使用效率较差。</w:t>
      </w:r>
    </w:p>
    <w:p w14:paraId="7C7F776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6.部分基础数据信息方面</w:t>
      </w:r>
    </w:p>
    <w:p w14:paraId="24C5186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部分基础数据信息不完整</w:t>
      </w:r>
    </w:p>
    <w:p w14:paraId="003407A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徐水区市场监督管理局缴纳的五险一金记账凭证只保留了缴费票据，没有付个人明细，部分基础数据信息缺乏完整性。</w:t>
      </w:r>
    </w:p>
    <w:p w14:paraId="7F658E05">
      <w:pPr>
        <w:pStyle w:val="3"/>
        <w:keepNext w:val="0"/>
        <w:keepLines w:val="0"/>
        <w:suppressLineNumbers/>
        <w:spacing w:before="0" w:after="0" w:line="360" w:lineRule="auto"/>
        <w:ind w:firstLine="643" w:firstLineChars="200"/>
        <w:rPr>
          <w:rFonts w:ascii="黑体"/>
        </w:rPr>
      </w:pPr>
      <w:bookmarkStart w:id="73" w:name="_Toc58195246"/>
      <w:r>
        <w:rPr>
          <w:rFonts w:hint="eastAsia" w:ascii="黑体"/>
        </w:rPr>
        <w:t>六</w:t>
      </w:r>
      <w:r>
        <w:rPr>
          <w:rFonts w:ascii="黑体"/>
        </w:rPr>
        <w:t>、</w:t>
      </w:r>
      <w:r>
        <w:rPr>
          <w:rFonts w:hint="eastAsia" w:ascii="黑体"/>
        </w:rPr>
        <w:t>绩效评价意见及建议</w:t>
      </w:r>
      <w:bookmarkEnd w:id="73"/>
    </w:p>
    <w:p w14:paraId="0E8965A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针对此次绩效评价过程中发现的问题，我们建议：</w:t>
      </w:r>
    </w:p>
    <w:p w14:paraId="0D5FB17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1.增强绩效指标设置的明确性</w:t>
      </w:r>
    </w:p>
    <w:p w14:paraId="6BCA2A7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工作活动、预算项目绩效指标应当清晰、可评价、可衡量。建议在设置职责活动绩效指标时，将绩效目标细化分解为具体的工作任务数，从而使绩效目标可量化，便于对目标实现情况进行考核。</w:t>
      </w:r>
    </w:p>
    <w:p w14:paraId="7A69A2D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2.提高预算编制质量</w:t>
      </w:r>
    </w:p>
    <w:p w14:paraId="5E6AEC0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部门预算编制工作要全面反映和体现部门职责，根据具体情况及时调整预算的编制，缩小预算与决算差额，减少中期预算追加火调减，年中需要调整到乡镇乡镇的项目，在做预算时进行调整，提高预算编制质量，发挥预算约束作用。</w:t>
      </w:r>
    </w:p>
    <w:p w14:paraId="474100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3.强化政府采购执行</w:t>
      </w:r>
    </w:p>
    <w:p w14:paraId="3583500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建议严格按照《中华人民共和国政府采购法》及河北省2017年《政府采购集中采购目录和限额标准》的相关规定，执行政府采购，加快预算执行进度，提高政府采购效率。</w:t>
      </w:r>
    </w:p>
    <w:p w14:paraId="421CA9D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4.提高项目资金使用率</w:t>
      </w:r>
    </w:p>
    <w:p w14:paraId="2264A40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保定市徐水区市场监督管理局对项目资金进行梳理，督促项目进度和资金拨付进度，应拨付的资金及时拨付，不具备条件的资金及时收回，同时，对于按规定可以结转至下年的中央及省级项目资金，在下年的项目安排时优先考虑。</w:t>
      </w:r>
    </w:p>
    <w:p w14:paraId="689ACF6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5.完善基础信息管理</w:t>
      </w:r>
    </w:p>
    <w:p w14:paraId="16D360C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建议严格按照档案管理的相关规定对基础数据信息档案资料及时归档保存，保证项目资料的完整性和可查阅性。</w:t>
      </w:r>
    </w:p>
    <w:p w14:paraId="59018A53">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6.预算安排建议</w:t>
      </w:r>
    </w:p>
    <w:p w14:paraId="3B45AD9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人员经费方面：2019年基本支出决算数较预算数较少比例较大，主要原因为2018年作为基本支出的项目在2019年纳入了项目支出致使2019年基本支出减少，建议2020年预算根据2019年支出类型编制，该纳入项目的经费不再列入基本支出。</w:t>
      </w:r>
    </w:p>
    <w:p w14:paraId="5EE0757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项目资金方面：2019年个别项目支出资金使用率较低，针对部分未实施项目资金结转至下一年度的，建议2020年预算不增加该部分项目资金预算；其他项目资金根据实际情况予以保持或适当增减。</w:t>
      </w:r>
    </w:p>
    <w:bookmarkEnd w:id="72"/>
    <w:p w14:paraId="5B5C5BEF">
      <w:pPr>
        <w:spacing w:after="0" w:line="360" w:lineRule="auto"/>
        <w:ind w:firstLine="640"/>
        <w:jc w:val="both"/>
        <w:textAlignment w:val="baseline"/>
        <w:rPr>
          <w:rFonts w:ascii="仿宋_GB2312" w:eastAsia="仿宋_GB2312" w:cs="Times New Roman" w:hAnsiTheme="minorEastAsia"/>
          <w:sz w:val="32"/>
          <w:szCs w:val="32"/>
          <w:u w:color="000000"/>
        </w:rPr>
      </w:pPr>
      <w:bookmarkStart w:id="74" w:name="_Toc465149521"/>
    </w:p>
    <w:p w14:paraId="5974AD16">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w:t>
      </w:r>
    </w:p>
    <w:p w14:paraId="03AC7DB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1.保定市徐水</w:t>
      </w:r>
      <w:r>
        <w:rPr>
          <w:rFonts w:hint="eastAsia" w:ascii="仿宋_GB2312" w:eastAsia="仿宋_GB2312" w:cs="DengXian-Regular"/>
          <w:sz w:val="32"/>
          <w:szCs w:val="32"/>
        </w:rPr>
        <w:t>保定市徐水区市场监督管理局</w:t>
      </w:r>
      <w:r>
        <w:rPr>
          <w:rFonts w:hint="eastAsia" w:ascii="仿宋_GB2312" w:eastAsia="仿宋_GB2312" w:cs="Times New Roman" w:hAnsiTheme="minorEastAsia"/>
          <w:sz w:val="32"/>
          <w:szCs w:val="32"/>
          <w:u w:color="000000"/>
        </w:rPr>
        <w:t>部门基本情况及主要职责</w:t>
      </w:r>
    </w:p>
    <w:p w14:paraId="031CE717">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保定市徐水区市场监督管理局</w:t>
      </w:r>
      <w:r>
        <w:rPr>
          <w:rFonts w:hint="eastAsia" w:ascii="仿宋_GB2312" w:eastAsia="仿宋_GB2312" w:cs="Times New Roman" w:hAnsiTheme="minorEastAsia"/>
          <w:sz w:val="32"/>
          <w:szCs w:val="32"/>
          <w:u w:color="000000"/>
        </w:rPr>
        <w:t>收支预算及决算明细表</w:t>
      </w:r>
    </w:p>
    <w:p w14:paraId="7F85787A">
      <w:pPr>
        <w:spacing w:after="0" w:line="540" w:lineRule="exact"/>
        <w:ind w:firstLine="640" w:firstLineChars="200"/>
        <w:jc w:val="both"/>
        <w:textAlignment w:val="baseline"/>
        <w:rPr>
          <w:rFonts w:ascii="仿宋_GB2312" w:eastAsia="仿宋_GB2312" w:cs="Times New Roman" w:hAnsiTheme="minorEastAsia"/>
          <w:sz w:val="32"/>
          <w:szCs w:val="32"/>
          <w:u w:color="000000"/>
        </w:rPr>
      </w:pPr>
      <w:bookmarkStart w:id="75" w:name="_Toc465149534"/>
      <w:r>
        <w:rPr>
          <w:rFonts w:hint="eastAsia" w:ascii="仿宋_GB2312" w:eastAsia="仿宋_GB2312" w:cs="Times New Roman" w:hAnsiTheme="minorEastAsia"/>
          <w:sz w:val="32"/>
          <w:szCs w:val="32"/>
          <w:u w:color="000000"/>
        </w:rPr>
        <w:t>3.</w:t>
      </w:r>
      <w:bookmarkEnd w:id="75"/>
      <w:r>
        <w:rPr>
          <w:rFonts w:hint="eastAsia" w:ascii="仿宋_GB2312" w:eastAsia="仿宋_GB2312" w:cs="Times New Roman" w:hAnsiTheme="minorEastAsia"/>
          <w:sz w:val="32"/>
          <w:szCs w:val="32"/>
          <w:u w:color="000000"/>
        </w:rPr>
        <w:t>部门整体支出绩效评价指标体系</w:t>
      </w:r>
    </w:p>
    <w:p w14:paraId="79FAFCF3">
      <w:pPr>
        <w:spacing w:after="0" w:line="540" w:lineRule="exact"/>
        <w:ind w:firstLine="640" w:firstLineChars="200"/>
        <w:jc w:val="both"/>
        <w:textAlignment w:val="baseline"/>
        <w:rPr>
          <w:rFonts w:ascii="仿宋_GB2312" w:eastAsia="仿宋_GB2312" w:cs="Times New Roman" w:hAnsiTheme="minorEastAsia"/>
          <w:sz w:val="32"/>
          <w:szCs w:val="32"/>
          <w:u w:color="000000"/>
        </w:rPr>
      </w:pPr>
      <w:bookmarkStart w:id="76" w:name="_Toc465149544"/>
      <w:r>
        <w:rPr>
          <w:rFonts w:hint="eastAsia" w:ascii="仿宋_GB2312" w:eastAsia="仿宋_GB2312" w:cs="Times New Roman" w:hAnsiTheme="minorEastAsia"/>
          <w:sz w:val="32"/>
          <w:szCs w:val="32"/>
          <w:u w:color="000000"/>
        </w:rPr>
        <w:t>4.</w:t>
      </w:r>
      <w:bookmarkEnd w:id="76"/>
      <w:r>
        <w:rPr>
          <w:rFonts w:hint="eastAsia" w:ascii="仿宋_GB2312" w:eastAsia="仿宋_GB2312" w:cs="Times New Roman" w:hAnsiTheme="minorEastAsia"/>
          <w:sz w:val="32"/>
          <w:szCs w:val="32"/>
          <w:u w:color="000000"/>
        </w:rPr>
        <w:t>2019年徐水保定市徐水区市场监督管理局工作活动绩效目标、绩效指标一览表</w:t>
      </w:r>
      <w:bookmarkEnd w:id="74"/>
    </w:p>
    <w:p w14:paraId="3B2C5E93">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8436ACA">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85BE51E">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141713"/>
      <w:docPartObj>
        <w:docPartGallery w:val="autotext"/>
      </w:docPartObj>
    </w:sdtPr>
    <w:sdtContent>
      <w:p w14:paraId="6F915201">
        <w:pPr>
          <w:pStyle w:val="14"/>
          <w:ind w:firstLine="360"/>
          <w:jc w:val="right"/>
        </w:pPr>
        <w:r>
          <w:fldChar w:fldCharType="begin"/>
        </w:r>
        <w:r>
          <w:instrText xml:space="preserve">PAGE   \* MERGEFORMAT</w:instrText>
        </w:r>
        <w:r>
          <w:fldChar w:fldCharType="separate"/>
        </w:r>
        <w:r>
          <w:rPr>
            <w:lang w:val="zh-CN"/>
          </w:rPr>
          <w:t>2</w:t>
        </w:r>
        <w:r>
          <w:fldChar w:fldCharType="end"/>
        </w:r>
      </w:p>
    </w:sdtContent>
  </w:sdt>
  <w:p w14:paraId="0B542EF7">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A3FF">
    <w:pPr>
      <w:pStyle w:val="15"/>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C1BA8"/>
    <w:multiLevelType w:val="multilevel"/>
    <w:tmpl w:val="4BCC1BA8"/>
    <w:lvl w:ilvl="0" w:tentative="0">
      <w:start w:val="4"/>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OWRmZDY2ZWM1ODcwODFkMTA3NzVhMmJjMjg0NGQifQ=="/>
  </w:docVars>
  <w:rsids>
    <w:rsidRoot w:val="00D31D50"/>
    <w:rsid w:val="00004179"/>
    <w:rsid w:val="0000439F"/>
    <w:rsid w:val="00007CA0"/>
    <w:rsid w:val="0001265F"/>
    <w:rsid w:val="00015C39"/>
    <w:rsid w:val="000174D3"/>
    <w:rsid w:val="0002415F"/>
    <w:rsid w:val="00025620"/>
    <w:rsid w:val="00026968"/>
    <w:rsid w:val="0002705B"/>
    <w:rsid w:val="00030356"/>
    <w:rsid w:val="000317D7"/>
    <w:rsid w:val="00032B03"/>
    <w:rsid w:val="000334C2"/>
    <w:rsid w:val="0003450B"/>
    <w:rsid w:val="0003465E"/>
    <w:rsid w:val="00034910"/>
    <w:rsid w:val="00034F6F"/>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67884"/>
    <w:rsid w:val="00072BF5"/>
    <w:rsid w:val="000752C6"/>
    <w:rsid w:val="00075B78"/>
    <w:rsid w:val="00077648"/>
    <w:rsid w:val="00080E48"/>
    <w:rsid w:val="00091D50"/>
    <w:rsid w:val="000935D5"/>
    <w:rsid w:val="0009618D"/>
    <w:rsid w:val="00096195"/>
    <w:rsid w:val="0009756F"/>
    <w:rsid w:val="000A1F67"/>
    <w:rsid w:val="000A2079"/>
    <w:rsid w:val="000A311E"/>
    <w:rsid w:val="000A5467"/>
    <w:rsid w:val="000B09F3"/>
    <w:rsid w:val="000B0C4A"/>
    <w:rsid w:val="000B23E8"/>
    <w:rsid w:val="000B62FE"/>
    <w:rsid w:val="000B72BC"/>
    <w:rsid w:val="000B78D7"/>
    <w:rsid w:val="000B7BA5"/>
    <w:rsid w:val="000C1EA5"/>
    <w:rsid w:val="000C52FB"/>
    <w:rsid w:val="000C55E6"/>
    <w:rsid w:val="000C6D5A"/>
    <w:rsid w:val="000D09B2"/>
    <w:rsid w:val="000D3855"/>
    <w:rsid w:val="000D7C38"/>
    <w:rsid w:val="000E0902"/>
    <w:rsid w:val="000E3830"/>
    <w:rsid w:val="000F070B"/>
    <w:rsid w:val="000F3158"/>
    <w:rsid w:val="000F364D"/>
    <w:rsid w:val="000F4432"/>
    <w:rsid w:val="000F465E"/>
    <w:rsid w:val="000F5E8C"/>
    <w:rsid w:val="001000B2"/>
    <w:rsid w:val="001004C0"/>
    <w:rsid w:val="00104C6C"/>
    <w:rsid w:val="0010560E"/>
    <w:rsid w:val="0010612A"/>
    <w:rsid w:val="00106FF7"/>
    <w:rsid w:val="00107111"/>
    <w:rsid w:val="001073D6"/>
    <w:rsid w:val="00107819"/>
    <w:rsid w:val="001151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569E"/>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1CF2"/>
    <w:rsid w:val="0026252A"/>
    <w:rsid w:val="00262BB1"/>
    <w:rsid w:val="00263D3A"/>
    <w:rsid w:val="002643BE"/>
    <w:rsid w:val="00265325"/>
    <w:rsid w:val="00266E84"/>
    <w:rsid w:val="00266ECD"/>
    <w:rsid w:val="002715FC"/>
    <w:rsid w:val="002736FD"/>
    <w:rsid w:val="00274CFA"/>
    <w:rsid w:val="00275677"/>
    <w:rsid w:val="00275A3F"/>
    <w:rsid w:val="0028068C"/>
    <w:rsid w:val="00282A89"/>
    <w:rsid w:val="00283F8F"/>
    <w:rsid w:val="002869F9"/>
    <w:rsid w:val="00292E12"/>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6AC3"/>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1225"/>
    <w:rsid w:val="00306572"/>
    <w:rsid w:val="003079C7"/>
    <w:rsid w:val="00314835"/>
    <w:rsid w:val="003169F3"/>
    <w:rsid w:val="0032078D"/>
    <w:rsid w:val="00321CE0"/>
    <w:rsid w:val="0032231F"/>
    <w:rsid w:val="00323B43"/>
    <w:rsid w:val="00325BCC"/>
    <w:rsid w:val="003309A3"/>
    <w:rsid w:val="00333BE7"/>
    <w:rsid w:val="003345BC"/>
    <w:rsid w:val="00343662"/>
    <w:rsid w:val="0035365E"/>
    <w:rsid w:val="00355403"/>
    <w:rsid w:val="003569A8"/>
    <w:rsid w:val="00357641"/>
    <w:rsid w:val="00361FFF"/>
    <w:rsid w:val="00362340"/>
    <w:rsid w:val="003653A5"/>
    <w:rsid w:val="00366971"/>
    <w:rsid w:val="00367DF7"/>
    <w:rsid w:val="00370AFA"/>
    <w:rsid w:val="0037120F"/>
    <w:rsid w:val="0037242E"/>
    <w:rsid w:val="003743E9"/>
    <w:rsid w:val="0038005F"/>
    <w:rsid w:val="003803CC"/>
    <w:rsid w:val="00382949"/>
    <w:rsid w:val="003866EA"/>
    <w:rsid w:val="00391AE3"/>
    <w:rsid w:val="00396D4C"/>
    <w:rsid w:val="003A02BE"/>
    <w:rsid w:val="003A1765"/>
    <w:rsid w:val="003A3C32"/>
    <w:rsid w:val="003A4D02"/>
    <w:rsid w:val="003A4D52"/>
    <w:rsid w:val="003A536E"/>
    <w:rsid w:val="003B0BB0"/>
    <w:rsid w:val="003B6DEC"/>
    <w:rsid w:val="003B79D3"/>
    <w:rsid w:val="003C2B92"/>
    <w:rsid w:val="003C6D26"/>
    <w:rsid w:val="003C7D1C"/>
    <w:rsid w:val="003D126B"/>
    <w:rsid w:val="003D1D33"/>
    <w:rsid w:val="003D22C9"/>
    <w:rsid w:val="003D28AC"/>
    <w:rsid w:val="003D37D8"/>
    <w:rsid w:val="003D7B2A"/>
    <w:rsid w:val="003E10BA"/>
    <w:rsid w:val="003E266C"/>
    <w:rsid w:val="003E3C05"/>
    <w:rsid w:val="003F282F"/>
    <w:rsid w:val="003F4712"/>
    <w:rsid w:val="00400E89"/>
    <w:rsid w:val="00401AB4"/>
    <w:rsid w:val="00402CA2"/>
    <w:rsid w:val="00402D95"/>
    <w:rsid w:val="00403ADD"/>
    <w:rsid w:val="00407629"/>
    <w:rsid w:val="004108EE"/>
    <w:rsid w:val="00410F1A"/>
    <w:rsid w:val="00412A31"/>
    <w:rsid w:val="004200B9"/>
    <w:rsid w:val="00426133"/>
    <w:rsid w:val="00426AA4"/>
    <w:rsid w:val="004300B1"/>
    <w:rsid w:val="00430AF8"/>
    <w:rsid w:val="0043148F"/>
    <w:rsid w:val="0043354D"/>
    <w:rsid w:val="00434547"/>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5660"/>
    <w:rsid w:val="00486217"/>
    <w:rsid w:val="00486A56"/>
    <w:rsid w:val="00494D73"/>
    <w:rsid w:val="004A19C4"/>
    <w:rsid w:val="004A2AEB"/>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786D"/>
    <w:rsid w:val="005031BA"/>
    <w:rsid w:val="00504BDD"/>
    <w:rsid w:val="00506D73"/>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36FDD"/>
    <w:rsid w:val="005421AC"/>
    <w:rsid w:val="00544C1A"/>
    <w:rsid w:val="00546D1B"/>
    <w:rsid w:val="0055027D"/>
    <w:rsid w:val="00554FA1"/>
    <w:rsid w:val="00556934"/>
    <w:rsid w:val="005607DF"/>
    <w:rsid w:val="00561E9A"/>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A7E89"/>
    <w:rsid w:val="005C3594"/>
    <w:rsid w:val="005C46B7"/>
    <w:rsid w:val="005C7C8B"/>
    <w:rsid w:val="005D5617"/>
    <w:rsid w:val="005D6591"/>
    <w:rsid w:val="005D6869"/>
    <w:rsid w:val="005D7446"/>
    <w:rsid w:val="005E0B7E"/>
    <w:rsid w:val="005E51F1"/>
    <w:rsid w:val="005E5F88"/>
    <w:rsid w:val="005F06F5"/>
    <w:rsid w:val="005F46C0"/>
    <w:rsid w:val="005F471D"/>
    <w:rsid w:val="005F5086"/>
    <w:rsid w:val="005F64A0"/>
    <w:rsid w:val="005F6A32"/>
    <w:rsid w:val="005F720A"/>
    <w:rsid w:val="005F7467"/>
    <w:rsid w:val="005F78E7"/>
    <w:rsid w:val="006007F3"/>
    <w:rsid w:val="0060402C"/>
    <w:rsid w:val="0060526A"/>
    <w:rsid w:val="00610F61"/>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37974"/>
    <w:rsid w:val="00642BA5"/>
    <w:rsid w:val="006434E0"/>
    <w:rsid w:val="00650C90"/>
    <w:rsid w:val="0065172D"/>
    <w:rsid w:val="0065287D"/>
    <w:rsid w:val="00653B11"/>
    <w:rsid w:val="0065671B"/>
    <w:rsid w:val="00656A5A"/>
    <w:rsid w:val="00660F32"/>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D0D88"/>
    <w:rsid w:val="006E0A3D"/>
    <w:rsid w:val="006E27F1"/>
    <w:rsid w:val="006E5BC8"/>
    <w:rsid w:val="006E7CBA"/>
    <w:rsid w:val="006F222F"/>
    <w:rsid w:val="006F7B69"/>
    <w:rsid w:val="0070241F"/>
    <w:rsid w:val="007024A9"/>
    <w:rsid w:val="00703C96"/>
    <w:rsid w:val="007130D7"/>
    <w:rsid w:val="00713E98"/>
    <w:rsid w:val="007154BB"/>
    <w:rsid w:val="00715591"/>
    <w:rsid w:val="00715AE8"/>
    <w:rsid w:val="0072516F"/>
    <w:rsid w:val="0073034D"/>
    <w:rsid w:val="00731ADC"/>
    <w:rsid w:val="007330F2"/>
    <w:rsid w:val="00733DB0"/>
    <w:rsid w:val="00735043"/>
    <w:rsid w:val="00740374"/>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3233"/>
    <w:rsid w:val="00787F88"/>
    <w:rsid w:val="0079721A"/>
    <w:rsid w:val="007A095C"/>
    <w:rsid w:val="007A0AF8"/>
    <w:rsid w:val="007A283A"/>
    <w:rsid w:val="007A5EAE"/>
    <w:rsid w:val="007A65C8"/>
    <w:rsid w:val="007A6B16"/>
    <w:rsid w:val="007A7AC4"/>
    <w:rsid w:val="007B32EB"/>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4CD"/>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1972"/>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E69F3"/>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1E3"/>
    <w:rsid w:val="00946F52"/>
    <w:rsid w:val="00950CBC"/>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2F81"/>
    <w:rsid w:val="009830FC"/>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03B1"/>
    <w:rsid w:val="009B0851"/>
    <w:rsid w:val="009B1979"/>
    <w:rsid w:val="009B1E1B"/>
    <w:rsid w:val="009B2CC0"/>
    <w:rsid w:val="009B4C38"/>
    <w:rsid w:val="009B5F71"/>
    <w:rsid w:val="009C0DAB"/>
    <w:rsid w:val="009C1E20"/>
    <w:rsid w:val="009D0378"/>
    <w:rsid w:val="009D0F18"/>
    <w:rsid w:val="009D1EFB"/>
    <w:rsid w:val="009D5964"/>
    <w:rsid w:val="009D6A0C"/>
    <w:rsid w:val="009E0725"/>
    <w:rsid w:val="009E1492"/>
    <w:rsid w:val="009E1530"/>
    <w:rsid w:val="009E4B3F"/>
    <w:rsid w:val="009E5877"/>
    <w:rsid w:val="009F69B0"/>
    <w:rsid w:val="00A0310D"/>
    <w:rsid w:val="00A073F4"/>
    <w:rsid w:val="00A07BBE"/>
    <w:rsid w:val="00A16439"/>
    <w:rsid w:val="00A21057"/>
    <w:rsid w:val="00A217CE"/>
    <w:rsid w:val="00A21E86"/>
    <w:rsid w:val="00A22CD3"/>
    <w:rsid w:val="00A22DFB"/>
    <w:rsid w:val="00A305E3"/>
    <w:rsid w:val="00A353F1"/>
    <w:rsid w:val="00A357B0"/>
    <w:rsid w:val="00A35B22"/>
    <w:rsid w:val="00A42B99"/>
    <w:rsid w:val="00A479B6"/>
    <w:rsid w:val="00A50D3C"/>
    <w:rsid w:val="00A532E3"/>
    <w:rsid w:val="00A54D9C"/>
    <w:rsid w:val="00A55347"/>
    <w:rsid w:val="00A57200"/>
    <w:rsid w:val="00A57865"/>
    <w:rsid w:val="00A6180E"/>
    <w:rsid w:val="00A62B31"/>
    <w:rsid w:val="00A64850"/>
    <w:rsid w:val="00A65003"/>
    <w:rsid w:val="00A65202"/>
    <w:rsid w:val="00A72C17"/>
    <w:rsid w:val="00A73299"/>
    <w:rsid w:val="00A732F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030"/>
    <w:rsid w:val="00AE355C"/>
    <w:rsid w:val="00AE4EFC"/>
    <w:rsid w:val="00AE5731"/>
    <w:rsid w:val="00AE7127"/>
    <w:rsid w:val="00AF6BA2"/>
    <w:rsid w:val="00AF7801"/>
    <w:rsid w:val="00B019E2"/>
    <w:rsid w:val="00B020ED"/>
    <w:rsid w:val="00B036CB"/>
    <w:rsid w:val="00B10E78"/>
    <w:rsid w:val="00B12F8E"/>
    <w:rsid w:val="00B130D5"/>
    <w:rsid w:val="00B13566"/>
    <w:rsid w:val="00B13A54"/>
    <w:rsid w:val="00B14220"/>
    <w:rsid w:val="00B16868"/>
    <w:rsid w:val="00B17251"/>
    <w:rsid w:val="00B2159A"/>
    <w:rsid w:val="00B21D32"/>
    <w:rsid w:val="00B234E5"/>
    <w:rsid w:val="00B23A18"/>
    <w:rsid w:val="00B313B2"/>
    <w:rsid w:val="00B3233D"/>
    <w:rsid w:val="00B34A43"/>
    <w:rsid w:val="00B35445"/>
    <w:rsid w:val="00B36912"/>
    <w:rsid w:val="00B404A0"/>
    <w:rsid w:val="00B4256A"/>
    <w:rsid w:val="00B432AB"/>
    <w:rsid w:val="00B5320C"/>
    <w:rsid w:val="00B53A96"/>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C7E"/>
    <w:rsid w:val="00BA4C84"/>
    <w:rsid w:val="00BB1A60"/>
    <w:rsid w:val="00BC09FC"/>
    <w:rsid w:val="00BC0DD5"/>
    <w:rsid w:val="00BC60E6"/>
    <w:rsid w:val="00BE66AA"/>
    <w:rsid w:val="00BE73B9"/>
    <w:rsid w:val="00BF444F"/>
    <w:rsid w:val="00BF77F5"/>
    <w:rsid w:val="00C01D8A"/>
    <w:rsid w:val="00C023EF"/>
    <w:rsid w:val="00C063DC"/>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1BFF"/>
    <w:rsid w:val="00C64C71"/>
    <w:rsid w:val="00C6528B"/>
    <w:rsid w:val="00C661B3"/>
    <w:rsid w:val="00C70300"/>
    <w:rsid w:val="00C7037D"/>
    <w:rsid w:val="00C70637"/>
    <w:rsid w:val="00C71DC8"/>
    <w:rsid w:val="00C73E69"/>
    <w:rsid w:val="00C74592"/>
    <w:rsid w:val="00C767BA"/>
    <w:rsid w:val="00C8048C"/>
    <w:rsid w:val="00C80C68"/>
    <w:rsid w:val="00C86E9A"/>
    <w:rsid w:val="00C91F31"/>
    <w:rsid w:val="00C93A3D"/>
    <w:rsid w:val="00C94F0A"/>
    <w:rsid w:val="00CA159B"/>
    <w:rsid w:val="00CA3203"/>
    <w:rsid w:val="00CA6058"/>
    <w:rsid w:val="00CA6BD1"/>
    <w:rsid w:val="00CB00F9"/>
    <w:rsid w:val="00CB1B1B"/>
    <w:rsid w:val="00CB3E03"/>
    <w:rsid w:val="00CB580D"/>
    <w:rsid w:val="00CB6098"/>
    <w:rsid w:val="00CB6200"/>
    <w:rsid w:val="00CB623E"/>
    <w:rsid w:val="00CC0BA5"/>
    <w:rsid w:val="00CC1F3E"/>
    <w:rsid w:val="00CC236E"/>
    <w:rsid w:val="00CC2B2A"/>
    <w:rsid w:val="00CC6216"/>
    <w:rsid w:val="00CC6A8D"/>
    <w:rsid w:val="00CC70FA"/>
    <w:rsid w:val="00CD03F4"/>
    <w:rsid w:val="00CD37C3"/>
    <w:rsid w:val="00CD3911"/>
    <w:rsid w:val="00CD46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5462"/>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5649B"/>
    <w:rsid w:val="00D6000E"/>
    <w:rsid w:val="00D6274B"/>
    <w:rsid w:val="00D64771"/>
    <w:rsid w:val="00D713D6"/>
    <w:rsid w:val="00D729C2"/>
    <w:rsid w:val="00D72DAF"/>
    <w:rsid w:val="00D75BB9"/>
    <w:rsid w:val="00D76276"/>
    <w:rsid w:val="00D77919"/>
    <w:rsid w:val="00D8083C"/>
    <w:rsid w:val="00D85F8D"/>
    <w:rsid w:val="00D87F81"/>
    <w:rsid w:val="00D90E39"/>
    <w:rsid w:val="00D97E89"/>
    <w:rsid w:val="00DA45EE"/>
    <w:rsid w:val="00DA58A3"/>
    <w:rsid w:val="00DB072E"/>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F0778"/>
    <w:rsid w:val="00E00A5F"/>
    <w:rsid w:val="00E02927"/>
    <w:rsid w:val="00E05D64"/>
    <w:rsid w:val="00E07ABB"/>
    <w:rsid w:val="00E07D8F"/>
    <w:rsid w:val="00E13762"/>
    <w:rsid w:val="00E14E2F"/>
    <w:rsid w:val="00E1552D"/>
    <w:rsid w:val="00E1640B"/>
    <w:rsid w:val="00E30B94"/>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2139"/>
    <w:rsid w:val="00E65332"/>
    <w:rsid w:val="00E65F77"/>
    <w:rsid w:val="00E670CD"/>
    <w:rsid w:val="00E67EA9"/>
    <w:rsid w:val="00E75552"/>
    <w:rsid w:val="00E7727F"/>
    <w:rsid w:val="00E83519"/>
    <w:rsid w:val="00E905BD"/>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3B37"/>
    <w:rsid w:val="00EE59D0"/>
    <w:rsid w:val="00EE7FF3"/>
    <w:rsid w:val="00EF26BF"/>
    <w:rsid w:val="00EF4861"/>
    <w:rsid w:val="00EF50C7"/>
    <w:rsid w:val="00EF5E19"/>
    <w:rsid w:val="00EF779D"/>
    <w:rsid w:val="00EF7E82"/>
    <w:rsid w:val="00F01970"/>
    <w:rsid w:val="00F01B91"/>
    <w:rsid w:val="00F05FF0"/>
    <w:rsid w:val="00F06AF6"/>
    <w:rsid w:val="00F079A5"/>
    <w:rsid w:val="00F07F69"/>
    <w:rsid w:val="00F107F9"/>
    <w:rsid w:val="00F111E0"/>
    <w:rsid w:val="00F114BB"/>
    <w:rsid w:val="00F117D4"/>
    <w:rsid w:val="00F121DF"/>
    <w:rsid w:val="00F142E3"/>
    <w:rsid w:val="00F1633A"/>
    <w:rsid w:val="00F16475"/>
    <w:rsid w:val="00F22D55"/>
    <w:rsid w:val="00F239CA"/>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249E"/>
    <w:rsid w:val="00F760D1"/>
    <w:rsid w:val="00F8151A"/>
    <w:rsid w:val="00F83788"/>
    <w:rsid w:val="00F84D69"/>
    <w:rsid w:val="00F85054"/>
    <w:rsid w:val="00F87AEF"/>
    <w:rsid w:val="00F87C14"/>
    <w:rsid w:val="00F93454"/>
    <w:rsid w:val="00F94F61"/>
    <w:rsid w:val="00FA17B4"/>
    <w:rsid w:val="00FA3581"/>
    <w:rsid w:val="00FB10B8"/>
    <w:rsid w:val="00FB24BA"/>
    <w:rsid w:val="00FB28C8"/>
    <w:rsid w:val="00FB381D"/>
    <w:rsid w:val="00FB6172"/>
    <w:rsid w:val="00FB6492"/>
    <w:rsid w:val="00FC007D"/>
    <w:rsid w:val="00FC131A"/>
    <w:rsid w:val="00FC224A"/>
    <w:rsid w:val="00FC42E6"/>
    <w:rsid w:val="00FC43D6"/>
    <w:rsid w:val="00FC5015"/>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73B1B16"/>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164753C"/>
    <w:rsid w:val="520E7D39"/>
    <w:rsid w:val="527310FD"/>
    <w:rsid w:val="52C145B3"/>
    <w:rsid w:val="532C19FA"/>
    <w:rsid w:val="536C046F"/>
    <w:rsid w:val="53777260"/>
    <w:rsid w:val="53BD324D"/>
    <w:rsid w:val="53DA3FDB"/>
    <w:rsid w:val="54B52F23"/>
    <w:rsid w:val="55264DD3"/>
    <w:rsid w:val="559025B5"/>
    <w:rsid w:val="55BE6F35"/>
    <w:rsid w:val="56AB5747"/>
    <w:rsid w:val="57466A30"/>
    <w:rsid w:val="57E7750E"/>
    <w:rsid w:val="582C3304"/>
    <w:rsid w:val="583E683E"/>
    <w:rsid w:val="584263FC"/>
    <w:rsid w:val="585D1BF9"/>
    <w:rsid w:val="58AA248A"/>
    <w:rsid w:val="592757C1"/>
    <w:rsid w:val="5A097D45"/>
    <w:rsid w:val="5A232744"/>
    <w:rsid w:val="5A8E433F"/>
    <w:rsid w:val="5ACC5639"/>
    <w:rsid w:val="5AFE0937"/>
    <w:rsid w:val="5B022AFF"/>
    <w:rsid w:val="5B1C238B"/>
    <w:rsid w:val="5BB72396"/>
    <w:rsid w:val="5BDA2541"/>
    <w:rsid w:val="5C8E70AE"/>
    <w:rsid w:val="5C9700DF"/>
    <w:rsid w:val="5CFF5AEE"/>
    <w:rsid w:val="5D272E30"/>
    <w:rsid w:val="5D5260D6"/>
    <w:rsid w:val="5E4106DA"/>
    <w:rsid w:val="5E4B362D"/>
    <w:rsid w:val="5E4B3828"/>
    <w:rsid w:val="5EC32979"/>
    <w:rsid w:val="5ECD3FE0"/>
    <w:rsid w:val="5EFC5263"/>
    <w:rsid w:val="5F2B51D9"/>
    <w:rsid w:val="5F37440C"/>
    <w:rsid w:val="609E7926"/>
    <w:rsid w:val="60CC769A"/>
    <w:rsid w:val="60F3280A"/>
    <w:rsid w:val="61382B8D"/>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1A9CF-6B34-4E63-985F-C17C6CD0E9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17096</Words>
  <Characters>18512</Characters>
  <Lines>146</Lines>
  <Paragraphs>41</Paragraphs>
  <TotalTime>5736</TotalTime>
  <ScaleCrop>false</ScaleCrop>
  <LinksUpToDate>false</LinksUpToDate>
  <CharactersWithSpaces>18617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viola</cp:lastModifiedBy>
  <cp:lastPrinted>2020-09-25T09:41:00Z</cp:lastPrinted>
  <dcterms:modified xsi:type="dcterms:W3CDTF">2025-05-12T02:06:35Z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EBF813B2411F451C932E7BD7C1FD0320_12</vt:lpwstr>
  </property>
  <property fmtid="{D5CDD505-2E9C-101B-9397-08002B2CF9AE}" pid="4" name="KSOTemplateDocerSaveRecord">
    <vt:lpwstr>eyJoZGlkIjoiNDExN2M1Y2EwMTM5NzExZDYxZGRhZmJmNDgzNThmYjciLCJ1c2VySWQiOiI2OTk3NDA1NzAifQ==</vt:lpwstr>
  </property>
</Properties>
</file>