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28024">
      <w:pPr>
        <w:spacing w:line="360" w:lineRule="auto"/>
        <w:jc w:val="center"/>
        <w:rPr>
          <w:rFonts w:hint="eastAsia" w:ascii="宋体" w:hAnsi="宋体" w:eastAsia="宋体"/>
          <w:b/>
          <w:sz w:val="44"/>
          <w:szCs w:val="44"/>
          <w:lang w:val="en-US" w:eastAsia="zh-CN"/>
        </w:rPr>
      </w:pPr>
      <w:bookmarkStart w:id="0" w:name="_GoBack"/>
      <w:r>
        <w:rPr>
          <w:rFonts w:hint="eastAsia" w:ascii="宋体" w:hAnsi="宋体" w:eastAsia="宋体"/>
          <w:b/>
          <w:sz w:val="44"/>
          <w:szCs w:val="44"/>
        </w:rPr>
        <w:t>保定市徐水区</w:t>
      </w:r>
      <w:r>
        <w:rPr>
          <w:rFonts w:hint="eastAsia" w:ascii="宋体" w:hAnsi="宋体" w:eastAsia="宋体"/>
          <w:b/>
          <w:sz w:val="44"/>
          <w:szCs w:val="44"/>
          <w:lang w:val="en-US" w:eastAsia="zh-CN"/>
        </w:rPr>
        <w:t>卫生健康局</w:t>
      </w:r>
    </w:p>
    <w:p w14:paraId="53124145">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val="en-US" w:eastAsia="zh-CN"/>
        </w:rPr>
        <w:t>事业单位</w:t>
      </w:r>
      <w:r>
        <w:rPr>
          <w:rFonts w:ascii="宋体" w:hAnsi="宋体" w:eastAsia="宋体"/>
          <w:b/>
          <w:sz w:val="44"/>
          <w:szCs w:val="44"/>
        </w:rPr>
        <w:t>预算公开</w:t>
      </w:r>
      <w:bookmarkEnd w:id="0"/>
      <w:r>
        <w:rPr>
          <w:rFonts w:ascii="宋体" w:hAnsi="宋体" w:eastAsia="宋体"/>
          <w:b/>
          <w:sz w:val="44"/>
          <w:szCs w:val="44"/>
        </w:rPr>
        <w:t>说明</w:t>
      </w:r>
    </w:p>
    <w:p w14:paraId="2D28E9FA">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3C86E838">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val="en-US" w:eastAsia="zh-CN"/>
        </w:rPr>
        <w:t>单位</w:t>
      </w:r>
      <w:r>
        <w:rPr>
          <w:rFonts w:hint="eastAsia" w:ascii="仿宋" w:hAnsi="仿宋" w:eastAsia="仿宋"/>
          <w:sz w:val="32"/>
          <w:szCs w:val="32"/>
        </w:rPr>
        <w:t>预算信息公开如下：</w:t>
      </w:r>
    </w:p>
    <w:p w14:paraId="43D8F00F">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val="en-US" w:eastAsia="zh-CN"/>
        </w:rPr>
        <w:t>单位</w:t>
      </w:r>
      <w:r>
        <w:rPr>
          <w:rFonts w:ascii="方正小标宋_GBK" w:eastAsia="方正小标宋_GBK"/>
          <w:sz w:val="44"/>
        </w:rPr>
        <w:t>职责及机构设置情况</w:t>
      </w:r>
    </w:p>
    <w:p w14:paraId="3F80CF1C">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val="en-US" w:eastAsia="zh-CN"/>
        </w:rPr>
        <w:t>单位</w:t>
      </w:r>
      <w:r>
        <w:rPr>
          <w:rFonts w:hint="eastAsia" w:ascii="仿宋" w:hAnsi="仿宋" w:eastAsia="仿宋"/>
          <w:b/>
          <w:sz w:val="32"/>
          <w:szCs w:val="32"/>
        </w:rPr>
        <w:t>职责</w:t>
      </w:r>
    </w:p>
    <w:p w14:paraId="0A83FF63">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根据《保定市徐水区卫生健康局职能配置、内设机构和人员编制规定》，</w:t>
      </w:r>
      <w:r>
        <w:rPr>
          <w:rFonts w:ascii="仿宋" w:hAnsi="仿宋" w:eastAsia="仿宋"/>
          <w:sz w:val="32"/>
          <w:szCs w:val="32"/>
        </w:rPr>
        <w:t xml:space="preserve"> 保定市徐水区卫生健康局的主要职责是：</w:t>
      </w:r>
    </w:p>
    <w:p w14:paraId="01F2FE90">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保定市徐水区卫生健康局贯彻落实党中央、省委、市委和区委关于卫生健康工作的方针政策和决策部署，在履行职责过程中坚持和加强党对卫生健康工作的集中统一领导。主要职责是：</w:t>
      </w:r>
    </w:p>
    <w:p w14:paraId="692A2DC3">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2F104BA0">
      <w:pPr>
        <w:spacing w:line="360" w:lineRule="auto"/>
        <w:ind w:firstLine="640" w:firstLineChars="200"/>
        <w:rPr>
          <w:rFonts w:ascii="仿宋" w:hAnsi="仿宋" w:eastAsia="仿宋"/>
          <w:sz w:val="32"/>
          <w:szCs w:val="32"/>
        </w:rPr>
      </w:pPr>
      <w:r>
        <w:rPr>
          <w:rFonts w:hint="eastAsia" w:ascii="仿宋" w:hAnsi="仿宋" w:eastAsia="仿宋"/>
          <w:sz w:val="32"/>
          <w:szCs w:val="32"/>
        </w:rP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6243A5F8">
      <w:pPr>
        <w:spacing w:line="360" w:lineRule="auto"/>
        <w:ind w:firstLine="640" w:firstLineChars="200"/>
        <w:rPr>
          <w:rFonts w:ascii="仿宋" w:hAnsi="仿宋" w:eastAsia="仿宋"/>
          <w:sz w:val="32"/>
          <w:szCs w:val="32"/>
        </w:rPr>
      </w:pPr>
      <w:r>
        <w:rPr>
          <w:rFonts w:hint="eastAsia" w:ascii="仿宋" w:hAnsi="仿宋" w:eastAsia="仿宋"/>
          <w:sz w:val="32"/>
          <w:szCs w:val="32"/>
        </w:rP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113863C3">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（四）协调落实全区应对人口老龄化政策措施，负责推进老年健康服务体系建设和医养结合工作。</w:t>
      </w:r>
    </w:p>
    <w:p w14:paraId="6BB3A9A2">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（五）组织实施国家、省基本药物政策和基本药物制度，开展药品使用监测、临床综合评价和短缺药品预警，提出全区基本药物价格政策的建议。组织开展食品安全风险监测，依法公布食品安全地方标准。</w:t>
      </w:r>
    </w:p>
    <w:p w14:paraId="23ADC075">
      <w:pPr>
        <w:spacing w:line="360" w:lineRule="auto"/>
        <w:ind w:firstLine="640" w:firstLineChars="20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14:paraId="7E11194C">
      <w:pPr>
        <w:spacing w:line="360" w:lineRule="auto"/>
        <w:ind w:firstLine="640" w:firstLineChars="200"/>
        <w:rPr>
          <w:rFonts w:ascii="仿宋" w:hAnsi="仿宋" w:eastAsia="仿宋"/>
          <w:sz w:val="32"/>
          <w:szCs w:val="32"/>
        </w:rPr>
      </w:pPr>
      <w:r>
        <w:rPr>
          <w:rFonts w:hint="eastAsia" w:ascii="仿宋" w:hAnsi="仿宋" w:eastAsia="仿宋"/>
          <w:sz w:val="32"/>
          <w:szCs w:val="32"/>
        </w:rP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21B3585D">
      <w:pPr>
        <w:spacing w:line="360" w:lineRule="auto"/>
        <w:ind w:firstLine="640" w:firstLineChars="200"/>
        <w:rPr>
          <w:rFonts w:ascii="仿宋" w:hAnsi="仿宋" w:eastAsia="仿宋"/>
          <w:sz w:val="32"/>
          <w:szCs w:val="32"/>
        </w:rPr>
      </w:pPr>
      <w:r>
        <w:rPr>
          <w:rFonts w:hint="eastAsia" w:ascii="仿宋" w:hAnsi="仿宋" w:eastAsia="仿宋"/>
          <w:sz w:val="32"/>
          <w:szCs w:val="32"/>
        </w:rPr>
        <w:t>（八）负责计划生育管理和服务工作，开展人口监测预警，提出人口与家庭发展相关政策建议。</w:t>
      </w:r>
    </w:p>
    <w:p w14:paraId="05DAC57E">
      <w:pPr>
        <w:spacing w:line="360" w:lineRule="auto"/>
        <w:ind w:firstLine="640" w:firstLineChars="200"/>
        <w:rPr>
          <w:rFonts w:ascii="仿宋" w:hAnsi="仿宋" w:eastAsia="仿宋"/>
          <w:sz w:val="32"/>
          <w:szCs w:val="32"/>
        </w:rPr>
      </w:pPr>
      <w:r>
        <w:rPr>
          <w:rFonts w:hint="eastAsia" w:ascii="仿宋" w:hAnsi="仿宋" w:eastAsia="仿宋"/>
          <w:sz w:val="32"/>
          <w:szCs w:val="32"/>
        </w:rPr>
        <w:t>（九）指导全区卫生健康工作，指导基层医疗卫生、妇幼健康服务体系和全科医生队伍建设。推进卫生健康科技创新发展。</w:t>
      </w:r>
    </w:p>
    <w:p w14:paraId="07DCA842">
      <w:pPr>
        <w:spacing w:line="360" w:lineRule="auto"/>
        <w:ind w:firstLine="640" w:firstLineChars="200"/>
        <w:rPr>
          <w:rFonts w:ascii="仿宋" w:hAnsi="仿宋" w:eastAsia="仿宋"/>
          <w:sz w:val="32"/>
          <w:szCs w:val="32"/>
        </w:rPr>
      </w:pPr>
      <w:r>
        <w:rPr>
          <w:rFonts w:hint="eastAsia" w:ascii="仿宋" w:hAnsi="仿宋" w:eastAsia="仿宋"/>
          <w:sz w:val="32"/>
          <w:szCs w:val="32"/>
        </w:rPr>
        <w:t>（十）负责医疗保健工作，负责重要会议与重大活动的医疗卫生保障工作。</w:t>
      </w:r>
    </w:p>
    <w:p w14:paraId="546D1E1E">
      <w:pPr>
        <w:spacing w:line="360" w:lineRule="auto"/>
        <w:ind w:firstLine="640" w:firstLineChars="200"/>
        <w:rPr>
          <w:rFonts w:ascii="仿宋" w:hAnsi="仿宋" w:eastAsia="仿宋"/>
          <w:sz w:val="32"/>
          <w:szCs w:val="32"/>
        </w:rPr>
      </w:pPr>
      <w:r>
        <w:rPr>
          <w:rFonts w:hint="eastAsia" w:ascii="仿宋" w:hAnsi="仿宋" w:eastAsia="仿宋"/>
          <w:sz w:val="32"/>
          <w:szCs w:val="32"/>
        </w:rPr>
        <w:t>（十一）根据国家、省、市有关法律法规和政策拟定全区中医药事业发展规划，制定全区中医药事业发展的具体方案并组织实施。</w:t>
      </w:r>
    </w:p>
    <w:p w14:paraId="2489E3F6">
      <w:pPr>
        <w:spacing w:line="360" w:lineRule="auto"/>
        <w:ind w:firstLine="640" w:firstLineChars="200"/>
        <w:rPr>
          <w:rFonts w:ascii="仿宋" w:hAnsi="仿宋" w:eastAsia="仿宋"/>
          <w:sz w:val="32"/>
          <w:szCs w:val="32"/>
        </w:rPr>
      </w:pPr>
      <w:r>
        <w:rPr>
          <w:rFonts w:hint="eastAsia" w:ascii="仿宋" w:hAnsi="仿宋" w:eastAsia="仿宋"/>
          <w:sz w:val="32"/>
          <w:szCs w:val="32"/>
        </w:rPr>
        <w:t>（十二）受政府委托承担红十字会的日常工作。</w:t>
      </w:r>
    </w:p>
    <w:p w14:paraId="3F2C1875">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（十三）完成区委、区政府交办的其他任务。</w:t>
      </w:r>
    </w:p>
    <w:p w14:paraId="559E7A3A">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337"/>
        <w:gridCol w:w="1680"/>
        <w:gridCol w:w="1794"/>
        <w:gridCol w:w="3260"/>
      </w:tblGrid>
      <w:tr w14:paraId="22C16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782E354A">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2337" w:type="dxa"/>
            <w:tcBorders>
              <w:bottom w:val="single" w:color="000000" w:sz="6" w:space="0"/>
            </w:tcBorders>
            <w:vAlign w:val="center"/>
          </w:tcPr>
          <w:p w14:paraId="6E647A60">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1680" w:type="dxa"/>
            <w:tcBorders>
              <w:bottom w:val="single" w:color="000000" w:sz="6" w:space="0"/>
            </w:tcBorders>
            <w:vAlign w:val="center"/>
          </w:tcPr>
          <w:p w14:paraId="278D8B20">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单位性质</w:t>
            </w:r>
          </w:p>
        </w:tc>
        <w:tc>
          <w:tcPr>
            <w:tcW w:w="1794" w:type="dxa"/>
            <w:tcBorders>
              <w:bottom w:val="single" w:color="000000" w:sz="6" w:space="0"/>
            </w:tcBorders>
            <w:vAlign w:val="center"/>
          </w:tcPr>
          <w:p w14:paraId="23561A85">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单位规格</w:t>
            </w:r>
          </w:p>
        </w:tc>
        <w:tc>
          <w:tcPr>
            <w:tcW w:w="3260" w:type="dxa"/>
            <w:tcBorders>
              <w:bottom w:val="single" w:color="000000" w:sz="6" w:space="0"/>
            </w:tcBorders>
            <w:vAlign w:val="center"/>
          </w:tcPr>
          <w:p w14:paraId="0013181A">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经费保障形式</w:t>
            </w:r>
          </w:p>
        </w:tc>
      </w:tr>
      <w:tr w14:paraId="24F3F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B4A1314">
            <w:pPr>
              <w:jc w:val="center"/>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1</w:t>
            </w:r>
          </w:p>
        </w:tc>
        <w:tc>
          <w:tcPr>
            <w:tcW w:w="2337" w:type="dxa"/>
            <w:tcBorders>
              <w:top w:val="single" w:color="auto" w:sz="4" w:space="0"/>
              <w:bottom w:val="single" w:color="auto" w:sz="4" w:space="0"/>
            </w:tcBorders>
            <w:vAlign w:val="center"/>
          </w:tcPr>
          <w:p w14:paraId="11060EBA">
            <w:pPr>
              <w:jc w:val="center"/>
              <w:rPr>
                <w:rFonts w:hint="eastAsia" w:ascii="仿宋" w:hAnsi="仿宋" w:eastAsia="仿宋" w:cs="仿宋"/>
                <w:bCs/>
                <w:sz w:val="32"/>
                <w:szCs w:val="32"/>
              </w:rPr>
            </w:pPr>
            <w:r>
              <w:rPr>
                <w:rFonts w:hint="eastAsia" w:ascii="仿宋" w:hAnsi="仿宋" w:eastAsia="仿宋" w:cs="仿宋"/>
                <w:sz w:val="32"/>
                <w:szCs w:val="32"/>
              </w:rPr>
              <w:t>卫健局（事业）</w:t>
            </w:r>
          </w:p>
        </w:tc>
        <w:tc>
          <w:tcPr>
            <w:tcW w:w="1680" w:type="dxa"/>
            <w:vAlign w:val="center"/>
          </w:tcPr>
          <w:p w14:paraId="1DD81970">
            <w:pPr>
              <w:jc w:val="center"/>
              <w:rPr>
                <w:rFonts w:hint="eastAsia"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537229FB">
            <w:pPr>
              <w:jc w:val="center"/>
              <w:rPr>
                <w:rFonts w:hint="eastAsia"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607E51B3">
            <w:pPr>
              <w:jc w:val="center"/>
              <w:rPr>
                <w:rFonts w:hint="eastAsia" w:ascii="仿宋" w:hAnsi="仿宋" w:eastAsia="仿宋" w:cs="仿宋"/>
                <w:bCs/>
                <w:sz w:val="32"/>
                <w:szCs w:val="32"/>
              </w:rPr>
            </w:pPr>
            <w:r>
              <w:rPr>
                <w:rFonts w:hint="eastAsia" w:ascii="仿宋" w:hAnsi="仿宋" w:eastAsia="仿宋" w:cs="仿宋"/>
                <w:bCs/>
                <w:sz w:val="32"/>
                <w:szCs w:val="32"/>
              </w:rPr>
              <w:t>财政性资金基本保障</w:t>
            </w:r>
          </w:p>
        </w:tc>
      </w:tr>
    </w:tbl>
    <w:p w14:paraId="48084E21">
      <w:pPr>
        <w:spacing w:line="360" w:lineRule="auto"/>
        <w:rPr>
          <w:rFonts w:hint="eastAsia" w:ascii="仿宋" w:hAnsi="仿宋" w:eastAsia="仿宋" w:cs="仿宋"/>
          <w:b/>
          <w:sz w:val="32"/>
          <w:szCs w:val="32"/>
        </w:rPr>
      </w:pPr>
    </w:p>
    <w:p w14:paraId="17EFB265">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val="en-US"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14:paraId="6E096D50">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预算中。我单位的收支包含在部门预算中。</w:t>
      </w:r>
    </w:p>
    <w:p w14:paraId="3F72C35B">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6C139544">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eastAsia" w:eastAsia="仿宋"/>
          <w:sz w:val="30"/>
          <w:szCs w:val="30"/>
          <w:lang w:val="en-US" w:eastAsia="zh-CN"/>
        </w:rPr>
        <w:t>3338.10</w:t>
      </w:r>
      <w:r>
        <w:rPr>
          <w:rFonts w:ascii="仿宋" w:hAnsi="仿宋" w:eastAsia="仿宋"/>
          <w:sz w:val="32"/>
          <w:szCs w:val="32"/>
        </w:rPr>
        <w:t>万元,其中：一般公共预算收入</w:t>
      </w:r>
      <w:r>
        <w:rPr>
          <w:rFonts w:hint="eastAsia" w:ascii="仿宋" w:hAnsi="仿宋" w:eastAsia="仿宋"/>
          <w:sz w:val="32"/>
          <w:szCs w:val="32"/>
          <w:lang w:val="en-US" w:eastAsia="zh-CN"/>
        </w:rPr>
        <w:t>3338.10</w:t>
      </w:r>
      <w:r>
        <w:rPr>
          <w:rFonts w:ascii="仿宋" w:hAnsi="仿宋" w:eastAsia="仿宋"/>
          <w:sz w:val="32"/>
          <w:szCs w:val="32"/>
        </w:rPr>
        <w:t>万元。</w:t>
      </w:r>
    </w:p>
    <w:p w14:paraId="7595ADF5">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4DD6269E">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val="en-US" w:eastAsia="zh-CN"/>
        </w:rPr>
        <w:t>单位</w:t>
      </w:r>
      <w:r>
        <w:rPr>
          <w:rFonts w:ascii="仿宋" w:hAnsi="仿宋" w:eastAsia="仿宋"/>
          <w:sz w:val="32"/>
          <w:szCs w:val="32"/>
        </w:rPr>
        <w:t>支出预算：</w:t>
      </w:r>
      <w:r>
        <w:rPr>
          <w:rFonts w:hint="eastAsia" w:ascii="仿宋" w:hAnsi="仿宋" w:eastAsia="仿宋"/>
          <w:sz w:val="32"/>
          <w:szCs w:val="32"/>
          <w:lang w:val="en-US" w:eastAsia="zh-CN"/>
        </w:rPr>
        <w:t>3338.10</w:t>
      </w:r>
      <w:r>
        <w:rPr>
          <w:rFonts w:ascii="仿宋" w:hAnsi="仿宋" w:eastAsia="仿宋"/>
          <w:sz w:val="32"/>
          <w:szCs w:val="32"/>
        </w:rPr>
        <w:t>万元</w:t>
      </w:r>
    </w:p>
    <w:p w14:paraId="720E367F">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3338.10</w:t>
      </w:r>
      <w:r>
        <w:rPr>
          <w:rFonts w:hint="eastAsia" w:ascii="仿宋" w:hAnsi="仿宋" w:eastAsia="仿宋"/>
          <w:sz w:val="32"/>
          <w:szCs w:val="32"/>
        </w:rPr>
        <w:t>万元</w:t>
      </w:r>
    </w:p>
    <w:p w14:paraId="652A25DF">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3296.80</w:t>
      </w:r>
      <w:r>
        <w:rPr>
          <w:rFonts w:ascii="仿宋" w:hAnsi="仿宋" w:eastAsia="仿宋"/>
          <w:sz w:val="32"/>
          <w:szCs w:val="32"/>
        </w:rPr>
        <w:t>万元</w:t>
      </w:r>
    </w:p>
    <w:p w14:paraId="72E1F077">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41.30</w:t>
      </w:r>
      <w:r>
        <w:rPr>
          <w:rFonts w:ascii="仿宋" w:hAnsi="仿宋" w:eastAsia="仿宋"/>
          <w:sz w:val="32"/>
          <w:szCs w:val="32"/>
        </w:rPr>
        <w:t>万元</w:t>
      </w:r>
    </w:p>
    <w:p w14:paraId="5E42DC8E">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C8AB584">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3338.10</w:t>
      </w:r>
      <w:r>
        <w:rPr>
          <w:rFonts w:hint="eastAsia" w:ascii="仿宋" w:hAnsi="仿宋" w:eastAsia="仿宋"/>
          <w:sz w:val="32"/>
          <w:szCs w:val="32"/>
        </w:rPr>
        <w:t>元，较上年增加</w:t>
      </w:r>
      <w:r>
        <w:rPr>
          <w:rFonts w:hint="eastAsia" w:ascii="仿宋" w:hAnsi="仿宋" w:eastAsia="仿宋"/>
          <w:sz w:val="32"/>
          <w:szCs w:val="32"/>
          <w:lang w:val="en-US" w:eastAsia="zh-CN"/>
        </w:rPr>
        <w:t>1066.09</w:t>
      </w:r>
      <w:r>
        <w:rPr>
          <w:rFonts w:ascii="仿宋" w:hAnsi="仿宋" w:eastAsia="仿宋"/>
          <w:sz w:val="32"/>
          <w:szCs w:val="32"/>
        </w:rPr>
        <w:t>万元。其中:基本支出增加</w:t>
      </w:r>
      <w:r>
        <w:rPr>
          <w:rFonts w:hint="eastAsia" w:ascii="仿宋" w:hAnsi="仿宋" w:eastAsia="仿宋"/>
          <w:sz w:val="32"/>
          <w:szCs w:val="32"/>
          <w:lang w:val="en-US" w:eastAsia="zh-CN"/>
        </w:rPr>
        <w:t>1068.56</w:t>
      </w:r>
      <w:r>
        <w:rPr>
          <w:rFonts w:ascii="仿宋" w:hAnsi="仿宋" w:eastAsia="仿宋"/>
          <w:sz w:val="32"/>
          <w:szCs w:val="32"/>
        </w:rPr>
        <w:t>万元，主要原因是</w:t>
      </w:r>
      <w:r>
        <w:rPr>
          <w:rFonts w:hint="eastAsia" w:ascii="仿宋" w:hAnsi="仿宋" w:eastAsia="仿宋"/>
          <w:sz w:val="32"/>
          <w:szCs w:val="32"/>
          <w:lang w:val="en-US" w:eastAsia="zh-CN"/>
        </w:rPr>
        <w:t>人员经费增加</w:t>
      </w:r>
      <w:r>
        <w:rPr>
          <w:rFonts w:ascii="仿宋" w:hAnsi="仿宋" w:eastAsia="仿宋"/>
          <w:sz w:val="32"/>
          <w:szCs w:val="32"/>
        </w:rPr>
        <w:t>。</w:t>
      </w:r>
    </w:p>
    <w:p w14:paraId="43CC5EF2">
      <w:pPr>
        <w:spacing w:line="360" w:lineRule="auto"/>
        <w:ind w:firstLine="640" w:firstLineChars="200"/>
        <w:rPr>
          <w:rFonts w:ascii="仿宋" w:hAnsi="仿宋" w:eastAsia="仿宋"/>
          <w:sz w:val="32"/>
          <w:szCs w:val="32"/>
        </w:rPr>
      </w:pPr>
    </w:p>
    <w:p w14:paraId="5E5BDFFC">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1D4C73BE">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val="en-US"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455.77</w:t>
      </w:r>
      <w:r>
        <w:rPr>
          <w:rFonts w:ascii="仿宋" w:hAnsi="仿宋" w:eastAsia="仿宋"/>
          <w:sz w:val="32"/>
          <w:szCs w:val="32"/>
        </w:rPr>
        <w:t>万元，其中办公费</w:t>
      </w:r>
      <w:r>
        <w:rPr>
          <w:rFonts w:hint="eastAsia" w:ascii="仿宋" w:hAnsi="仿宋" w:eastAsia="仿宋"/>
          <w:sz w:val="32"/>
          <w:szCs w:val="32"/>
          <w:lang w:val="en-US" w:eastAsia="zh-CN"/>
        </w:rPr>
        <w:t>305.39</w:t>
      </w:r>
      <w:r>
        <w:rPr>
          <w:rFonts w:ascii="仿宋" w:hAnsi="仿宋" w:eastAsia="仿宋"/>
          <w:sz w:val="32"/>
          <w:szCs w:val="32"/>
        </w:rPr>
        <w:t>万元，邮电费</w:t>
      </w:r>
      <w:r>
        <w:rPr>
          <w:rFonts w:hint="eastAsia" w:ascii="仿宋" w:hAnsi="仿宋" w:eastAsia="仿宋"/>
          <w:sz w:val="32"/>
          <w:szCs w:val="32"/>
          <w:lang w:val="en-US" w:eastAsia="zh-CN"/>
        </w:rPr>
        <w:t>10.16</w:t>
      </w:r>
      <w:r>
        <w:rPr>
          <w:rFonts w:ascii="仿宋" w:hAnsi="仿宋" w:eastAsia="仿宋"/>
          <w:sz w:val="32"/>
          <w:szCs w:val="32"/>
        </w:rPr>
        <w:t>万元，工会经费、福利费</w:t>
      </w:r>
      <w:r>
        <w:rPr>
          <w:rFonts w:hint="eastAsia" w:ascii="仿宋" w:hAnsi="仿宋" w:eastAsia="仿宋"/>
          <w:sz w:val="32"/>
          <w:szCs w:val="32"/>
          <w:lang w:val="en-US" w:eastAsia="zh-CN"/>
        </w:rPr>
        <w:t>39.37</w:t>
      </w:r>
      <w:r>
        <w:rPr>
          <w:rFonts w:ascii="仿宋" w:hAnsi="仿宋" w:eastAsia="仿宋"/>
          <w:sz w:val="32"/>
          <w:szCs w:val="32"/>
        </w:rPr>
        <w:t>万元，公务用车运行维护费</w:t>
      </w:r>
      <w:r>
        <w:rPr>
          <w:rFonts w:hint="eastAsia" w:ascii="仿宋" w:hAnsi="仿宋" w:eastAsia="仿宋"/>
          <w:sz w:val="32"/>
          <w:szCs w:val="32"/>
          <w:lang w:val="en-US" w:eastAsia="zh-CN"/>
        </w:rPr>
        <w:t>31.59</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其他支出69.26万元</w:t>
      </w:r>
      <w:r>
        <w:rPr>
          <w:rFonts w:ascii="仿宋" w:hAnsi="仿宋" w:eastAsia="仿宋"/>
          <w:sz w:val="32"/>
          <w:szCs w:val="32"/>
        </w:rPr>
        <w:t>。</w:t>
      </w:r>
    </w:p>
    <w:p w14:paraId="13F6D34B">
      <w:pPr>
        <w:spacing w:line="360" w:lineRule="auto"/>
        <w:jc w:val="center"/>
        <w:rPr>
          <w:rFonts w:ascii="黑体" w:hAnsi="黑体" w:eastAsia="黑体" w:cs="Times New Roman"/>
          <w:sz w:val="32"/>
          <w:szCs w:val="32"/>
        </w:rPr>
      </w:pPr>
    </w:p>
    <w:p w14:paraId="17609503">
      <w:pPr>
        <w:spacing w:line="360" w:lineRule="auto"/>
        <w:jc w:val="center"/>
        <w:rPr>
          <w:rFonts w:ascii="黑体" w:hAnsi="黑体" w:eastAsia="黑体" w:cs="Times New Roman"/>
          <w:sz w:val="32"/>
          <w:szCs w:val="32"/>
        </w:rPr>
      </w:pPr>
    </w:p>
    <w:p w14:paraId="0A881810">
      <w:pPr>
        <w:jc w:val="center"/>
        <w:outlineLvl w:val="0"/>
        <w:rPr>
          <w:rFonts w:ascii="方正小标宋_GBK" w:eastAsia="方正小标宋_GBK"/>
          <w:sz w:val="44"/>
        </w:rPr>
      </w:pPr>
    </w:p>
    <w:p w14:paraId="08ACEF17">
      <w:pPr>
        <w:spacing w:line="360" w:lineRule="auto"/>
        <w:rPr>
          <w:rFonts w:ascii="黑体" w:hAnsi="黑体" w:eastAsia="黑体" w:cs="Times New Roman"/>
          <w:sz w:val="32"/>
          <w:szCs w:val="32"/>
        </w:rPr>
      </w:pPr>
    </w:p>
    <w:p w14:paraId="48EB50FD">
      <w:pPr>
        <w:spacing w:line="360" w:lineRule="auto"/>
        <w:rPr>
          <w:rFonts w:ascii="黑体" w:hAnsi="黑体" w:eastAsia="黑体" w:cs="Times New Roman"/>
          <w:sz w:val="32"/>
          <w:szCs w:val="32"/>
        </w:rPr>
      </w:pPr>
    </w:p>
    <w:p w14:paraId="300A44FD">
      <w:pPr>
        <w:jc w:val="center"/>
        <w:outlineLvl w:val="0"/>
        <w:rPr>
          <w:rFonts w:ascii="方正小标宋_GBK" w:eastAsia="方正小标宋_GBK"/>
          <w:sz w:val="44"/>
        </w:rPr>
      </w:pPr>
      <w:r>
        <w:rPr>
          <w:rFonts w:hint="eastAsia" w:ascii="方正小标宋_GBK" w:eastAsia="方正小标宋_GBK"/>
          <w:sz w:val="44"/>
        </w:rPr>
        <w:t>第八部分：名词解释</w:t>
      </w:r>
    </w:p>
    <w:p w14:paraId="20513846">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3362C3F">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498D606F">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4CA0BB18">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4D5A8C8E">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F49995A">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26BE7F">
      <w:pPr>
        <w:spacing w:line="360" w:lineRule="auto"/>
        <w:jc w:val="center"/>
        <w:rPr>
          <w:rFonts w:ascii="黑体" w:hAnsi="黑体" w:eastAsia="黑体" w:cs="Times New Roman"/>
          <w:sz w:val="32"/>
          <w:szCs w:val="32"/>
        </w:rPr>
      </w:pPr>
    </w:p>
    <w:p w14:paraId="4B198BAD">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2599C79F">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4AE57FAA">
        <w:pPr>
          <w:pStyle w:val="3"/>
          <w:jc w:val="center"/>
        </w:pPr>
        <w:r>
          <w:fldChar w:fldCharType="begin"/>
        </w:r>
        <w:r>
          <w:instrText xml:space="preserve">PAGE   \* MERGEFORMAT</w:instrText>
        </w:r>
        <w:r>
          <w:fldChar w:fldCharType="separate"/>
        </w:r>
        <w:r>
          <w:rPr>
            <w:lang w:val="zh-CN"/>
          </w:rPr>
          <w:t>4</w:t>
        </w:r>
        <w:r>
          <w:fldChar w:fldCharType="end"/>
        </w:r>
      </w:p>
    </w:sdtContent>
  </w:sdt>
  <w:p w14:paraId="125F6F0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MmMyNzZjNWI0MjAzZWQxODVlNTEwMjUzMTY0Nj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88E39CA"/>
    <w:rsid w:val="09C851E3"/>
    <w:rsid w:val="0A214432"/>
    <w:rsid w:val="0F36523E"/>
    <w:rsid w:val="10B11029"/>
    <w:rsid w:val="10F42D61"/>
    <w:rsid w:val="11672433"/>
    <w:rsid w:val="140B4903"/>
    <w:rsid w:val="192473F8"/>
    <w:rsid w:val="1AEE0821"/>
    <w:rsid w:val="1DA8242C"/>
    <w:rsid w:val="1E162569"/>
    <w:rsid w:val="1E582859"/>
    <w:rsid w:val="1E8C45D9"/>
    <w:rsid w:val="1F38381F"/>
    <w:rsid w:val="20E24984"/>
    <w:rsid w:val="23BF2F0B"/>
    <w:rsid w:val="24F95AAA"/>
    <w:rsid w:val="26712A32"/>
    <w:rsid w:val="27733670"/>
    <w:rsid w:val="2A832D34"/>
    <w:rsid w:val="2AEE22B8"/>
    <w:rsid w:val="2E800A46"/>
    <w:rsid w:val="31E64883"/>
    <w:rsid w:val="33C25F78"/>
    <w:rsid w:val="37751C4B"/>
    <w:rsid w:val="39395B1F"/>
    <w:rsid w:val="3DFB1A2F"/>
    <w:rsid w:val="40F9018D"/>
    <w:rsid w:val="42A47894"/>
    <w:rsid w:val="43454696"/>
    <w:rsid w:val="43D14A9B"/>
    <w:rsid w:val="48547FE3"/>
    <w:rsid w:val="4C9B1D07"/>
    <w:rsid w:val="4E687575"/>
    <w:rsid w:val="50DE7C0F"/>
    <w:rsid w:val="540D611A"/>
    <w:rsid w:val="5611389F"/>
    <w:rsid w:val="5E784689"/>
    <w:rsid w:val="653632CC"/>
    <w:rsid w:val="663961FD"/>
    <w:rsid w:val="6726649E"/>
    <w:rsid w:val="6817003C"/>
    <w:rsid w:val="681F3395"/>
    <w:rsid w:val="69001D2B"/>
    <w:rsid w:val="6BFF2DCC"/>
    <w:rsid w:val="6E21046B"/>
    <w:rsid w:val="6F4D6A39"/>
    <w:rsid w:val="6FC91E2D"/>
    <w:rsid w:val="72CC236B"/>
    <w:rsid w:val="73634A7D"/>
    <w:rsid w:val="74C346F5"/>
    <w:rsid w:val="771D3195"/>
    <w:rsid w:val="77754D7F"/>
    <w:rsid w:val="77B019F1"/>
    <w:rsid w:val="78AD7D28"/>
    <w:rsid w:val="7BBD4F47"/>
    <w:rsid w:val="7BDF7A4F"/>
    <w:rsid w:val="7D82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1976</Words>
  <Characters>2066</Characters>
  <Lines>13</Lines>
  <Paragraphs>3</Paragraphs>
  <TotalTime>9</TotalTime>
  <ScaleCrop>false</ScaleCrop>
  <LinksUpToDate>false</LinksUpToDate>
  <CharactersWithSpaces>2083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2024-07-03T03:57:09Z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76EAFEA3433E47EF9BBEB116C4FC5C2C</vt:lpwstr>
  </property>
</Properties>
</file>