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line="270" w:lineRule="atLeast"/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>
      <w:pPr>
        <w:pStyle w:val="2"/>
        <w:widowControl/>
        <w:shd w:val="clear" w:color="auto" w:fill="FFFFFF"/>
        <w:spacing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hint="eastAsia" w:ascii="Arial" w:hAnsi="Arial" w:cs="Arial"/>
          <w:b/>
          <w:color w:val="000000"/>
          <w:sz w:val="21"/>
          <w:szCs w:val="21"/>
          <w:shd w:val="clear" w:color="auto" w:fill="FFFFFF"/>
        </w:rPr>
        <w:t>留村</w:t>
      </w: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乡2016年部门预算安排</w:t>
      </w:r>
    </w:p>
    <w:p>
      <w:pPr>
        <w:pStyle w:val="2"/>
        <w:widowControl/>
        <w:spacing w:line="420" w:lineRule="atLeast"/>
        <w:jc w:val="center"/>
      </w:pPr>
      <w:bookmarkStart w:id="0" w:name="_GoBack"/>
      <w:bookmarkEnd w:id="0"/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情况和“三公”经费增减变化原因说明</w:t>
      </w:r>
    </w:p>
    <w:p>
      <w:pPr>
        <w:pStyle w:val="2"/>
        <w:widowControl/>
        <w:spacing w:line="420" w:lineRule="atLeast"/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按照《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中华人民共和国预算法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》、《关于深化预算管理制度改革的决定》（国发[2014]45号）、《财政部关于深入推进地方预决算公开工作的通知》（财预[2014]36号）相关规定，结合目前我乡部门预算的编制实行综合预算制度要求，即全部收入和支出都反映在预算中，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留村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乡的收支全部包含在部门预算中。并于2016年3月8日在徐水县政府网站进行公开。具体情况如下：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一、部门基本情况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我乡2016年部门预算编制机构分为两个办公室及三个服务中心。两办为：党政办公室及经济发展办公室，资金来源为财政拨款；三个服务中心为：计划生育服务中心、农业服务中心、文化服务中心，资金来源为财政性资金基本保障经费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部门人员基本情况如下：在职人员编制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45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人，其中：行政编制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45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人。在职实有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74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人，其中：财政全供养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19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人，离退休人员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30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人。车辆编制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辆，实有车辆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辆。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二、2016年部门预算收支情况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2016年部门收入预算总额为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977.64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万元，其中：一般预算拨款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977.64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2016年部门支出预算总额为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977.64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万元，其中：人员经费支出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635.99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万元，日常公用经费支出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61.24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万元，，项目支出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280.41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三、部门预算支出情况</w:t>
      </w:r>
    </w:p>
    <w:p>
      <w:pPr>
        <w:pStyle w:val="2"/>
        <w:widowControl/>
        <w:spacing w:line="42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2016年部门支出预算总额为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977.64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万元，其中：一般预算拨款支出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977.64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万元，占比为100%（其中：基本支出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697.23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万元，占比为7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%；项目支出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280.41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万元，占比为2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3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% ）。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主要用于以下几方面：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（一）  基本支出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2016年部门基本支出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697.23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万元，主要包括人员经费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639.99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万元和日常公用经费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61.24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其中：人员经费主要用于两个办公室和三个服务中心人员工资；日常公用经费主要用于保障本单位日常运转开支，包括办公费、水费、电费、差旅费、会议费、培训费、邮电费、公务用车运行维护费等其他费用。  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（二）项目支出</w:t>
      </w:r>
    </w:p>
    <w:p>
      <w:pPr>
        <w:pStyle w:val="2"/>
        <w:widowControl/>
        <w:spacing w:line="420" w:lineRule="atLeast"/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2016年部门项目支出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280.41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万元，主要是一般公共服务支出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280.41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万元，主要为专项业务费；专项业务费主要包括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社</w:t>
      </w:r>
      <w:r>
        <w:rPr>
          <w:rFonts w:hint="eastAsia" w:ascii="方正书宋_GBK" w:eastAsia="方正书宋_GBK" w:cstheme="minorBidi"/>
          <w:kern w:val="2"/>
          <w:sz w:val="21"/>
        </w:rPr>
        <w:t>会综治稳定工作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经费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18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万元；</w:t>
      </w:r>
      <w:r>
        <w:rPr>
          <w:rFonts w:hint="eastAsia" w:ascii="方正书宋_GBK" w:eastAsia="方正书宋_GBK"/>
        </w:rPr>
        <w:t>村级活动场所建设</w:t>
      </w:r>
      <w:r>
        <w:rPr>
          <w:rFonts w:hint="eastAsia" w:ascii="Arial" w:hAnsi="Arial" w:eastAsia="方正书宋_GBK" w:cs="Arial"/>
          <w:color w:val="000000"/>
          <w:sz w:val="21"/>
          <w:szCs w:val="21"/>
          <w:shd w:val="clear" w:color="auto" w:fill="FFFFFF"/>
        </w:rPr>
        <w:t>12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万元；师庄村道路工程建设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80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万元；大营、荆塘铺、胡家营失地补偿款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7.9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万元；综合事务管理专项工作经费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112.8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万元；农村环境综合整治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49.71万元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。</w:t>
      </w:r>
    </w:p>
    <w:p>
      <w:pPr>
        <w:pStyle w:val="2"/>
        <w:widowControl/>
        <w:spacing w:line="420" w:lineRule="atLeast"/>
        <w:rPr>
          <w:rFonts w:ascii="方正书宋_GBK" w:eastAsia="方正书宋_GBK"/>
        </w:rPr>
      </w:pP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今年预算增加由于人员调资等。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四、“三公”经费情况及增减变化说明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按照县纪律检查委员会、县财政局、县监察局《关于印发县部门预算及三公经费公开实施方案的通知》（财发［2013］27号）文件要求，制定了“三公”经费分配方案。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（一）、公开的原因：“三公”经费公开是推进政务公开的重要内容，是打造“阳光政府”的具体体现。有助于建设高效廉洁政府，提高政府执行能力和办事效率；有助于促进依法理财、民主理财，加强财政科学化精细化管理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（二）、公开的原则：（1）合法合规；（2）积极稳妥；（3）清晰易懂。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（三）、公开内容及增减变化说明：</w:t>
      </w:r>
    </w:p>
    <w:p>
      <w:pPr>
        <w:pStyle w:val="2"/>
        <w:widowControl/>
        <w:spacing w:line="420" w:lineRule="atLeas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三公经费总计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55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万元，比去年减少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6万元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。其中公务用车运行维护费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35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万元，比去年减少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4.6万元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；公务接待费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20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万元比去年减少</w:t>
      </w:r>
      <w:r>
        <w:rPr>
          <w:rFonts w:hint="eastAsia" w:ascii="Arial" w:hAnsi="Arial" w:cs="Arial"/>
          <w:color w:val="000000"/>
          <w:sz w:val="21"/>
          <w:szCs w:val="21"/>
          <w:shd w:val="clear" w:color="auto" w:fill="FFFFFF"/>
        </w:rPr>
        <w:t>1.4万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元。减少的原因为节约三公经费支出，压缩公务开支费用。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书宋_GBK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Yzk4NGZhNDQwMzQxNjY4ZTc5ZmI0NDNkZjVlOGQifQ=="/>
  </w:docVars>
  <w:rsids>
    <w:rsidRoot w:val="690B46F7"/>
    <w:rsid w:val="00564C17"/>
    <w:rsid w:val="00C40AD6"/>
    <w:rsid w:val="0F062A34"/>
    <w:rsid w:val="172F41CC"/>
    <w:rsid w:val="1EF1481C"/>
    <w:rsid w:val="27F51D63"/>
    <w:rsid w:val="298A60C3"/>
    <w:rsid w:val="346D2002"/>
    <w:rsid w:val="352B0A5D"/>
    <w:rsid w:val="41323712"/>
    <w:rsid w:val="419248FD"/>
    <w:rsid w:val="43C50757"/>
    <w:rsid w:val="50682046"/>
    <w:rsid w:val="587A30C0"/>
    <w:rsid w:val="61073E0C"/>
    <w:rsid w:val="690B46F7"/>
    <w:rsid w:val="6B7E3F2D"/>
    <w:rsid w:val="7DE92194"/>
    <w:rsid w:val="7F20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1130</Characters>
  <Lines>9</Lines>
  <Paragraphs>2</Paragraphs>
  <TotalTime>2</TotalTime>
  <ScaleCrop>false</ScaleCrop>
  <LinksUpToDate>false</LinksUpToDate>
  <CharactersWithSpaces>1326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2016-04-12T02:39:00Z</dcterms:created>
  <dc:creator>Administrator</dc:creator>
  <cp:lastModifiedBy>yan珊珊</cp:lastModifiedBy>
  <dcterms:modified xsi:type="dcterms:W3CDTF">2024-06-04T02:08:51Z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CFA41B5EC9C34F9F86F323684E9C2E0E_12</vt:lpwstr>
  </property>
</Properties>
</file>