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ascii="宋体" w:hAnsi="宋体" w:eastAsia="宋体"/>
          <w:b/>
          <w:sz w:val="44"/>
          <w:szCs w:val="44"/>
        </w:rPr>
        <w:t xml:space="preserve"> </w:t>
      </w:r>
      <w:r>
        <w:rPr>
          <w:rFonts w:hint="eastAsia" w:ascii="宋体" w:hAnsi="宋体" w:eastAsia="宋体"/>
          <w:b/>
          <w:sz w:val="44"/>
          <w:szCs w:val="44"/>
        </w:rPr>
        <w:t>保定市徐水区市场建设服务中心</w:t>
      </w:r>
    </w:p>
    <w:p>
      <w:pPr>
        <w:spacing w:line="360" w:lineRule="auto"/>
        <w:jc w:val="center"/>
        <w:rPr>
          <w:rFonts w:ascii="宋体" w:hAnsi="宋体" w:eastAsia="宋体"/>
          <w:b/>
          <w:sz w:val="44"/>
          <w:szCs w:val="44"/>
        </w:rPr>
      </w:pPr>
      <w:r>
        <w:rPr>
          <w:rFonts w:ascii="宋体" w:hAnsi="宋体" w:eastAsia="宋体"/>
          <w:b/>
          <w:sz w:val="44"/>
          <w:szCs w:val="44"/>
        </w:rPr>
        <w:t>2019</w:t>
      </w:r>
      <w:r>
        <w:rPr>
          <w:rFonts w:hint="eastAsia" w:ascii="宋体" w:hAnsi="宋体" w:eastAsia="宋体"/>
          <w:b/>
          <w:sz w:val="44"/>
          <w:szCs w:val="44"/>
        </w:rPr>
        <w:t>年部门预算公开说明</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pPr>
        <w:spacing w:line="360" w:lineRule="auto"/>
        <w:jc w:val="center"/>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w:t>
      </w:r>
      <w:r>
        <w:rPr>
          <w:rFonts w:hint="eastAsia" w:ascii="黑体" w:hAnsi="黑体" w:eastAsia="黑体"/>
          <w:sz w:val="32"/>
          <w:szCs w:val="32"/>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pStyle w:val="10"/>
        <w:widowControl/>
        <w:spacing w:line="60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根据徐水县人民政府办公室关于印发《徐水县市场建设服务中心职能配置、内设机构和人员编制方案》的通知（徐政办</w:t>
      </w:r>
      <w:r>
        <w:rPr>
          <w:rFonts w:ascii="仿宋_GB2312" w:hAnsi="仿宋" w:eastAsia="仿宋_GB2312" w:cs="仿宋_GB2312"/>
          <w:sz w:val="32"/>
          <w:szCs w:val="32"/>
        </w:rPr>
        <w:t>[2002]72</w:t>
      </w:r>
      <w:r>
        <w:rPr>
          <w:rFonts w:hint="eastAsia" w:ascii="仿宋_GB2312" w:hAnsi="仿宋" w:eastAsia="仿宋_GB2312" w:cs="仿宋_GB2312"/>
          <w:sz w:val="32"/>
          <w:szCs w:val="32"/>
        </w:rPr>
        <w:t>号），现将我部门概况说明如下：</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（一）负责制定全县市场布局的规划、市场建设、组织市场论证，负责市场登记工作。</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（二）负责对所辖市场经营活动的日常管理，调节市场纠纷，管理市场物业，提供有偿服务，收取设施租赁费。</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（三）配合有关执法部门或受有关执法部门委托，对市场经营者违法违章问题进行查处。</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（四）配合公安、消防等部门，对市场的日常安全和消防设施管理使用达标情况进行规范和检查。</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（五）负责市场的培育开发、引进现代化商业业态，推动市场上档升级。</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（六）组织各类庙会、商品交易会。</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（七）负责市场统计与分析。</w:t>
      </w:r>
    </w:p>
    <w:p>
      <w:pPr>
        <w:spacing w:line="360" w:lineRule="auto"/>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（八）组织市场检查评比、验收。</w:t>
      </w:r>
    </w:p>
    <w:p>
      <w:pPr>
        <w:tabs>
          <w:tab w:val="center" w:pos="4381"/>
        </w:tabs>
        <w:adjustRightInd w:val="0"/>
        <w:snapToGrid w:val="0"/>
        <w:spacing w:line="700" w:lineRule="exact"/>
        <w:ind w:firstLine="280" w:firstLineChars="100"/>
        <w:rPr>
          <w:rFonts w:ascii="仿宋" w:hAnsi="仿宋" w:eastAsia="仿宋"/>
          <w:sz w:val="32"/>
          <w:szCs w:val="32"/>
        </w:rPr>
      </w:pPr>
      <w:r>
        <w:rPr>
          <w:rFonts w:ascii="仿宋" w:hAnsi="仿宋" w:eastAsia="仿宋"/>
          <w:color w:val="000000"/>
          <w:sz w:val="28"/>
          <w:szCs w:val="28"/>
        </w:rPr>
        <w:t xml:space="preserve">    </w:t>
      </w:r>
      <w:r>
        <w:rPr>
          <w:rFonts w:ascii="仿宋" w:hAnsi="仿宋" w:eastAsia="仿宋"/>
          <w:color w:val="000000"/>
          <w:sz w:val="32"/>
          <w:szCs w:val="32"/>
        </w:rPr>
        <w:t>(</w:t>
      </w:r>
      <w:r>
        <w:rPr>
          <w:rFonts w:hint="eastAsia" w:ascii="仿宋" w:hAnsi="仿宋" w:eastAsia="仿宋"/>
          <w:color w:val="000000"/>
          <w:sz w:val="32"/>
          <w:szCs w:val="32"/>
        </w:rPr>
        <w:t>九）承办区委、区政府交办的其它事项。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839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
        <w:gridCol w:w="2245"/>
        <w:gridCol w:w="1419"/>
        <w:gridCol w:w="1183"/>
        <w:gridCol w:w="27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trPr>
        <w:tc>
          <w:tcPr>
            <w:tcW w:w="827" w:type="dxa"/>
            <w:tcBorders>
              <w:top w:val="single" w:color="auto" w:sz="4" w:space="0"/>
              <w:left w:val="single" w:color="auto" w:sz="4" w:space="0"/>
              <w:bottom w:val="single" w:color="auto" w:sz="4"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245"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419"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183"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719"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827" w:type="dxa"/>
            <w:tcBorders>
              <w:top w:val="single" w:color="auto" w:sz="4" w:space="0"/>
              <w:left w:val="single" w:color="auto" w:sz="4" w:space="0"/>
              <w:bottom w:val="single" w:color="auto" w:sz="4" w:space="0"/>
            </w:tcBorders>
            <w:vAlign w:val="center"/>
          </w:tcPr>
          <w:p>
            <w:pPr>
              <w:jc w:val="center"/>
              <w:rPr>
                <w:rFonts w:ascii="仿宋_GB2312" w:hAnsi="仿宋" w:eastAsia="仿宋_GB2312"/>
                <w:bCs/>
                <w:sz w:val="24"/>
                <w:szCs w:val="24"/>
              </w:rPr>
            </w:pPr>
            <w:r>
              <w:rPr>
                <w:rFonts w:ascii="仿宋_GB2312" w:hAnsi="仿宋" w:eastAsia="仿宋_GB2312"/>
                <w:bCs/>
                <w:sz w:val="24"/>
                <w:szCs w:val="24"/>
              </w:rPr>
              <w:t>1</w:t>
            </w:r>
          </w:p>
        </w:tc>
        <w:tc>
          <w:tcPr>
            <w:tcW w:w="2245"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保定市徐水区市场建设服务中心</w:t>
            </w:r>
          </w:p>
        </w:tc>
        <w:tc>
          <w:tcPr>
            <w:tcW w:w="1419"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183"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2719"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第二部分：部门预算安排的总体情况</w:t>
      </w:r>
      <w:r>
        <w:rPr>
          <w:rFonts w:ascii="黑体" w:hAnsi="黑体" w:eastAsia="黑体"/>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按照预算管理有关规定，目前我区部门预算的编制实行综合预算制度，即全部收入和支出都反映在预算中。我部门及所属事业单位的收支包含在部门预算中。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年预算收入为</w:t>
      </w:r>
      <w:r>
        <w:rPr>
          <w:rFonts w:ascii="仿宋" w:hAnsi="仿宋" w:eastAsia="仿宋"/>
          <w:sz w:val="32"/>
          <w:szCs w:val="32"/>
        </w:rPr>
        <w:t>363.74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其中：一般公共预算收入</w:t>
      </w:r>
      <w:r>
        <w:rPr>
          <w:rFonts w:ascii="仿宋" w:hAnsi="仿宋" w:eastAsia="仿宋"/>
          <w:sz w:val="32"/>
          <w:szCs w:val="32"/>
        </w:rPr>
        <w:t>363.74</w:t>
      </w:r>
      <w:r>
        <w:rPr>
          <w:rFonts w:hint="eastAsia" w:ascii="仿宋" w:hAnsi="仿宋" w:eastAsia="仿宋"/>
          <w:sz w:val="32"/>
          <w:szCs w:val="32"/>
        </w:rPr>
        <w:t>万元，基金预算收入</w:t>
      </w:r>
      <w:r>
        <w:rPr>
          <w:rFonts w:ascii="仿宋" w:hAnsi="仿宋" w:eastAsia="仿宋"/>
          <w:sz w:val="32"/>
          <w:szCs w:val="32"/>
        </w:rPr>
        <w:t>0</w:t>
      </w:r>
      <w:r>
        <w:rPr>
          <w:rFonts w:hint="eastAsia" w:ascii="仿宋" w:hAnsi="仿宋" w:eastAsia="仿宋"/>
          <w:sz w:val="32"/>
          <w:szCs w:val="32"/>
        </w:rPr>
        <w:t>万元，财政专户收入</w:t>
      </w:r>
      <w:r>
        <w:rPr>
          <w:rFonts w:ascii="仿宋" w:hAnsi="仿宋" w:eastAsia="仿宋"/>
          <w:sz w:val="32"/>
          <w:szCs w:val="32"/>
        </w:rPr>
        <w:t>0</w:t>
      </w:r>
      <w:r>
        <w:rPr>
          <w:rFonts w:hint="eastAsia" w:ascii="仿宋" w:hAnsi="仿宋" w:eastAsia="仿宋"/>
          <w:sz w:val="32"/>
          <w:szCs w:val="32"/>
        </w:rPr>
        <w:t>万元，其他来源收入</w:t>
      </w:r>
      <w:r>
        <w:rPr>
          <w:rFonts w:ascii="仿宋" w:hAnsi="仿宋" w:eastAsia="仿宋"/>
          <w:sz w:val="32"/>
          <w:szCs w:val="32"/>
        </w:rPr>
        <w:t>0</w:t>
      </w:r>
      <w:r>
        <w:rPr>
          <w:rFonts w:hint="eastAsia"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年部门支出预算：</w:t>
      </w:r>
      <w:r>
        <w:rPr>
          <w:rFonts w:ascii="仿宋" w:hAnsi="仿宋" w:eastAsia="仿宋"/>
          <w:sz w:val="32"/>
          <w:szCs w:val="32"/>
        </w:rPr>
        <w:t>363.74</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362.48</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其中：人员经费</w:t>
      </w:r>
      <w:r>
        <w:rPr>
          <w:rFonts w:ascii="仿宋" w:hAnsi="仿宋" w:eastAsia="仿宋"/>
          <w:sz w:val="32"/>
          <w:szCs w:val="32"/>
        </w:rPr>
        <w:t>339.23</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日常公用经费</w:t>
      </w:r>
      <w:r>
        <w:rPr>
          <w:rFonts w:ascii="仿宋" w:hAnsi="仿宋" w:eastAsia="仿宋"/>
          <w:sz w:val="32"/>
          <w:szCs w:val="32"/>
        </w:rPr>
        <w:t>23.25</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1.26</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其中：本级支出</w:t>
      </w:r>
      <w:r>
        <w:rPr>
          <w:rFonts w:ascii="仿宋" w:hAnsi="仿宋" w:eastAsia="仿宋"/>
          <w:sz w:val="32"/>
          <w:szCs w:val="32"/>
        </w:rPr>
        <w:t>1.26</w:t>
      </w:r>
      <w:r>
        <w:rPr>
          <w:rFonts w:hint="eastAsia"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363.74</w:t>
      </w:r>
      <w:r>
        <w:rPr>
          <w:rFonts w:hint="eastAsia" w:ascii="仿宋" w:hAnsi="仿宋" w:eastAsia="仿宋"/>
          <w:sz w:val="32"/>
          <w:szCs w:val="32"/>
        </w:rPr>
        <w:t>万元，较上年增加</w:t>
      </w:r>
      <w:r>
        <w:rPr>
          <w:rFonts w:ascii="仿宋" w:hAnsi="仿宋" w:eastAsia="仿宋"/>
          <w:sz w:val="32"/>
          <w:szCs w:val="32"/>
        </w:rPr>
        <w:t>76.42</w:t>
      </w:r>
      <w:r>
        <w:rPr>
          <w:rFonts w:hint="eastAsia" w:ascii="仿宋" w:hAnsi="仿宋" w:eastAsia="仿宋"/>
          <w:sz w:val="32"/>
          <w:szCs w:val="32"/>
        </w:rPr>
        <w:t>万元。其中</w:t>
      </w:r>
      <w:r>
        <w:rPr>
          <w:rFonts w:ascii="仿宋" w:hAnsi="仿宋" w:eastAsia="仿宋"/>
          <w:sz w:val="32"/>
          <w:szCs w:val="32"/>
        </w:rPr>
        <w:t>:</w:t>
      </w:r>
      <w:r>
        <w:rPr>
          <w:rFonts w:hint="eastAsia" w:ascii="仿宋" w:hAnsi="仿宋" w:eastAsia="仿宋"/>
          <w:sz w:val="32"/>
          <w:szCs w:val="32"/>
        </w:rPr>
        <w:t>基本支出增加</w:t>
      </w:r>
      <w:r>
        <w:rPr>
          <w:rFonts w:ascii="仿宋" w:hAnsi="仿宋" w:eastAsia="仿宋"/>
          <w:sz w:val="32"/>
          <w:szCs w:val="32"/>
        </w:rPr>
        <w:t>76.42</w:t>
      </w:r>
      <w:r>
        <w:rPr>
          <w:rFonts w:hint="eastAsia" w:ascii="仿宋" w:hAnsi="仿宋" w:eastAsia="仿宋"/>
          <w:sz w:val="32"/>
          <w:szCs w:val="32"/>
        </w:rPr>
        <w:t>万元，主要原因是人员经费增加；项目支出增加</w:t>
      </w:r>
      <w:r>
        <w:rPr>
          <w:rFonts w:ascii="仿宋" w:hAnsi="仿宋" w:eastAsia="仿宋"/>
          <w:sz w:val="32"/>
          <w:szCs w:val="32"/>
        </w:rPr>
        <w:t>0</w:t>
      </w:r>
      <w:r>
        <w:rPr>
          <w:rFonts w:hint="eastAsia" w:ascii="仿宋" w:hAnsi="仿宋" w:eastAsia="仿宋"/>
          <w:sz w:val="32"/>
          <w:szCs w:val="32"/>
        </w:rPr>
        <w:t>万元，主要原因是项目支出无变化。</w:t>
      </w:r>
    </w:p>
    <w:p>
      <w:pPr>
        <w:spacing w:line="360" w:lineRule="auto"/>
        <w:ind w:firstLine="640" w:firstLineChars="200"/>
        <w:rPr>
          <w:rFonts w:ascii="仿宋" w:hAnsi="仿宋" w:eastAsia="仿宋"/>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19</w:t>
      </w:r>
      <w:r>
        <w:rPr>
          <w:rFonts w:ascii="仿宋" w:hAnsi="仿宋" w:eastAsia="仿宋"/>
          <w:sz w:val="32"/>
          <w:szCs w:val="32"/>
        </w:rPr>
        <w:t>年我部门机关运行经费安排</w:t>
      </w:r>
      <w:r>
        <w:rPr>
          <w:rFonts w:hint="eastAsia" w:ascii="仿宋" w:hAnsi="仿宋" w:eastAsia="仿宋"/>
          <w:sz w:val="32"/>
          <w:szCs w:val="32"/>
        </w:rPr>
        <w:t>23.25</w:t>
      </w:r>
      <w:r>
        <w:rPr>
          <w:rFonts w:ascii="仿宋" w:hAnsi="仿宋" w:eastAsia="仿宋"/>
          <w:sz w:val="32"/>
          <w:szCs w:val="32"/>
        </w:rPr>
        <w:t>万元，其中办公费</w:t>
      </w:r>
      <w:r>
        <w:rPr>
          <w:rFonts w:hint="eastAsia" w:ascii="仿宋" w:hAnsi="仿宋" w:eastAsia="仿宋"/>
          <w:sz w:val="32"/>
          <w:szCs w:val="32"/>
        </w:rPr>
        <w:t>11.74</w:t>
      </w:r>
      <w:r>
        <w:rPr>
          <w:rFonts w:ascii="仿宋" w:hAnsi="仿宋" w:eastAsia="仿宋"/>
          <w:sz w:val="32"/>
          <w:szCs w:val="32"/>
        </w:rPr>
        <w:t>万元，邮电费</w:t>
      </w:r>
      <w:r>
        <w:rPr>
          <w:rFonts w:hint="eastAsia" w:ascii="仿宋" w:hAnsi="仿宋" w:eastAsia="仿宋"/>
          <w:sz w:val="32"/>
          <w:szCs w:val="32"/>
        </w:rPr>
        <w:t>1.44</w:t>
      </w:r>
      <w:r>
        <w:rPr>
          <w:rFonts w:ascii="仿宋" w:hAnsi="仿宋" w:eastAsia="仿宋"/>
          <w:sz w:val="32"/>
          <w:szCs w:val="32"/>
        </w:rPr>
        <w:t>万元，工会经费、福利费</w:t>
      </w:r>
      <w:r>
        <w:rPr>
          <w:rFonts w:hint="eastAsia" w:ascii="仿宋" w:hAnsi="仿宋" w:eastAsia="仿宋"/>
          <w:sz w:val="32"/>
          <w:szCs w:val="32"/>
        </w:rPr>
        <w:t>5.43</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1.64</w:t>
      </w:r>
      <w:r>
        <w:rPr>
          <w:rFonts w:ascii="仿宋" w:hAnsi="仿宋" w:eastAsia="仿宋"/>
          <w:sz w:val="32"/>
          <w:szCs w:val="32"/>
        </w:rPr>
        <w:t>万元。</w:t>
      </w:r>
    </w:p>
    <w:p>
      <w:pPr>
        <w:spacing w:line="360" w:lineRule="auto"/>
        <w:jc w:val="center"/>
        <w:rPr>
          <w:rFonts w:ascii="黑体" w:hAnsi="黑体" w:eastAsia="黑体"/>
          <w:sz w:val="32"/>
          <w:szCs w:val="32"/>
        </w:rPr>
      </w:pPr>
      <w:r>
        <w:rPr>
          <w:rFonts w:hint="eastAsia" w:ascii="黑体" w:hAnsi="黑体" w:eastAsia="黑体"/>
          <w:sz w:val="32"/>
          <w:szCs w:val="32"/>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noWrap/>
            <w:vAlign w:val="center"/>
          </w:tcPr>
          <w:p>
            <w:pPr>
              <w:widowControl/>
              <w:spacing w:line="520" w:lineRule="exact"/>
              <w:rPr>
                <w:rFonts w:ascii="黑体" w:hAnsi="黑体" w:eastAsia="黑体"/>
                <w:sz w:val="32"/>
                <w:szCs w:val="32"/>
              </w:rPr>
            </w:pPr>
          </w:p>
          <w:tbl>
            <w:tblPr>
              <w:tblStyle w:val="5"/>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pPr>
                    <w:widowControl/>
                    <w:jc w:val="left"/>
                    <w:rPr>
                      <w:rFonts w:ascii="宋体" w:eastAsia="宋体" w:cs="宋体"/>
                      <w:kern w:val="0"/>
                      <w:sz w:val="24"/>
                      <w:szCs w:val="24"/>
                    </w:rPr>
                  </w:pPr>
                </w:p>
              </w:tc>
              <w:tc>
                <w:tcPr>
                  <w:tcW w:w="1276" w:type="dxa"/>
                  <w:tcBorders>
                    <w:top w:val="nil"/>
                    <w:left w:val="nil"/>
                    <w:bottom w:val="nil"/>
                    <w:right w:val="nil"/>
                  </w:tcBorders>
                  <w:vAlign w:val="center"/>
                </w:tcPr>
                <w:p>
                  <w:pPr>
                    <w:widowControl/>
                    <w:jc w:val="left"/>
                    <w:rPr>
                      <w:rFonts w:ascii="宋体" w:eastAsia="宋体" w:cs="宋体"/>
                      <w:kern w:val="0"/>
                      <w:sz w:val="24"/>
                      <w:szCs w:val="24"/>
                    </w:rPr>
                  </w:pPr>
                </w:p>
              </w:tc>
              <w:tc>
                <w:tcPr>
                  <w:tcW w:w="1418" w:type="dxa"/>
                  <w:tcBorders>
                    <w:top w:val="nil"/>
                    <w:left w:val="nil"/>
                    <w:bottom w:val="nil"/>
                    <w:right w:val="nil"/>
                  </w:tcBorders>
                  <w:vAlign w:val="center"/>
                </w:tcPr>
                <w:p>
                  <w:pPr>
                    <w:widowControl/>
                    <w:jc w:val="left"/>
                    <w:rPr>
                      <w:rFonts w:ascii="宋体" w:eastAsia="宋体" w:cs="宋体"/>
                      <w:kern w:val="0"/>
                      <w:sz w:val="24"/>
                      <w:szCs w:val="24"/>
                    </w:rPr>
                  </w:pPr>
                </w:p>
              </w:tc>
              <w:tc>
                <w:tcPr>
                  <w:tcW w:w="836" w:type="dxa"/>
                  <w:tcBorders>
                    <w:top w:val="nil"/>
                    <w:left w:val="nil"/>
                    <w:bottom w:val="nil"/>
                    <w:right w:val="nil"/>
                  </w:tcBorders>
                  <w:vAlign w:val="center"/>
                </w:tcPr>
                <w:p>
                  <w:pPr>
                    <w:widowControl/>
                    <w:jc w:val="left"/>
                    <w:rPr>
                      <w:rFonts w:ascii="宋体" w:eastAsia="宋体" w:cs="宋体"/>
                      <w:kern w:val="0"/>
                      <w:sz w:val="24"/>
                      <w:szCs w:val="24"/>
                    </w:rPr>
                  </w:pPr>
                </w:p>
              </w:tc>
              <w:tc>
                <w:tcPr>
                  <w:tcW w:w="2397" w:type="dxa"/>
                  <w:tcBorders>
                    <w:top w:val="nil"/>
                    <w:left w:val="nil"/>
                    <w:bottom w:val="nil"/>
                    <w:right w:val="nil"/>
                  </w:tcBorders>
                  <w:vAlign w:val="center"/>
                </w:tcPr>
                <w:p>
                  <w:pPr>
                    <w:widowControl/>
                    <w:jc w:val="right"/>
                    <w:rPr>
                      <w:rFonts w:ascii="宋体" w:eastAsia="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2018</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w:t>
                  </w:r>
                  <w:r>
                    <w:rPr>
                      <w:rFonts w:hint="eastAsia" w:ascii="仿宋_GB2312" w:hAnsi="宋体" w:eastAsia="仿宋_GB2312" w:cs="宋体"/>
                      <w:kern w:val="0"/>
                      <w:sz w:val="24"/>
                      <w:szCs w:val="24"/>
                      <w:lang w:eastAsia="zh-CN"/>
                    </w:rPr>
                    <w:t>务</w:t>
                  </w:r>
                  <w:bookmarkStart w:id="0" w:name="_GoBack"/>
                  <w:bookmarkEnd w:id="0"/>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2019</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年，我部门针对三公经费支出制定了严格的管理制度，认真执行中央八项规定，厉行节约，杜绝浪费。从总量来讲，我局的三公经费与上年相比无增减变化。</w:t>
                  </w:r>
                </w:p>
              </w:tc>
            </w:tr>
            <w:tr>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pPr>
                    <w:widowControl/>
                    <w:jc w:val="left"/>
                    <w:rPr>
                      <w:rFonts w:ascii="宋体" w:eastAsia="宋体" w:cs="宋体"/>
                      <w:kern w:val="0"/>
                      <w:sz w:val="24"/>
                      <w:szCs w:val="24"/>
                    </w:rPr>
                  </w:pPr>
                </w:p>
              </w:tc>
              <w:tc>
                <w:tcPr>
                  <w:tcW w:w="1276" w:type="dxa"/>
                  <w:tcBorders>
                    <w:top w:val="nil"/>
                    <w:left w:val="nil"/>
                    <w:bottom w:val="nil"/>
                    <w:right w:val="nil"/>
                  </w:tcBorders>
                  <w:vAlign w:val="center"/>
                </w:tcPr>
                <w:p>
                  <w:pPr>
                    <w:widowControl/>
                    <w:jc w:val="left"/>
                    <w:rPr>
                      <w:rFonts w:ascii="宋体" w:eastAsia="宋体" w:cs="宋体"/>
                      <w:kern w:val="0"/>
                      <w:sz w:val="24"/>
                      <w:szCs w:val="24"/>
                    </w:rPr>
                  </w:pPr>
                </w:p>
              </w:tc>
              <w:tc>
                <w:tcPr>
                  <w:tcW w:w="1418" w:type="dxa"/>
                  <w:tcBorders>
                    <w:top w:val="nil"/>
                    <w:left w:val="nil"/>
                    <w:bottom w:val="nil"/>
                    <w:right w:val="nil"/>
                  </w:tcBorders>
                  <w:vAlign w:val="center"/>
                </w:tcPr>
                <w:p>
                  <w:pPr>
                    <w:widowControl/>
                    <w:jc w:val="left"/>
                    <w:rPr>
                      <w:rFonts w:ascii="宋体" w:eastAsia="宋体" w:cs="宋体"/>
                      <w:kern w:val="0"/>
                      <w:sz w:val="24"/>
                      <w:szCs w:val="24"/>
                    </w:rPr>
                  </w:pPr>
                </w:p>
              </w:tc>
              <w:tc>
                <w:tcPr>
                  <w:tcW w:w="836" w:type="dxa"/>
                  <w:tcBorders>
                    <w:top w:val="nil"/>
                    <w:left w:val="nil"/>
                    <w:bottom w:val="nil"/>
                    <w:right w:val="nil"/>
                  </w:tcBorders>
                  <w:vAlign w:val="center"/>
                </w:tcPr>
                <w:p>
                  <w:pPr>
                    <w:widowControl/>
                    <w:jc w:val="left"/>
                    <w:rPr>
                      <w:rFonts w:ascii="宋体" w:eastAsia="宋体" w:cs="宋体"/>
                      <w:kern w:val="0"/>
                      <w:sz w:val="24"/>
                      <w:szCs w:val="24"/>
                    </w:rPr>
                  </w:pPr>
                </w:p>
              </w:tc>
              <w:tc>
                <w:tcPr>
                  <w:tcW w:w="2397" w:type="dxa"/>
                  <w:tcBorders>
                    <w:top w:val="nil"/>
                    <w:left w:val="nil"/>
                    <w:bottom w:val="nil"/>
                    <w:right w:val="nil"/>
                  </w:tcBorders>
                  <w:vAlign w:val="center"/>
                </w:tcPr>
                <w:p>
                  <w:pPr>
                    <w:widowControl/>
                    <w:jc w:val="left"/>
                    <w:rPr>
                      <w:rFonts w:ascii="宋体" w:eastAsia="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jc w:val="center"/>
        <w:rPr>
          <w:rFonts w:ascii="黑体" w:hAnsi="黑体" w:eastAsia="黑体"/>
          <w:sz w:val="32"/>
          <w:szCs w:val="32"/>
        </w:rPr>
      </w:pPr>
      <w:r>
        <w:rPr>
          <w:rFonts w:hint="eastAsia" w:ascii="黑体" w:hAnsi="黑体" w:eastAsia="黑体"/>
          <w:sz w:val="32"/>
          <w:szCs w:val="32"/>
        </w:rPr>
        <w:t>第五部分：绩效预算信息</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firstLineChars="200"/>
        <w:rPr>
          <w:rFonts w:ascii="MingLiU-ExtB" w:hAnsi="MingLiU-ExtB" w:eastAsia="MingLiU-ExtB"/>
          <w:sz w:val="28"/>
        </w:rPr>
      </w:pPr>
      <w:r>
        <w:rPr>
          <w:rFonts w:hint="eastAsia" w:ascii="宋体" w:hAnsi="宋体" w:eastAsia="宋体"/>
          <w:sz w:val="28"/>
        </w:rPr>
        <w:t>紧紧围绕</w:t>
      </w:r>
      <w:r>
        <w:rPr>
          <w:rFonts w:hint="eastAsia" w:ascii="MingLiU-ExtB" w:hAnsi="MingLiU-ExtB" w:eastAsia="MingLiU-ExtB"/>
          <w:sz w:val="28"/>
        </w:rPr>
        <w:t>全</w:t>
      </w:r>
      <w:r>
        <w:rPr>
          <w:rFonts w:hint="eastAsia" w:ascii="宋体" w:hAnsi="宋体" w:eastAsia="宋体"/>
          <w:sz w:val="28"/>
        </w:rPr>
        <w:t>区</w:t>
      </w:r>
      <w:r>
        <w:rPr>
          <w:rFonts w:hint="eastAsia" w:ascii="MingLiU-ExtB" w:hAnsi="MingLiU-ExtB" w:eastAsia="MingLiU-ExtB"/>
          <w:sz w:val="28"/>
        </w:rPr>
        <w:t>中心工作和</w:t>
      </w:r>
      <w:r>
        <w:rPr>
          <w:rFonts w:hint="eastAsia" w:ascii="宋体" w:hAnsi="宋体" w:eastAsia="宋体"/>
          <w:sz w:val="28"/>
        </w:rPr>
        <w:t>区政府</w:t>
      </w:r>
      <w:r>
        <w:rPr>
          <w:rFonts w:hint="eastAsia" w:ascii="MingLiU-ExtB" w:hAnsi="MingLiU-ExtB" w:eastAsia="MingLiU-ExtB"/>
          <w:sz w:val="28"/>
        </w:rPr>
        <w:t>重要部署，</w:t>
      </w:r>
      <w:r>
        <w:rPr>
          <w:rFonts w:hint="eastAsia" w:ascii="宋体" w:hAnsi="宋体" w:eastAsia="宋体"/>
          <w:sz w:val="28"/>
        </w:rPr>
        <w:t>制定新建市场的规划、建设开发、招商引资、市场登记、组织论证工作</w:t>
      </w:r>
      <w:r>
        <w:rPr>
          <w:rFonts w:ascii="MingLiU-ExtB" w:hAnsi="MingLiU-ExtB" w:eastAsia="MingLiU-ExtB"/>
          <w:sz w:val="28"/>
        </w:rPr>
        <w:t>,</w:t>
      </w:r>
      <w:r>
        <w:rPr>
          <w:rFonts w:hint="eastAsia" w:ascii="宋体" w:hAnsi="宋体" w:eastAsia="宋体"/>
          <w:sz w:val="28"/>
        </w:rPr>
        <w:t>推动市场上档升级，对市场的基础设施进行维护及修缮，配合安监、消防等相关执法部门落实安全生产工作</w:t>
      </w:r>
      <w:r>
        <w:rPr>
          <w:rFonts w:ascii="MingLiU-ExtB" w:hAnsi="MingLiU-ExtB" w:eastAsia="MingLiU-ExtB"/>
          <w:sz w:val="28"/>
        </w:rPr>
        <w:t xml:space="preserve"> </w:t>
      </w:r>
      <w:r>
        <w:rPr>
          <w:rFonts w:hint="eastAsia" w:ascii="宋体" w:hAnsi="宋体" w:eastAsia="宋体"/>
          <w:sz w:val="28"/>
        </w:rPr>
        <w:t>，防止市场发生安全事故。</w:t>
      </w: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auto"/>
        <w:ind w:firstLine="643" w:firstLineChars="200"/>
        <w:jc w:val="center"/>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521</w:t>
            </w:r>
            <w:r>
              <w:rPr>
                <w:rFonts w:hint="eastAsia" w:ascii="方正小标宋_GBK" w:eastAsia="方正小标宋_GBK"/>
                <w:sz w:val="24"/>
              </w:rPr>
              <w:t>保定市徐水区市场建设服务中心</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一、市场规划、建设、登记工作</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负责制定全区市场布局的规划、市场建设、组织市场论证，负责市场登记工作。负责市场的培育开发、引进现代化商业业态，推动市场上档升级。负责市场统计与分析。</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推动全区市场上档升级</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、市场规划、建设、登记</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按照政府有关要求，负责制定全区市场布局的规划、建设、开发、推动市场上档升级。</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按照区政府有关要求推进市场新建、改建工作顺利开展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市场改建、扩建计划完成率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二、所辖市场日常管理</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负责对所辖市场经营活动的日常管理，调节市场纠纷，管理市场物业，提供有偿服务，收取设施租赁费。</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维护市场经营秩序</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、所辖市场日常管理</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负责对所辖市场基础设施日常维护及修缮。</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所辖市场基础设施完善</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所辖市场基础设施维修计划完成率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三、配合相关执法部门工作</w:t>
            </w:r>
          </w:p>
        </w:tc>
        <w:tc>
          <w:tcPr>
            <w:tcW w:w="1276" w:type="dxa"/>
            <w:vAlign w:val="center"/>
          </w:tcPr>
          <w:p>
            <w:pPr>
              <w:spacing w:line="300" w:lineRule="exact"/>
              <w:jc w:val="left"/>
              <w:rPr>
                <w:rFonts w:ascii="方正书宋_GBK" w:eastAsia="方正书宋_GBK"/>
              </w:rPr>
            </w:pPr>
            <w:r>
              <w:rPr>
                <w:rFonts w:ascii="方正书宋_GBK" w:eastAsia="方正书宋_GBK"/>
              </w:rPr>
              <w:t>1.26</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配合有关执法部门或受有关执法部门委托，对市场经营者违法违章问题进行查处。对所辖市场的商户进行防火、防盗的宣传工作，配合公安、消防等部门，对市场的日常安全和消防设施管理使用达标情况进行规范和检查。</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杜绝隐患</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、配合相关执法部门检查</w:t>
            </w:r>
          </w:p>
        </w:tc>
        <w:tc>
          <w:tcPr>
            <w:tcW w:w="1276" w:type="dxa"/>
            <w:vAlign w:val="center"/>
          </w:tcPr>
          <w:p>
            <w:pPr>
              <w:spacing w:line="300" w:lineRule="exact"/>
              <w:jc w:val="left"/>
              <w:rPr>
                <w:rFonts w:ascii="方正书宋_GBK" w:eastAsia="方正书宋_GBK"/>
              </w:rPr>
            </w:pPr>
            <w:r>
              <w:rPr>
                <w:rFonts w:ascii="方正书宋_GBK" w:eastAsia="方正书宋_GBK"/>
              </w:rPr>
              <w:t>1.26</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配合公安、消防等部门，对市场的日常安全和消防设施管理使用达标情况进行规范和检查。</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防止市场发生安全事故</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安全检查次数</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四、物资交流</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组织各类庙会、商品交易会。</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进行物资交流，发展地方经济</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、物资交流大会</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举办物资交流大会，进行商品交易</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进行物资交流</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举办物资交流次数</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五、组织市场评比、验收</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组织市场检查评比、验收。</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专业市场上档升级</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、组织市场评比、验收</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组织专业市场对基础设施、环境卫生、服务等进行评比、整改、验收</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市场上档升级</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购物满意度</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bl>
    <w:p>
      <w:pPr>
        <w:spacing w:line="360" w:lineRule="auto"/>
        <w:rPr>
          <w:rFonts w:ascii="黑体" w:hAnsi="黑体" w:eastAsia="黑体"/>
          <w:sz w:val="32"/>
          <w:szCs w:val="32"/>
        </w:rPr>
        <w:sectPr>
          <w:pgSz w:w="16838" w:h="11906" w:orient="landscape"/>
          <w:pgMar w:top="1797" w:right="1440" w:bottom="1797" w:left="1440" w:header="851" w:footer="992" w:gutter="0"/>
          <w:cols w:space="425" w:num="1"/>
          <w:docGrid w:linePitch="312" w:charSpace="0"/>
        </w:sectPr>
      </w:pP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p>
      <w:pPr>
        <w:spacing w:line="360" w:lineRule="auto"/>
        <w:jc w:val="center"/>
        <w:rPr>
          <w:rFonts w:ascii="黑体" w:hAnsi="黑体" w:eastAsia="黑体"/>
          <w:sz w:val="32"/>
          <w:szCs w:val="32"/>
        </w:rPr>
      </w:pPr>
      <w:r>
        <w:rPr>
          <w:rFonts w:hint="eastAsia" w:ascii="黑体" w:hAnsi="黑体" w:eastAsia="黑体"/>
          <w:sz w:val="32"/>
          <w:szCs w:val="32"/>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下附部门政府采购预算表空表。</w:t>
      </w:r>
    </w:p>
    <w:p>
      <w:pPr>
        <w:spacing w:line="700" w:lineRule="exact"/>
        <w:jc w:val="left"/>
        <w:rPr>
          <w:rFonts w:ascii="方正小标宋_GBK" w:eastAsia="方正小标宋_GBK"/>
          <w:sz w:val="24"/>
        </w:rPr>
        <w:sectPr>
          <w:pgSz w:w="11906" w:h="16838"/>
          <w:pgMar w:top="1440" w:right="1797" w:bottom="1440" w:left="1797" w:header="851" w:footer="992" w:gutter="0"/>
          <w:cols w:space="425" w:num="1"/>
          <w:docGrid w:linePitch="312" w:charSpace="0"/>
        </w:sectPr>
      </w:pP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pPr>
              <w:spacing w:line="700" w:lineRule="exact"/>
              <w:jc w:val="left"/>
              <w:rPr>
                <w:rFonts w:ascii="方正小标宋_GBK" w:eastAsia="方正小标宋_GBK"/>
                <w:sz w:val="24"/>
              </w:rPr>
            </w:pPr>
            <w:r>
              <w:rPr>
                <w:rFonts w:hint="eastAsia" w:ascii="方正小标宋_GBK" w:eastAsia="方正小标宋_GBK"/>
                <w:sz w:val="24"/>
              </w:rPr>
              <w:t>521保定市徐水区市场建设服务中心</w:t>
            </w:r>
          </w:p>
        </w:tc>
        <w:tc>
          <w:tcPr>
            <w:tcW w:w="6237" w:type="dxa"/>
            <w:gridSpan w:val="7"/>
            <w:tcBorders>
              <w:top w:val="single" w:color="FFFFFF" w:sz="6" w:space="0"/>
              <w:left w:val="single" w:color="FFFFFF" w:sz="6" w:space="0"/>
              <w:right w:val="single" w:color="FFFFFF" w:sz="6" w:space="0"/>
            </w:tcBorders>
            <w:vAlign w:val="center"/>
          </w:tcPr>
          <w:p>
            <w:pPr>
              <w:spacing w:line="700" w:lineRule="exact"/>
              <w:jc w:val="right"/>
              <w:rPr>
                <w:rFonts w:ascii="方正书宋_GBK" w:eastAsia="方正书宋_GBK"/>
                <w:sz w:val="24"/>
              </w:rPr>
            </w:pPr>
            <w:r>
              <w:rPr>
                <w:rFonts w:hint="eastAsia" w:ascii="宋体" w:hAnsi="宋体" w:cs="宋体"/>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pPr>
              <w:spacing w:line="700" w:lineRule="exact"/>
              <w:jc w:val="center"/>
              <w:rPr>
                <w:rFonts w:ascii="方正书宋_GBK" w:eastAsia="方正书宋_GBK"/>
                <w:b/>
              </w:rPr>
            </w:pPr>
            <w:r>
              <w:rPr>
                <w:rFonts w:hint="eastAsia" w:ascii="宋体" w:hAnsi="宋体" w:cs="宋体"/>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restart"/>
            <w:vAlign w:val="center"/>
          </w:tcPr>
          <w:p>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pPr>
              <w:spacing w:line="700" w:lineRule="exact"/>
              <w:jc w:val="center"/>
              <w:rPr>
                <w:rFonts w:ascii="方正书宋_GBK" w:eastAsia="方正书宋_GBK"/>
                <w:b/>
              </w:rPr>
            </w:pPr>
            <w:r>
              <w:rPr>
                <w:rFonts w:hint="eastAsia" w:ascii="宋体" w:hAnsi="宋体" w:cs="宋体"/>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pPr>
              <w:spacing w:line="700" w:lineRule="exact"/>
              <w:jc w:val="left"/>
              <w:outlineLvl w:val="0"/>
            </w:pPr>
          </w:p>
        </w:tc>
        <w:tc>
          <w:tcPr>
            <w:tcW w:w="76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continue"/>
            <w:vAlign w:val="center"/>
          </w:tcPr>
          <w:p>
            <w:pPr>
              <w:spacing w:line="700" w:lineRule="exact"/>
              <w:jc w:val="left"/>
              <w:outlineLvl w:val="0"/>
            </w:pPr>
          </w:p>
        </w:tc>
        <w:tc>
          <w:tcPr>
            <w:tcW w:w="992" w:type="dxa"/>
            <w:vAlign w:val="center"/>
          </w:tcPr>
          <w:p>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pPr>
              <w:spacing w:line="7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pPr>
              <w:spacing w:line="700" w:lineRule="exact"/>
              <w:jc w:val="center"/>
              <w:rPr>
                <w:rFonts w:ascii="方正书宋_GBK" w:eastAsia="方正书宋_GBK"/>
                <w:b/>
              </w:rPr>
            </w:pPr>
          </w:p>
        </w:tc>
        <w:tc>
          <w:tcPr>
            <w:tcW w:w="764" w:type="dxa"/>
            <w:vAlign w:val="center"/>
          </w:tcPr>
          <w:p>
            <w:pPr>
              <w:spacing w:line="700" w:lineRule="exact"/>
              <w:jc w:val="righ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992" w:type="dxa"/>
            <w:vAlign w:val="center"/>
          </w:tcPr>
          <w:p>
            <w:pPr>
              <w:spacing w:line="700" w:lineRule="exact"/>
              <w:jc w:val="lef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34" w:type="dxa"/>
            <w:vAlign w:val="center"/>
          </w:tcPr>
          <w:p/>
        </w:tc>
        <w:tc>
          <w:tcPr>
            <w:tcW w:w="709" w:type="dxa"/>
            <w:vAlign w:val="center"/>
          </w:tcPr>
          <w:p>
            <w:pPr>
              <w:spacing w:line="700" w:lineRule="exact"/>
              <w:jc w:val="right"/>
              <w:rPr>
                <w:rFonts w:ascii="方正书宋_GBK" w:eastAsia="方正书宋_GBK"/>
                <w:b/>
              </w:rPr>
            </w:pPr>
          </w:p>
        </w:tc>
        <w:tc>
          <w:tcPr>
            <w:tcW w:w="992" w:type="dxa"/>
            <w:vAlign w:val="center"/>
          </w:tcPr>
          <w:p>
            <w:pPr>
              <w:spacing w:line="700" w:lineRule="exact"/>
              <w:jc w:val="right"/>
              <w:rPr>
                <w:rFonts w:ascii="方正书宋_GBK" w:eastAsia="方正书宋_GBK"/>
                <w:b/>
              </w:rPr>
            </w:pPr>
          </w:p>
        </w:tc>
        <w:tc>
          <w:tcPr>
            <w:tcW w:w="1134"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pPr>
              <w:spacing w:line="700" w:lineRule="exact"/>
              <w:jc w:val="left"/>
              <w:rPr>
                <w:rFonts w:ascii="方正书宋_GBK" w:eastAsia="方正书宋_GBK"/>
              </w:rPr>
            </w:pPr>
          </w:p>
        </w:tc>
        <w:tc>
          <w:tcPr>
            <w:tcW w:w="764" w:type="dxa"/>
            <w:vAlign w:val="center"/>
          </w:tcPr>
          <w:p>
            <w:pPr>
              <w:spacing w:line="700" w:lineRule="exact"/>
              <w:jc w:val="righ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992" w:type="dxa"/>
            <w:vAlign w:val="center"/>
          </w:tcPr>
          <w:p>
            <w:pPr>
              <w:spacing w:line="700" w:lineRule="exact"/>
              <w:jc w:val="lef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34" w:type="dxa"/>
            <w:vAlign w:val="center"/>
          </w:tcPr>
          <w:p>
            <w:pPr>
              <w:spacing w:line="700" w:lineRule="exact"/>
              <w:jc w:val="right"/>
              <w:rPr>
                <w:rFonts w:ascii="方正书宋_GBK" w:eastAsia="方正书宋_GBK"/>
              </w:rPr>
            </w:pPr>
          </w:p>
        </w:tc>
        <w:tc>
          <w:tcPr>
            <w:tcW w:w="709" w:type="dxa"/>
            <w:vAlign w:val="center"/>
          </w:tcPr>
          <w:p>
            <w:pPr>
              <w:spacing w:line="700" w:lineRule="exact"/>
              <w:jc w:val="right"/>
              <w:rPr>
                <w:rFonts w:ascii="方正书宋_GBK" w:eastAsia="方正书宋_GBK"/>
              </w:rPr>
            </w:pPr>
          </w:p>
        </w:tc>
        <w:tc>
          <w:tcPr>
            <w:tcW w:w="992" w:type="dxa"/>
            <w:vAlign w:val="center"/>
          </w:tcPr>
          <w:p>
            <w:pPr>
              <w:spacing w:line="700" w:lineRule="exact"/>
              <w:jc w:val="right"/>
              <w:rPr>
                <w:rFonts w:ascii="方正书宋_GBK" w:eastAsia="方正书宋_GBK"/>
              </w:rPr>
            </w:pPr>
          </w:p>
        </w:tc>
        <w:tc>
          <w:tcPr>
            <w:tcW w:w="1134"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linePitch="312" w:charSpace="0"/>
        </w:sectPr>
      </w:pPr>
    </w:p>
    <w:p>
      <w:pPr>
        <w:spacing w:line="360" w:lineRule="auto"/>
        <w:rPr>
          <w:rFonts w:ascii="仿宋" w:hAnsi="仿宋" w:eastAsia="仿宋"/>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 w:hAnsi="仿宋" w:eastAsia="仿宋"/>
          <w:sz w:val="32"/>
          <w:szCs w:val="32"/>
        </w:rPr>
        <w:t>1037.89</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r>
        <w:rPr>
          <w:rFonts w:hint="eastAsia" w:ascii="仿宋" w:hAnsi="仿宋" w:eastAsia="仿宋"/>
          <w:sz w:val="32"/>
          <w:szCs w:val="32"/>
        </w:rPr>
        <w:t>。</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pPr>
              <w:widowControl/>
              <w:jc w:val="center"/>
              <w:rPr>
                <w:rFonts w:ascii="宋体" w:eastAsia="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pPr>
              <w:widowControl/>
              <w:jc w:val="center"/>
              <w:rPr>
                <w:rFonts w:ascii="仿宋_GB2312" w:hAnsi="仿宋" w:eastAsia="仿宋_GB2312" w:cs="宋体"/>
                <w:kern w:val="0"/>
                <w:sz w:val="28"/>
                <w:szCs w:val="28"/>
              </w:rPr>
            </w:pPr>
            <w:r>
              <w:rPr>
                <w:rFonts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2018</w:t>
            </w:r>
            <w:r>
              <w:rPr>
                <w:rFonts w:hint="eastAsia" w:ascii="仿宋_GB2312" w:hAnsi="仿宋" w:eastAsia="仿宋_GB2312" w:cs="宋体"/>
                <w:bCs/>
                <w:kern w:val="0"/>
                <w:sz w:val="28"/>
                <w:szCs w:val="28"/>
              </w:rPr>
              <w:t>年</w:t>
            </w:r>
            <w:r>
              <w:rPr>
                <w:rFonts w:ascii="仿宋_GB2312" w:hAnsi="仿宋" w:eastAsia="仿宋_GB2312" w:cs="宋体"/>
                <w:bCs/>
                <w:kern w:val="0"/>
                <w:sz w:val="28"/>
                <w:szCs w:val="28"/>
              </w:rPr>
              <w:t>12</w:t>
            </w:r>
            <w:r>
              <w:rPr>
                <w:rFonts w:hint="eastAsia" w:ascii="仿宋_GB2312" w:hAnsi="仿宋" w:eastAsia="仿宋_GB2312" w:cs="宋体"/>
                <w:bCs/>
                <w:kern w:val="0"/>
                <w:sz w:val="28"/>
                <w:szCs w:val="28"/>
              </w:rPr>
              <w:t>月</w:t>
            </w:r>
            <w:r>
              <w:rPr>
                <w:rFonts w:ascii="仿宋_GB2312" w:hAnsi="仿宋" w:eastAsia="仿宋_GB2312" w:cs="宋体"/>
                <w:bCs/>
                <w:kern w:val="0"/>
                <w:sz w:val="28"/>
                <w:szCs w:val="28"/>
              </w:rPr>
              <w:t>31</w:t>
            </w:r>
            <w:r>
              <w:rPr>
                <w:rFonts w:hint="eastAsia" w:ascii="仿宋_GB2312" w:hAnsi="仿宋" w:eastAsia="仿宋_GB2312" w:cs="宋体"/>
                <w:bCs/>
                <w:kern w:val="0"/>
                <w:sz w:val="28"/>
                <w:szCs w:val="28"/>
              </w:rPr>
              <w:t>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1037.89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1</w:t>
            </w:r>
            <w:r>
              <w:rPr>
                <w:rFonts w:hint="eastAsia" w:ascii="仿宋_GB2312" w:hAnsi="仿宋" w:eastAsia="仿宋_GB2312" w:cs="宋体"/>
                <w:kern w:val="0"/>
                <w:sz w:val="24"/>
                <w:szCs w:val="24"/>
              </w:rPr>
              <w:t>、房屋（平方米）</w:t>
            </w:r>
          </w:p>
        </w:tc>
        <w:tc>
          <w:tcPr>
            <w:tcW w:w="1035"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5175.6</w:t>
            </w:r>
          </w:p>
        </w:tc>
        <w:tc>
          <w:tcPr>
            <w:tcW w:w="4261"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616.13</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pPr>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其中：办公用房（平方米）</w:t>
            </w:r>
          </w:p>
        </w:tc>
        <w:tc>
          <w:tcPr>
            <w:tcW w:w="103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755.8</w:t>
            </w:r>
          </w:p>
        </w:tc>
        <w:tc>
          <w:tcPr>
            <w:tcW w:w="4261"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36.6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2</w:t>
            </w:r>
            <w:r>
              <w:rPr>
                <w:rFonts w:hint="eastAsia" w:ascii="仿宋_GB2312" w:hAnsi="仿宋" w:eastAsia="仿宋_GB2312" w:cs="宋体"/>
                <w:kern w:val="0"/>
                <w:sz w:val="24"/>
                <w:szCs w:val="24"/>
              </w:rPr>
              <w:t>、车辆（台、辆）</w:t>
            </w:r>
          </w:p>
        </w:tc>
        <w:tc>
          <w:tcPr>
            <w:tcW w:w="1035"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14.53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3</w:t>
            </w:r>
            <w:r>
              <w:rPr>
                <w:rFonts w:hint="eastAsia" w:ascii="仿宋_GB2312" w:hAnsi="仿宋" w:eastAsia="仿宋_GB2312" w:cs="宋体"/>
                <w:kern w:val="0"/>
                <w:sz w:val="24"/>
                <w:szCs w:val="24"/>
              </w:rPr>
              <w:t>、单价在</w:t>
            </w:r>
            <w:r>
              <w:rPr>
                <w:rFonts w:ascii="仿宋_GB2312" w:hAnsi="仿宋" w:eastAsia="仿宋_GB2312" w:cs="宋体"/>
                <w:kern w:val="0"/>
                <w:sz w:val="24"/>
                <w:szCs w:val="24"/>
              </w:rPr>
              <w:t>50</w:t>
            </w:r>
            <w:r>
              <w:rPr>
                <w:rFonts w:hint="eastAsia" w:ascii="仿宋_GB2312" w:hAnsi="仿宋" w:eastAsia="仿宋_GB2312" w:cs="宋体"/>
                <w:kern w:val="0"/>
                <w:sz w:val="24"/>
                <w:szCs w:val="24"/>
              </w:rPr>
              <w:t>万元以上的设备</w:t>
            </w:r>
            <w:r>
              <w:rPr>
                <w:rFonts w:ascii="仿宋_GB2312" w:hAnsi="仿宋" w:eastAsia="仿宋_GB2312" w:cs="宋体"/>
                <w:kern w:val="0"/>
                <w:sz w:val="24"/>
                <w:szCs w:val="24"/>
              </w:rPr>
              <w:t>(</w:t>
            </w:r>
            <w:r>
              <w:rPr>
                <w:rFonts w:hint="eastAsia" w:ascii="仿宋_GB2312" w:hAnsi="仿宋" w:eastAsia="仿宋_GB2312" w:cs="宋体"/>
                <w:kern w:val="0"/>
                <w:sz w:val="24"/>
                <w:szCs w:val="24"/>
              </w:rPr>
              <w:t>台、套</w:t>
            </w:r>
            <w:r>
              <w:rPr>
                <w:rFonts w:ascii="仿宋_GB2312" w:hAnsi="仿宋" w:eastAsia="仿宋_GB2312" w:cs="宋体"/>
                <w:kern w:val="0"/>
                <w:sz w:val="24"/>
                <w:szCs w:val="24"/>
              </w:rPr>
              <w:t>)</w:t>
            </w:r>
          </w:p>
        </w:tc>
        <w:tc>
          <w:tcPr>
            <w:tcW w:w="1035"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w:t>
            </w:r>
            <w:r>
              <w:rPr>
                <w:rFonts w:ascii="仿宋_GB2312" w:hAnsi="仿宋" w:eastAsia="仿宋_GB2312" w:cs="宋体"/>
                <w:kern w:val="0"/>
                <w:sz w:val="24"/>
                <w:szCs w:val="24"/>
              </w:rPr>
              <w:t>50</w:t>
            </w:r>
            <w:r>
              <w:rPr>
                <w:rFonts w:hint="eastAsia" w:ascii="仿宋_GB2312" w:hAnsi="仿宋" w:eastAsia="仿宋_GB2312" w:cs="宋体"/>
                <w:kern w:val="0"/>
                <w:sz w:val="24"/>
                <w:szCs w:val="24"/>
              </w:rPr>
              <w:t>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单价</w:t>
            </w:r>
            <w:r>
              <w:rPr>
                <w:rFonts w:ascii="仿宋_GB2312" w:hAnsi="仿宋" w:eastAsia="仿宋_GB2312" w:cs="宋体"/>
                <w:kern w:val="0"/>
                <w:sz w:val="24"/>
                <w:szCs w:val="24"/>
              </w:rPr>
              <w:t>100</w:t>
            </w:r>
            <w:r>
              <w:rPr>
                <w:rFonts w:hint="eastAsia" w:ascii="仿宋_GB2312" w:hAnsi="仿宋" w:eastAsia="仿宋_GB2312" w:cs="宋体"/>
                <w:kern w:val="0"/>
                <w:sz w:val="24"/>
                <w:szCs w:val="24"/>
              </w:rPr>
              <w:t>万元（含）以上的专用设备</w:t>
            </w:r>
          </w:p>
        </w:tc>
        <w:tc>
          <w:tcPr>
            <w:tcW w:w="1035"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pPr>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4</w:t>
            </w:r>
            <w:r>
              <w:rPr>
                <w:rFonts w:hint="eastAsia" w:ascii="仿宋_GB2312" w:hAnsi="仿宋" w:eastAsia="仿宋_GB2312" w:cs="宋体"/>
                <w:kern w:val="0"/>
                <w:sz w:val="24"/>
                <w:szCs w:val="24"/>
              </w:rPr>
              <w:t>、其他固定资产</w:t>
            </w:r>
          </w:p>
        </w:tc>
        <w:tc>
          <w:tcPr>
            <w:tcW w:w="103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407.23</w:t>
            </w:r>
          </w:p>
        </w:tc>
      </w:tr>
    </w:tbl>
    <w:p>
      <w:pPr>
        <w:spacing w:line="360" w:lineRule="auto"/>
        <w:rPr>
          <w:rFonts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ExtB">
    <w:panose1 w:val="02020500000000000000"/>
    <w:charset w:val="88"/>
    <w:family w:val="roman"/>
    <w:pitch w:val="default"/>
    <w:sig w:usb0="8000002F" w:usb1="02000008" w:usb2="00000000" w:usb3="00000000" w:csb0="0010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8</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F1F"/>
    <w:rsid w:val="00013B8A"/>
    <w:rsid w:val="00044FBC"/>
    <w:rsid w:val="00055F1F"/>
    <w:rsid w:val="00057F18"/>
    <w:rsid w:val="0007520F"/>
    <w:rsid w:val="00075CF5"/>
    <w:rsid w:val="000A445D"/>
    <w:rsid w:val="000D04E0"/>
    <w:rsid w:val="00131DEC"/>
    <w:rsid w:val="001462BD"/>
    <w:rsid w:val="00152380"/>
    <w:rsid w:val="001638BE"/>
    <w:rsid w:val="00181777"/>
    <w:rsid w:val="001B4688"/>
    <w:rsid w:val="001C06B5"/>
    <w:rsid w:val="001F0829"/>
    <w:rsid w:val="001F4875"/>
    <w:rsid w:val="0027157A"/>
    <w:rsid w:val="002918C6"/>
    <w:rsid w:val="00296524"/>
    <w:rsid w:val="002C07A2"/>
    <w:rsid w:val="002E01F6"/>
    <w:rsid w:val="002F530F"/>
    <w:rsid w:val="00305E97"/>
    <w:rsid w:val="003134D2"/>
    <w:rsid w:val="0032023A"/>
    <w:rsid w:val="0032782B"/>
    <w:rsid w:val="00340B3D"/>
    <w:rsid w:val="00367A30"/>
    <w:rsid w:val="00386041"/>
    <w:rsid w:val="003A06D2"/>
    <w:rsid w:val="003A140D"/>
    <w:rsid w:val="003B41AB"/>
    <w:rsid w:val="003C2317"/>
    <w:rsid w:val="003C442E"/>
    <w:rsid w:val="003D1092"/>
    <w:rsid w:val="003D37CD"/>
    <w:rsid w:val="003E5531"/>
    <w:rsid w:val="0040243C"/>
    <w:rsid w:val="00406BD1"/>
    <w:rsid w:val="00426C19"/>
    <w:rsid w:val="004461B6"/>
    <w:rsid w:val="00450FD9"/>
    <w:rsid w:val="00453CE0"/>
    <w:rsid w:val="00470BBB"/>
    <w:rsid w:val="0048611E"/>
    <w:rsid w:val="004B6929"/>
    <w:rsid w:val="004C080D"/>
    <w:rsid w:val="004C1479"/>
    <w:rsid w:val="004D471F"/>
    <w:rsid w:val="004F3C52"/>
    <w:rsid w:val="00510A1E"/>
    <w:rsid w:val="005602BB"/>
    <w:rsid w:val="00570142"/>
    <w:rsid w:val="005A097D"/>
    <w:rsid w:val="005B1B6F"/>
    <w:rsid w:val="005B6CCB"/>
    <w:rsid w:val="005C54AA"/>
    <w:rsid w:val="005C7B89"/>
    <w:rsid w:val="005F7362"/>
    <w:rsid w:val="0061022F"/>
    <w:rsid w:val="0062788A"/>
    <w:rsid w:val="00641F8A"/>
    <w:rsid w:val="00672870"/>
    <w:rsid w:val="006C2B06"/>
    <w:rsid w:val="006C62DF"/>
    <w:rsid w:val="006E3217"/>
    <w:rsid w:val="006F5104"/>
    <w:rsid w:val="00735B02"/>
    <w:rsid w:val="0073745F"/>
    <w:rsid w:val="0074023F"/>
    <w:rsid w:val="007657C8"/>
    <w:rsid w:val="00771E49"/>
    <w:rsid w:val="00782208"/>
    <w:rsid w:val="007C2A14"/>
    <w:rsid w:val="007C7FD7"/>
    <w:rsid w:val="007D654A"/>
    <w:rsid w:val="007F3746"/>
    <w:rsid w:val="0081304E"/>
    <w:rsid w:val="00833132"/>
    <w:rsid w:val="008470E9"/>
    <w:rsid w:val="00857E1B"/>
    <w:rsid w:val="008672EA"/>
    <w:rsid w:val="008907C7"/>
    <w:rsid w:val="00891680"/>
    <w:rsid w:val="00894D61"/>
    <w:rsid w:val="008A0B5F"/>
    <w:rsid w:val="008B5402"/>
    <w:rsid w:val="008C086D"/>
    <w:rsid w:val="008F3BAB"/>
    <w:rsid w:val="0090527E"/>
    <w:rsid w:val="00905BB7"/>
    <w:rsid w:val="00912DA4"/>
    <w:rsid w:val="009302B8"/>
    <w:rsid w:val="009305C6"/>
    <w:rsid w:val="009740F6"/>
    <w:rsid w:val="00982F3D"/>
    <w:rsid w:val="00A21EAF"/>
    <w:rsid w:val="00A8079E"/>
    <w:rsid w:val="00A83FE7"/>
    <w:rsid w:val="00A92D66"/>
    <w:rsid w:val="00A94A91"/>
    <w:rsid w:val="00AA4262"/>
    <w:rsid w:val="00AB5A90"/>
    <w:rsid w:val="00AE4AA5"/>
    <w:rsid w:val="00AE7FA9"/>
    <w:rsid w:val="00B147EB"/>
    <w:rsid w:val="00B30E92"/>
    <w:rsid w:val="00B37781"/>
    <w:rsid w:val="00B80FAB"/>
    <w:rsid w:val="00B81C88"/>
    <w:rsid w:val="00B90E0F"/>
    <w:rsid w:val="00BA04A9"/>
    <w:rsid w:val="00BA5C83"/>
    <w:rsid w:val="00BC6A7D"/>
    <w:rsid w:val="00BD719F"/>
    <w:rsid w:val="00BE2ABA"/>
    <w:rsid w:val="00BE6ADD"/>
    <w:rsid w:val="00C177A5"/>
    <w:rsid w:val="00C23F98"/>
    <w:rsid w:val="00C6153C"/>
    <w:rsid w:val="00CC7D74"/>
    <w:rsid w:val="00CE19B1"/>
    <w:rsid w:val="00D02F97"/>
    <w:rsid w:val="00D45530"/>
    <w:rsid w:val="00D61F74"/>
    <w:rsid w:val="00DA5DA7"/>
    <w:rsid w:val="00DE3935"/>
    <w:rsid w:val="00E03D8B"/>
    <w:rsid w:val="00E07B30"/>
    <w:rsid w:val="00E2325B"/>
    <w:rsid w:val="00E24075"/>
    <w:rsid w:val="00E35F38"/>
    <w:rsid w:val="00E46F27"/>
    <w:rsid w:val="00E509CC"/>
    <w:rsid w:val="00E71A04"/>
    <w:rsid w:val="00E96342"/>
    <w:rsid w:val="00F000B1"/>
    <w:rsid w:val="00F012D3"/>
    <w:rsid w:val="00F10D04"/>
    <w:rsid w:val="00F427CE"/>
    <w:rsid w:val="00F460CE"/>
    <w:rsid w:val="00F509A8"/>
    <w:rsid w:val="00F572CB"/>
    <w:rsid w:val="00F621AF"/>
    <w:rsid w:val="00F82447"/>
    <w:rsid w:val="00FB2F32"/>
    <w:rsid w:val="00FE0F1F"/>
    <w:rsid w:val="00FF61F3"/>
    <w:rsid w:val="623A702A"/>
    <w:rsid w:val="75A55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locked/>
    <w:uiPriority w:val="99"/>
    <w:rPr>
      <w:rFonts w:cs="Times New Roman"/>
      <w:sz w:val="18"/>
      <w:szCs w:val="18"/>
    </w:rPr>
  </w:style>
  <w:style w:type="character" w:customStyle="1" w:styleId="8">
    <w:name w:val="页脚 字符"/>
    <w:link w:val="3"/>
    <w:qFormat/>
    <w:locked/>
    <w:uiPriority w:val="99"/>
    <w:rPr>
      <w:rFonts w:cs="Times New Roman"/>
      <w:sz w:val="18"/>
      <w:szCs w:val="18"/>
    </w:rPr>
  </w:style>
  <w:style w:type="character" w:customStyle="1" w:styleId="9">
    <w:name w:val="批注框文本 字符"/>
    <w:link w:val="2"/>
    <w:semiHidden/>
    <w:qFormat/>
    <w:locked/>
    <w:uiPriority w:val="99"/>
    <w:rPr>
      <w:rFonts w:cs="Times New Roman"/>
      <w:sz w:val="18"/>
      <w:szCs w:val="18"/>
    </w:rPr>
  </w:style>
  <w:style w:type="paragraph" w:customStyle="1" w:styleId="10">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520</Words>
  <Characters>2970</Characters>
  <Lines>24</Lines>
  <Paragraphs>6</Paragraphs>
  <TotalTime>476</TotalTime>
  <ScaleCrop>false</ScaleCrop>
  <LinksUpToDate>false</LinksUpToDate>
  <CharactersWithSpaces>3484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2024-07-01T00:57:45Z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B22001113A2A4E1F96070A64B687D895</vt:lpwstr>
  </property>
</Properties>
</file>