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480" w:lineRule="auto"/>
        <w:jc w:val="center"/>
        <w:rPr>
          <w:rFonts w:hint="eastAsia" w:asciiTheme="majorEastAsia" w:hAnsiTheme="majorEastAsia" w:eastAsiaTheme="majorEastAsia" w:cstheme="majorEastAsia"/>
          <w:b/>
          <w:kern w:val="2"/>
          <w:sz w:val="44"/>
          <w:szCs w:val="44"/>
          <w:highlight w:val="none"/>
        </w:rPr>
      </w:pPr>
      <w:r>
        <w:rPr>
          <w:rFonts w:hint="eastAsia" w:asciiTheme="majorEastAsia" w:hAnsiTheme="majorEastAsia" w:eastAsiaTheme="majorEastAsia" w:cstheme="majorEastAsia"/>
          <w:b/>
          <w:kern w:val="2"/>
          <w:sz w:val="44"/>
          <w:szCs w:val="44"/>
          <w:highlight w:val="none"/>
        </w:rPr>
        <w:t>保定市徐水区住房和城乡建设局</w:t>
      </w:r>
    </w:p>
    <w:p>
      <w:pPr>
        <w:widowControl w:val="0"/>
        <w:adjustRightInd/>
        <w:snapToGrid/>
        <w:spacing w:after="0" w:line="480" w:lineRule="auto"/>
        <w:jc w:val="center"/>
        <w:rPr>
          <w:rFonts w:hint="eastAsia" w:asciiTheme="majorEastAsia" w:hAnsiTheme="majorEastAsia" w:eastAsiaTheme="majorEastAsia" w:cstheme="majorEastAsia"/>
          <w:b/>
          <w:kern w:val="2"/>
          <w:sz w:val="44"/>
          <w:szCs w:val="44"/>
          <w:highlight w:val="none"/>
        </w:rPr>
      </w:pPr>
      <w:r>
        <w:rPr>
          <w:rFonts w:hint="eastAsia" w:asciiTheme="majorEastAsia" w:hAnsiTheme="majorEastAsia" w:eastAsiaTheme="majorEastAsia" w:cstheme="majorEastAsia"/>
          <w:b/>
          <w:kern w:val="2"/>
          <w:sz w:val="44"/>
          <w:szCs w:val="44"/>
          <w:highlight w:val="none"/>
        </w:rPr>
        <w:t>2022年部门</w:t>
      </w:r>
    </w:p>
    <w:p>
      <w:pPr>
        <w:widowControl w:val="0"/>
        <w:adjustRightInd/>
        <w:snapToGrid/>
        <w:spacing w:after="0" w:line="580" w:lineRule="exact"/>
        <w:jc w:val="center"/>
        <w:rPr>
          <w:rFonts w:ascii="黑体" w:hAnsi="黑体" w:eastAsia="黑体" w:cs="Times New Roman"/>
          <w:bCs/>
          <w:kern w:val="2"/>
          <w:sz w:val="48"/>
          <w:szCs w:val="48"/>
          <w:highlight w:val="none"/>
        </w:rPr>
      </w:pPr>
      <w:r>
        <w:rPr>
          <w:rFonts w:hint="eastAsia" w:asciiTheme="majorEastAsia" w:hAnsiTheme="majorEastAsia" w:eastAsiaTheme="majorEastAsia" w:cstheme="majorEastAsia"/>
          <w:b/>
          <w:kern w:val="2"/>
          <w:sz w:val="44"/>
          <w:szCs w:val="44"/>
          <w:highlight w:val="none"/>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highlight w:val="none"/>
        </w:rPr>
      </w:pPr>
      <w:r>
        <w:rPr>
          <w:rFonts w:hint="eastAsia" w:cs="Times New Roman" w:asciiTheme="minorEastAsia" w:hAnsiTheme="minorEastAsia" w:eastAsiaTheme="minorEastAsia"/>
          <w:bCs/>
          <w:kern w:val="2"/>
          <w:sz w:val="36"/>
          <w:szCs w:val="36"/>
          <w:highlight w:val="none"/>
        </w:rPr>
        <w:t>20</w:t>
      </w:r>
      <w:r>
        <w:rPr>
          <w:rFonts w:cs="Times New Roman" w:asciiTheme="minorEastAsia" w:hAnsiTheme="minorEastAsia" w:eastAsiaTheme="minorEastAsia"/>
          <w:bCs/>
          <w:kern w:val="2"/>
          <w:sz w:val="36"/>
          <w:szCs w:val="36"/>
          <w:highlight w:val="none"/>
        </w:rPr>
        <w:t>2</w:t>
      </w:r>
      <w:r>
        <w:rPr>
          <w:rFonts w:hint="eastAsia" w:cs="Times New Roman" w:asciiTheme="minorEastAsia" w:hAnsiTheme="minorEastAsia" w:eastAsiaTheme="minorEastAsia"/>
          <w:bCs/>
          <w:kern w:val="2"/>
          <w:sz w:val="36"/>
          <w:szCs w:val="36"/>
          <w:highlight w:val="none"/>
        </w:rPr>
        <w:t>3年8月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sdt>
      <w:sdtPr>
        <w:rPr>
          <w:rFonts w:ascii="Tahoma" w:hAnsi="Tahoma" w:eastAsia="微软雅黑" w:cstheme="minorBidi"/>
          <w:b w:val="0"/>
          <w:bCs w:val="0"/>
          <w:color w:val="auto"/>
          <w:sz w:val="22"/>
          <w:szCs w:val="22"/>
          <w:highlight w:val="none"/>
          <w:lang w:val="zh-CN"/>
        </w:rPr>
        <w:id w:val="8905895"/>
        <w:docPartObj>
          <w:docPartGallery w:val="Table of Contents"/>
          <w:docPartUnique/>
        </w:docPartObj>
      </w:sdtPr>
      <w:sdtEndPr>
        <w:rPr>
          <w:rFonts w:ascii="Tahoma" w:hAnsi="Tahoma" w:eastAsia="微软雅黑" w:cstheme="minorBidi"/>
          <w:b w:val="0"/>
          <w:bCs w:val="0"/>
          <w:color w:val="auto"/>
          <w:sz w:val="22"/>
          <w:szCs w:val="22"/>
          <w:highlight w:val="none"/>
          <w:lang w:val="en-US"/>
        </w:rPr>
      </w:sdtEndPr>
      <w:sdtContent>
        <w:p>
          <w:pPr>
            <w:pStyle w:val="71"/>
            <w:ind w:firstLine="440" w:firstLineChars="200"/>
            <w:jc w:val="center"/>
            <w:rPr>
              <w:color w:val="auto"/>
              <w:sz w:val="44"/>
              <w:szCs w:val="44"/>
              <w:highlight w:val="none"/>
              <w:lang w:val="zh-CN"/>
            </w:rPr>
          </w:pPr>
          <w:r>
            <w:rPr>
              <w:color w:val="auto"/>
              <w:sz w:val="44"/>
              <w:szCs w:val="44"/>
              <w:highlight w:val="none"/>
              <w:lang w:val="zh-CN"/>
            </w:rPr>
            <w:t>目录</w:t>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TOC \o "1-3" \h \z \u </w:instrText>
          </w:r>
          <w:r>
            <w:rPr>
              <w:rFonts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"_Toc25184" </w:instrText>
          </w:r>
          <w:r>
            <w:rPr>
              <w:highlight w:val="none"/>
            </w:rPr>
            <w:fldChar w:fldCharType="separate"/>
          </w:r>
          <w:r>
            <w:rPr>
              <w:rFonts w:hint="eastAsia" w:asciiTheme="majorEastAsia" w:hAnsiTheme="majorEastAsia" w:eastAsiaTheme="majorEastAsia" w:cstheme="majorEastAsia"/>
              <w:b/>
              <w:bCs/>
              <w:sz w:val="24"/>
              <w:highlight w:val="none"/>
            </w:rPr>
            <w:t>第一部分   摘  要</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_Toc25184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"_Toc4346" </w:instrText>
          </w:r>
          <w:r>
            <w:rPr>
              <w:highlight w:val="none"/>
            </w:rPr>
            <w:fldChar w:fldCharType="separate"/>
          </w:r>
          <w:r>
            <w:rPr>
              <w:rFonts w:hint="eastAsia" w:asciiTheme="majorEastAsia" w:hAnsiTheme="majorEastAsia" w:eastAsiaTheme="majorEastAsia" w:cstheme="majorEastAsia"/>
              <w:b/>
              <w:bCs/>
              <w:sz w:val="24"/>
              <w:highlight w:val="none"/>
            </w:rPr>
            <w:t>第二部分   绩效评价报告</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_Toc4346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4</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"_Toc427" </w:instrText>
          </w:r>
          <w:r>
            <w:rPr>
              <w:highlight w:val="none"/>
            </w:rPr>
            <w:fldChar w:fldCharType="separate"/>
          </w:r>
          <w:r>
            <w:rPr>
              <w:rFonts w:hint="eastAsia" w:asciiTheme="majorEastAsia" w:hAnsiTheme="majorEastAsia" w:eastAsiaTheme="majorEastAsia" w:cstheme="majorEastAsia"/>
              <w:b/>
              <w:bCs/>
              <w:sz w:val="24"/>
              <w:highlight w:val="none"/>
            </w:rPr>
            <w:t>一、保定市徐水区住房和城乡建设局基本情况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lang w:val="en-US" w:eastAsia="zh-CN"/>
            </w:rPr>
            <w:t>4</w:t>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"_Toc11473" </w:instrText>
          </w:r>
          <w:r>
            <w:rPr>
              <w:highlight w:val="none"/>
            </w:rPr>
            <w:fldChar w:fldCharType="separate"/>
          </w:r>
          <w:r>
            <w:rPr>
              <w:rFonts w:hint="eastAsia" w:asciiTheme="majorEastAsia" w:hAnsiTheme="majorEastAsia" w:eastAsiaTheme="majorEastAsia" w:cstheme="majorEastAsia"/>
              <w:sz w:val="24"/>
              <w:highlight w:val="none"/>
            </w:rPr>
            <w:t>（一）部门职责和工作活动</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4</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"_Toc7075" </w:instrText>
          </w:r>
          <w:r>
            <w:rPr>
              <w:highlight w:val="none"/>
            </w:rPr>
            <w:fldChar w:fldCharType="separate"/>
          </w:r>
          <w:r>
            <w:rPr>
              <w:rFonts w:hint="eastAsia" w:asciiTheme="majorEastAsia" w:hAnsiTheme="majorEastAsia" w:eastAsiaTheme="majorEastAsia" w:cstheme="majorEastAsia"/>
              <w:sz w:val="24"/>
              <w:highlight w:val="none"/>
            </w:rPr>
            <w:t>（二）部门年度发展规划总体目标和职责分类绩效目标</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4</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"_Toc1678" </w:instrText>
          </w:r>
          <w:r>
            <w:rPr>
              <w:highlight w:val="none"/>
            </w:rPr>
            <w:fldChar w:fldCharType="separate"/>
          </w:r>
          <w:r>
            <w:rPr>
              <w:rFonts w:hint="eastAsia" w:asciiTheme="majorEastAsia" w:hAnsiTheme="majorEastAsia" w:eastAsiaTheme="majorEastAsia" w:cstheme="majorEastAsia"/>
              <w:sz w:val="24"/>
              <w:highlight w:val="none"/>
            </w:rPr>
            <w:t>（三）部门预算收入及决算收入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_Toc1678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"_Toc18197" </w:instrText>
          </w:r>
          <w:r>
            <w:rPr>
              <w:highlight w:val="none"/>
            </w:rPr>
            <w:fldChar w:fldCharType="separate"/>
          </w:r>
          <w:r>
            <w:rPr>
              <w:rFonts w:hint="eastAsia" w:asciiTheme="majorEastAsia" w:hAnsiTheme="majorEastAsia" w:eastAsiaTheme="majorEastAsia" w:cstheme="majorEastAsia"/>
              <w:sz w:val="24"/>
              <w:highlight w:val="none"/>
            </w:rPr>
            <w:t>（四）预算支出及决算支出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8</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"_Toc19291" </w:instrText>
          </w:r>
          <w:r>
            <w:rPr>
              <w:highlight w:val="none"/>
            </w:rPr>
            <w:fldChar w:fldCharType="separate"/>
          </w:r>
          <w:r>
            <w:rPr>
              <w:rFonts w:hint="eastAsia" w:asciiTheme="majorEastAsia" w:hAnsiTheme="majorEastAsia" w:eastAsiaTheme="majorEastAsia" w:cstheme="majorEastAsia"/>
              <w:sz w:val="24"/>
              <w:highlight w:val="none"/>
            </w:rPr>
            <w:t>（五）“三公”经费预算安排及支出情况</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1</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lang w:val="en-US" w:eastAsia="zh-CN"/>
            </w:rPr>
            <w:t>1</w:t>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"_Toc20454" </w:instrText>
          </w:r>
          <w:r>
            <w:rPr>
              <w:highlight w:val="none"/>
            </w:rPr>
            <w:fldChar w:fldCharType="separate"/>
          </w:r>
          <w:r>
            <w:rPr>
              <w:rFonts w:hint="eastAsia" w:asciiTheme="majorEastAsia" w:hAnsiTheme="majorEastAsia" w:eastAsiaTheme="majorEastAsia" w:cstheme="majorEastAsia"/>
              <w:b/>
              <w:bCs/>
              <w:sz w:val="24"/>
              <w:highlight w:val="none"/>
            </w:rPr>
            <w:t>二、部门整体支出绩效评价指标体系设定情况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_Toc20454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"_Toc9569" </w:instrText>
          </w:r>
          <w:r>
            <w:rPr>
              <w:highlight w:val="none"/>
            </w:rPr>
            <w:fldChar w:fldCharType="separate"/>
          </w:r>
          <w:r>
            <w:rPr>
              <w:rFonts w:hint="eastAsia" w:asciiTheme="majorEastAsia" w:hAnsiTheme="majorEastAsia" w:eastAsiaTheme="majorEastAsia" w:cstheme="majorEastAsia"/>
              <w:sz w:val="24"/>
              <w:highlight w:val="none"/>
            </w:rPr>
            <w:t>（一）投入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_Toc9569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12</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"_Toc30221" </w:instrText>
          </w:r>
          <w:r>
            <w:rPr>
              <w:highlight w:val="none"/>
            </w:rPr>
            <w:fldChar w:fldCharType="separate"/>
          </w:r>
          <w:r>
            <w:rPr>
              <w:rFonts w:hint="eastAsia" w:asciiTheme="majorEastAsia" w:hAnsiTheme="majorEastAsia" w:eastAsiaTheme="majorEastAsia" w:cstheme="majorEastAsia"/>
              <w:sz w:val="24"/>
              <w:highlight w:val="none"/>
            </w:rPr>
            <w:t>（二）过程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_Toc30221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"_Toc24932" </w:instrText>
          </w:r>
          <w:r>
            <w:rPr>
              <w:highlight w:val="none"/>
            </w:rPr>
            <w:fldChar w:fldCharType="separate"/>
          </w:r>
          <w:r>
            <w:rPr>
              <w:rFonts w:hint="eastAsia" w:asciiTheme="majorEastAsia" w:hAnsiTheme="majorEastAsia" w:eastAsiaTheme="majorEastAsia" w:cstheme="majorEastAsia"/>
              <w:sz w:val="24"/>
              <w:highlight w:val="none"/>
            </w:rPr>
            <w:t>（三）产出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_Toc24932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"_Toc21821" </w:instrText>
          </w:r>
          <w:r>
            <w:rPr>
              <w:highlight w:val="none"/>
            </w:rPr>
            <w:fldChar w:fldCharType="separate"/>
          </w:r>
          <w:r>
            <w:rPr>
              <w:rFonts w:hint="eastAsia" w:asciiTheme="majorEastAsia" w:hAnsiTheme="majorEastAsia" w:eastAsiaTheme="majorEastAsia" w:cstheme="majorEastAsia"/>
              <w:sz w:val="24"/>
              <w:highlight w:val="none"/>
            </w:rPr>
            <w:t>（四）效果</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_Toc21821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"_Toc11842" </w:instrText>
          </w:r>
          <w:r>
            <w:rPr>
              <w:highlight w:val="none"/>
            </w:rPr>
            <w:fldChar w:fldCharType="separate"/>
          </w:r>
          <w:r>
            <w:rPr>
              <w:rFonts w:hint="eastAsia" w:asciiTheme="majorEastAsia" w:hAnsiTheme="majorEastAsia" w:eastAsiaTheme="majorEastAsia" w:cstheme="majorEastAsia"/>
              <w:b/>
              <w:bCs/>
              <w:sz w:val="24"/>
              <w:highlight w:val="none"/>
            </w:rPr>
            <w:t>三、综合绩效评价工作情况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_Toc11842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14</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"_Toc17138" </w:instrText>
          </w:r>
          <w:r>
            <w:rPr>
              <w:highlight w:val="none"/>
            </w:rPr>
            <w:fldChar w:fldCharType="separate"/>
          </w:r>
          <w:r>
            <w:rPr>
              <w:rFonts w:hint="eastAsia" w:asciiTheme="majorEastAsia" w:hAnsiTheme="majorEastAsia" w:eastAsiaTheme="majorEastAsia" w:cstheme="majorEastAsia"/>
              <w:sz w:val="24"/>
              <w:highlight w:val="none"/>
            </w:rPr>
            <w:t>（一）绩效评价目的</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_Toc17138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"_Toc11607" </w:instrText>
          </w:r>
          <w:r>
            <w:rPr>
              <w:highlight w:val="none"/>
            </w:rPr>
            <w:fldChar w:fldCharType="separate"/>
          </w:r>
          <w:r>
            <w:rPr>
              <w:rFonts w:hint="eastAsia" w:asciiTheme="majorEastAsia" w:hAnsiTheme="majorEastAsia" w:eastAsiaTheme="majorEastAsia" w:cstheme="majorEastAsia"/>
              <w:sz w:val="24"/>
              <w:highlight w:val="none"/>
            </w:rPr>
            <w:t>（二）绩效评价依据</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_Toc11607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"_Toc7609" </w:instrText>
          </w:r>
          <w:r>
            <w:rPr>
              <w:highlight w:val="none"/>
            </w:rPr>
            <w:fldChar w:fldCharType="separate"/>
          </w:r>
          <w:r>
            <w:rPr>
              <w:rFonts w:hint="eastAsia" w:asciiTheme="majorEastAsia" w:hAnsiTheme="majorEastAsia" w:eastAsiaTheme="majorEastAsia" w:cstheme="majorEastAsia"/>
              <w:sz w:val="24"/>
              <w:highlight w:val="none"/>
            </w:rPr>
            <w:t>（三）绩效评价内容</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_Toc7609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15</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"_Toc789" </w:instrText>
          </w:r>
          <w:r>
            <w:rPr>
              <w:highlight w:val="none"/>
            </w:rPr>
            <w:fldChar w:fldCharType="separate"/>
          </w:r>
          <w:r>
            <w:rPr>
              <w:rFonts w:hint="eastAsia" w:asciiTheme="majorEastAsia" w:hAnsiTheme="majorEastAsia" w:eastAsiaTheme="majorEastAsia" w:cstheme="majorEastAsia"/>
              <w:sz w:val="24"/>
              <w:highlight w:val="none"/>
            </w:rPr>
            <w:t>（四）绩效评价原则</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_Toc789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15</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"_Toc8171" </w:instrText>
          </w:r>
          <w:r>
            <w:rPr>
              <w:highlight w:val="none"/>
            </w:rPr>
            <w:fldChar w:fldCharType="separate"/>
          </w:r>
          <w:r>
            <w:rPr>
              <w:rFonts w:hint="eastAsia" w:asciiTheme="majorEastAsia" w:hAnsiTheme="majorEastAsia" w:eastAsiaTheme="majorEastAsia" w:cstheme="majorEastAsia"/>
              <w:sz w:val="24"/>
              <w:highlight w:val="none"/>
            </w:rPr>
            <w:t>（五）绩效评价方法</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_Toc8171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16</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"_Toc20821" </w:instrText>
          </w:r>
          <w:r>
            <w:rPr>
              <w:highlight w:val="none"/>
            </w:rPr>
            <w:fldChar w:fldCharType="separate"/>
          </w:r>
          <w:r>
            <w:rPr>
              <w:rFonts w:hint="eastAsia" w:asciiTheme="majorEastAsia" w:hAnsiTheme="majorEastAsia" w:eastAsiaTheme="majorEastAsia" w:cstheme="majorEastAsia"/>
              <w:sz w:val="24"/>
              <w:highlight w:val="none"/>
            </w:rPr>
            <w:t>（六）绩效评价工作过程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_Toc20821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16</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"_Toc6467" </w:instrText>
          </w:r>
          <w:r>
            <w:rPr>
              <w:highlight w:val="none"/>
            </w:rPr>
            <w:fldChar w:fldCharType="separate"/>
          </w:r>
          <w:r>
            <w:rPr>
              <w:rFonts w:hint="eastAsia" w:asciiTheme="majorEastAsia" w:hAnsiTheme="majorEastAsia" w:eastAsiaTheme="majorEastAsia" w:cstheme="majorEastAsia"/>
              <w:b/>
              <w:bCs/>
              <w:sz w:val="24"/>
              <w:highlight w:val="none"/>
            </w:rPr>
            <w:t>四、绩效评价评分情况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_Toc6467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17</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"_Toc4390" </w:instrText>
          </w:r>
          <w:r>
            <w:rPr>
              <w:highlight w:val="none"/>
            </w:rPr>
            <w:fldChar w:fldCharType="separate"/>
          </w:r>
          <w:r>
            <w:rPr>
              <w:rFonts w:hint="eastAsia" w:asciiTheme="majorEastAsia" w:hAnsiTheme="majorEastAsia" w:eastAsiaTheme="majorEastAsia" w:cstheme="majorEastAsia"/>
              <w:sz w:val="24"/>
              <w:highlight w:val="none"/>
            </w:rPr>
            <w:t>（一）投入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_Toc4390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18</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"_Toc19940" </w:instrText>
          </w:r>
          <w:r>
            <w:rPr>
              <w:highlight w:val="none"/>
            </w:rPr>
            <w:fldChar w:fldCharType="separate"/>
          </w:r>
          <w:r>
            <w:rPr>
              <w:rFonts w:hint="eastAsia" w:asciiTheme="majorEastAsia" w:hAnsiTheme="majorEastAsia" w:eastAsiaTheme="majorEastAsia" w:cstheme="majorEastAsia"/>
              <w:sz w:val="24"/>
              <w:highlight w:val="none"/>
            </w:rPr>
            <w:t>（二）过程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_Toc19940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21</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"_Toc12330" </w:instrText>
          </w:r>
          <w:r>
            <w:rPr>
              <w:highlight w:val="none"/>
            </w:rPr>
            <w:fldChar w:fldCharType="separate"/>
          </w:r>
          <w:r>
            <w:rPr>
              <w:rFonts w:hint="eastAsia" w:asciiTheme="majorEastAsia" w:hAnsiTheme="majorEastAsia" w:eastAsiaTheme="majorEastAsia" w:cstheme="majorEastAsia"/>
              <w:sz w:val="24"/>
              <w:highlight w:val="none"/>
            </w:rPr>
            <w:t>（三）产出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_Toc12330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28</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"_Toc28363" </w:instrText>
          </w:r>
          <w:r>
            <w:rPr>
              <w:highlight w:val="none"/>
            </w:rPr>
            <w:fldChar w:fldCharType="separate"/>
          </w:r>
          <w:r>
            <w:rPr>
              <w:rFonts w:hint="eastAsia" w:asciiTheme="majorEastAsia" w:hAnsiTheme="majorEastAsia" w:eastAsiaTheme="majorEastAsia" w:cstheme="majorEastAsia"/>
              <w:sz w:val="24"/>
              <w:highlight w:val="none"/>
            </w:rPr>
            <w:t>（四）效果</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lang w:val="en-US" w:eastAsia="zh-CN"/>
            </w:rPr>
            <w:t>1</w:t>
          </w:r>
        </w:p>
        <w:p>
          <w:pPr>
            <w:pStyle w:val="18"/>
            <w:tabs>
              <w:tab w:val="right" w:leader="dot" w:pos="8312"/>
            </w:tabs>
            <w:spacing w:line="312" w:lineRule="auto"/>
            <w:ind w:left="0" w:leftChars="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"_Toc13757" </w:instrText>
          </w:r>
          <w:r>
            <w:rPr>
              <w:highlight w:val="none"/>
            </w:rPr>
            <w:fldChar w:fldCharType="separate"/>
          </w:r>
          <w:r>
            <w:rPr>
              <w:rFonts w:hint="eastAsia" w:asciiTheme="majorEastAsia" w:hAnsiTheme="majorEastAsia" w:eastAsiaTheme="majorEastAsia" w:cstheme="majorEastAsia"/>
              <w:b/>
              <w:bCs/>
              <w:sz w:val="24"/>
              <w:highlight w:val="none"/>
            </w:rPr>
            <w:t>五、绩效评价发现的问题</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_Toc13757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32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lang w:val="en-US" w:eastAsia="zh-CN"/>
            </w:rPr>
            <w:t>2</w:t>
          </w:r>
        </w:p>
        <w:p>
          <w:pPr>
            <w:pStyle w:val="18"/>
            <w:tabs>
              <w:tab w:val="right" w:leader="dot" w:pos="8312"/>
            </w:tabs>
            <w:spacing w:line="312" w:lineRule="auto"/>
            <w:ind w:left="0" w:leftChars="0"/>
            <w:rPr>
              <w:b/>
              <w:bCs/>
              <w:highlight w:val="none"/>
            </w:rPr>
          </w:pPr>
          <w:r>
            <w:rPr>
              <w:highlight w:val="none"/>
            </w:rPr>
            <w:fldChar w:fldCharType="begin"/>
          </w:r>
          <w:r>
            <w:rPr>
              <w:highlight w:val="none"/>
            </w:rPr>
            <w:instrText xml:space="preserve"> HYPERLINK \l "_Toc20723" </w:instrText>
          </w:r>
          <w:r>
            <w:rPr>
              <w:highlight w:val="none"/>
            </w:rPr>
            <w:fldChar w:fldCharType="separate"/>
          </w:r>
          <w:r>
            <w:rPr>
              <w:rFonts w:hint="eastAsia" w:asciiTheme="majorEastAsia" w:hAnsiTheme="majorEastAsia" w:eastAsiaTheme="majorEastAsia" w:cstheme="majorEastAsia"/>
              <w:b/>
              <w:bCs/>
              <w:sz w:val="24"/>
              <w:highlight w:val="none"/>
            </w:rPr>
            <w:t>六、绩效评价意见及建议</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_Toc20723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32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spacing w:line="312" w:lineRule="auto"/>
            <w:ind w:firstLine="440" w:firstLineChars="200"/>
            <w:jc w:val="both"/>
            <w:rPr>
              <w:highlight w:val="none"/>
            </w:rPr>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highlight w:val="none"/>
            </w:rPr>
            <w:fldChar w:fldCharType="end"/>
          </w:r>
        </w:p>
      </w:sdtContent>
    </w:sdt>
    <w:p>
      <w:pPr>
        <w:pStyle w:val="3"/>
        <w:spacing w:line="540" w:lineRule="exact"/>
        <w:jc w:val="center"/>
        <w:rPr>
          <w:rFonts w:ascii="黑体" w:hAnsi="黑体"/>
          <w:b w:val="0"/>
          <w:highlight w:val="none"/>
        </w:rPr>
      </w:pPr>
      <w:bookmarkStart w:id="0" w:name="_Toc25184"/>
      <w:r>
        <w:rPr>
          <w:rFonts w:hint="eastAsia" w:ascii="黑体" w:hAnsi="黑体"/>
          <w:b w:val="0"/>
          <w:highlight w:val="none"/>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2年部门整体支出情况开展了绩效自评价工作。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保定市徐水区住房和城乡建设局为正科级行政单位，经费保障形式为财政拨款，下设3个股室，主要职责有贯彻执行国家、省、市、区相关建设工作的法规、方针、政策；推进住房制度改革，依据上级住房政策，拟定适合本区的住房制度改革的具体方案并组织实施；监督管理建筑市场，规范市场各方主体行为；参与工程建设的前期准备工作，全面负责工程建设实施阶段的管理工作，监督检察工程质量及施工安全等。</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2022年部门整体支出绩效评价指标体系共设置4个一级指标、7个二级指标、27个三级指标，从投入、过程、产出、效果四个方面对</w:t>
      </w:r>
      <w:r>
        <w:rPr>
          <w:rFonts w:hint="eastAsia" w:ascii="仿宋_GB2312" w:eastAsia="仿宋_GB2312" w:cs="DengXian-Regular"/>
          <w:sz w:val="32"/>
          <w:szCs w:val="32"/>
          <w:highlight w:val="none"/>
          <w:lang w:val="en-US" w:eastAsia="zh-CN"/>
        </w:rPr>
        <w:t>保定市徐水</w:t>
      </w:r>
      <w:r>
        <w:rPr>
          <w:rFonts w:hint="eastAsia" w:ascii="仿宋_GB2312" w:eastAsia="仿宋_GB2312" w:cs="DengXian-Regular"/>
          <w:sz w:val="32"/>
          <w:szCs w:val="32"/>
          <w:highlight w:val="none"/>
        </w:rPr>
        <w:t>区住房和城乡建设局部门整体支出情况评分定级。指标体系设定满分为100分，绩效评价分值≥90为“优”；80≤分值＜90为“良”；60≤分值＜80为“合格”；60分以下为“差”。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2022年部门整体支出综合评价得分为90.88分，评价等级为“优”。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经评价，</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1.预算决算差额较大</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收入、支出预算数均为4,075.99万元，决算收入、支出预算数均63,918.74万元，较预算增加59,842.75万元，增加比例1,468.18%。决算数较预算数增加的主要原因是节能环保支出、城乡社区支出、住房保障支出增加，以及比预算增加了卫生健康支出、其他支出。</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2.预算调整较多</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2022年预算调增59,842.75万元，2022年当年调整预算占年初预算的1,468.18%，预算调整较多。</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1.提高预算编制质量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部门预算编制工作要全面反映和体现部门职责，根据具体情况及时调整预算的编制，缩小预算与决算差额，减少中期预算追加，提高预算编制质量，发挥预算约束作用。</w:t>
      </w:r>
      <w:bookmarkStart w:id="1" w:name="_Toc4346"/>
    </w:p>
    <w:p>
      <w:pPr>
        <w:pStyle w:val="3"/>
        <w:spacing w:line="540" w:lineRule="exact"/>
        <w:jc w:val="center"/>
        <w:rPr>
          <w:rFonts w:ascii="黑体" w:hAnsi="黑体"/>
          <w:b w:val="0"/>
          <w:highlight w:val="none"/>
        </w:rPr>
      </w:pPr>
      <w:r>
        <w:rPr>
          <w:rFonts w:hint="eastAsia" w:ascii="黑体" w:hAnsi="黑体"/>
          <w:b w:val="0"/>
          <w:highlight w:val="none"/>
        </w:rPr>
        <w:t>第二部分   绩效评价报告</w:t>
      </w:r>
      <w:bookmarkEnd w:id="1"/>
    </w:p>
    <w:p>
      <w:pPr>
        <w:pStyle w:val="3"/>
        <w:spacing w:before="0" w:after="0" w:line="360" w:lineRule="auto"/>
        <w:ind w:firstLine="643" w:firstLineChars="200"/>
        <w:rPr>
          <w:rFonts w:ascii="楷体" w:hAnsi="楷体" w:eastAsia="楷体" w:cs="楷体"/>
          <w:highlight w:val="none"/>
        </w:rPr>
      </w:pPr>
      <w:bookmarkStart w:id="2" w:name="_Toc492652763"/>
      <w:bookmarkStart w:id="3" w:name="_Toc427"/>
      <w:r>
        <w:rPr>
          <w:rFonts w:hint="eastAsia" w:ascii="楷体" w:hAnsi="楷体" w:eastAsia="楷体" w:cs="楷体"/>
          <w:highlight w:val="none"/>
        </w:rPr>
        <w:t>一、保定市徐水区住房和城乡建设局基本情况</w:t>
      </w:r>
      <w:bookmarkEnd w:id="2"/>
      <w:bookmarkEnd w:id="3"/>
      <w:bookmarkStart w:id="4" w:name="_Toc492652764"/>
    </w:p>
    <w:p>
      <w:pPr>
        <w:pStyle w:val="4"/>
        <w:spacing w:before="0" w:after="0"/>
        <w:ind w:firstLine="643" w:firstLineChars="200"/>
        <w:jc w:val="both"/>
        <w:rPr>
          <w:rFonts w:ascii="仿宋_GB2312" w:hAnsi="Tahoma" w:cs="DengXian-Regular"/>
          <w:sz w:val="32"/>
          <w:highlight w:val="none"/>
        </w:rPr>
      </w:pPr>
      <w:bookmarkStart w:id="5" w:name="_Toc11473"/>
      <w:r>
        <w:rPr>
          <w:rFonts w:hint="eastAsia" w:ascii="仿宋_GB2312" w:hAnsi="Tahoma" w:cs="DengXian-Regular"/>
          <w:sz w:val="32"/>
          <w:highlight w:val="none"/>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根据中共保定市徐水区委办公室、保定市徐水区人民政府办公室关于印发《保定市徐水区住房和城乡建设局职能配置内设机构和人员编制规定》的通知，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为区政府工作部门，正科级单位，下设3个股室。</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根据绩效预算管理改革的相关要求，按照“部门职责—工作活动绩效目标”的层级设立了绩效预算架构，职责活动包括住房保障管理；城乡建设管理；建筑业、房地产市场监管；推进建筑节能；住建政务管理共五部分。</w:t>
      </w:r>
      <w:bookmarkStart w:id="6" w:name="_Toc465149499"/>
      <w:bookmarkStart w:id="7" w:name="_Toc492652765"/>
    </w:p>
    <w:p>
      <w:pPr>
        <w:pStyle w:val="4"/>
        <w:spacing w:before="0" w:after="0"/>
        <w:ind w:firstLine="643" w:firstLineChars="200"/>
        <w:jc w:val="both"/>
        <w:rPr>
          <w:rFonts w:ascii="仿宋_GB2312" w:hAnsi="Tahoma" w:cs="DengXian-Regular"/>
          <w:sz w:val="32"/>
          <w:highlight w:val="none"/>
        </w:rPr>
      </w:pPr>
      <w:bookmarkStart w:id="8" w:name="_Toc7075"/>
      <w:r>
        <w:rPr>
          <w:rFonts w:hint="eastAsia" w:ascii="仿宋_GB2312" w:hAnsi="Tahoma" w:cs="DengXian-Regular"/>
          <w:sz w:val="32"/>
          <w:highlight w:val="none"/>
        </w:rPr>
        <w:t>（二）</w:t>
      </w:r>
      <w:bookmarkEnd w:id="6"/>
      <w:r>
        <w:rPr>
          <w:rFonts w:hint="eastAsia" w:ascii="仿宋_GB2312" w:hAnsi="Tahoma" w:cs="DengXian-Regular"/>
          <w:sz w:val="32"/>
          <w:highlight w:val="none"/>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按照2022年绩效预算编制要求，</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设置的年度发展规划总体目标为：</w:t>
      </w:r>
    </w:p>
    <w:p>
      <w:pPr>
        <w:spacing w:after="0" w:line="360" w:lineRule="auto"/>
        <w:ind w:firstLine="640" w:firstLineChars="200"/>
        <w:jc w:val="both"/>
        <w:textAlignment w:val="baseline"/>
        <w:rPr>
          <w:rFonts w:ascii="仿宋_GB2312" w:eastAsia="仿宋_GB2312" w:cs="DengXian-Regular"/>
          <w:sz w:val="32"/>
          <w:szCs w:val="32"/>
          <w:highlight w:val="none"/>
        </w:rPr>
      </w:pPr>
      <w:bookmarkStart w:id="9" w:name="_Toc1678"/>
      <w:bookmarkStart w:id="10" w:name="_Toc465149500"/>
      <w:bookmarkStart w:id="11" w:name="_Toc492652766"/>
      <w:r>
        <w:rPr>
          <w:rFonts w:hint="eastAsia" w:ascii="仿宋_GB2312" w:eastAsia="仿宋_GB2312" w:cs="DengXian-Regular"/>
          <w:sz w:val="32"/>
          <w:szCs w:val="32"/>
          <w:highlight w:val="none"/>
        </w:rPr>
        <w:t>以习近平新时代中国特色社会主义思想为指导，认真贯彻落实党的十九大和十九届二中、三中、四中、五中全会精神，巩固深化“不忘初心、牢记使命”主题教育，坚持以人民为中心，按照保定城区功能，进一步完善基础设施，严格房地产管控，健全住房保障体系，改善人居环境；稳步提升城市建设质量安全水平，加大大气污染防治力度，稳步提高环境质量，抓好常态化疫情防控工作，不断满足人民日益增长的美好生活需要，加快推进“经济强区、幸福徐水”建设。</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职责分类绩效目标为：</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将根据区政府工作安排，提升城市基础设施水平，改善城镇群众居住条件，改善农村住房条件，提升机关及行业信息化水平，保障业务系统安全稳定运行，加强建筑业、房地产市场监管，促进房地产市场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1、承担区老旧小区改造职责，完成全区老旧小区改造任务</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提高居民的生活质量，美化环境，完成老旧小区改造年度任务。</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2、加强市政公用事业建设、市政公用设施安全和应急管理条件；加强村镇建设，改善农村人居环境，实现城乡统筹发展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保障区政府重点工作顺利完成，对益民奶牛养殖场进行合理补偿，维护社会稳定。进一步巩固</w:t>
      </w:r>
      <w:r>
        <w:rPr>
          <w:rFonts w:hint="eastAsia" w:ascii="仿宋_GB2312" w:eastAsia="仿宋_GB2312" w:cs="DengXian-Regular"/>
          <w:sz w:val="32"/>
          <w:szCs w:val="32"/>
          <w:highlight w:val="none"/>
          <w:lang w:val="en-US" w:eastAsia="zh-CN"/>
        </w:rPr>
        <w:t>拓展</w:t>
      </w:r>
      <w:bookmarkStart w:id="80" w:name="_GoBack"/>
      <w:bookmarkEnd w:id="80"/>
      <w:r>
        <w:rPr>
          <w:rFonts w:hint="eastAsia" w:ascii="仿宋_GB2312" w:eastAsia="仿宋_GB2312" w:cs="DengXian-Regular"/>
          <w:sz w:val="32"/>
          <w:szCs w:val="32"/>
          <w:highlight w:val="none"/>
        </w:rPr>
        <w:t>脱贫攻坚成果，建立健全保障农村住房安全动态监测长效机制，对新增危房及时发现，及时采取措施，确保所有保障对象住房安全，不断提升农村住房建设质量和成果，持续推动乡村全面振兴。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3、加强干部队伍建设，激励工作热情，提高整体业务素质和行业管理服务水平</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提升</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办公环境，方便员工出行，改善住建整体形象，使本单位职工更好地履行部门职责。</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4、加强建筑业、房地产市场监管，促进房地产市场健康发展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规范房地产市场秩序、监督管理房地产市场。落实房地产市场监管、房地产开发、房屋租赁、房屋面积管理、房地产估价与经纪管理、物业管理，加强市场监测，促进全区房地产市场持续健康发展。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预算收入</w:t>
      </w:r>
      <w:r>
        <w:rPr>
          <w:rFonts w:hint="eastAsia" w:ascii="仿宋" w:hAnsi="仿宋" w:eastAsia="仿宋"/>
          <w:sz w:val="32"/>
          <w:szCs w:val="32"/>
          <w:highlight w:val="none"/>
        </w:rPr>
        <w:t>4,075.99</w:t>
      </w:r>
      <w:r>
        <w:rPr>
          <w:rFonts w:hint="eastAsia" w:ascii="仿宋_GB2312" w:eastAsia="仿宋_GB2312" w:cs="DengXian-Regular"/>
          <w:sz w:val="32"/>
          <w:szCs w:val="32"/>
          <w:highlight w:val="none"/>
        </w:rPr>
        <w:t>万元，其中一般公共预算拨款</w:t>
      </w:r>
      <w:r>
        <w:rPr>
          <w:rFonts w:hint="eastAsia" w:ascii="仿宋" w:hAnsi="仿宋" w:eastAsia="仿宋"/>
          <w:sz w:val="32"/>
          <w:szCs w:val="32"/>
          <w:highlight w:val="none"/>
        </w:rPr>
        <w:t>4,054.32</w:t>
      </w:r>
      <w:r>
        <w:rPr>
          <w:rFonts w:hint="eastAsia" w:ascii="仿宋_GB2312" w:eastAsia="仿宋_GB2312" w:cs="DengXian-Regular"/>
          <w:sz w:val="32"/>
          <w:szCs w:val="32"/>
          <w:highlight w:val="none"/>
        </w:rPr>
        <w:t>万元，基金预算拨款</w:t>
      </w:r>
      <w:r>
        <w:rPr>
          <w:rFonts w:hint="eastAsia" w:ascii="仿宋" w:hAnsi="仿宋" w:eastAsia="仿宋"/>
          <w:sz w:val="32"/>
          <w:szCs w:val="32"/>
          <w:highlight w:val="none"/>
        </w:rPr>
        <w:t>21.67</w:t>
      </w:r>
      <w:r>
        <w:rPr>
          <w:rFonts w:hint="eastAsia" w:ascii="仿宋_GB2312" w:eastAsia="仿宋_GB2312" w:cs="DengXian-Regular"/>
          <w:sz w:val="32"/>
          <w:szCs w:val="32"/>
          <w:highlight w:val="none"/>
        </w:rPr>
        <w:t>万元，一般公共预算拨款中财政拨款</w:t>
      </w:r>
      <w:r>
        <w:rPr>
          <w:rFonts w:hint="eastAsia" w:ascii="仿宋" w:hAnsi="仿宋" w:eastAsia="仿宋"/>
          <w:sz w:val="32"/>
          <w:szCs w:val="32"/>
          <w:highlight w:val="none"/>
        </w:rPr>
        <w:t>4,054.32</w:t>
      </w:r>
      <w:r>
        <w:rPr>
          <w:rFonts w:hint="eastAsia" w:ascii="仿宋_GB2312" w:eastAsia="仿宋_GB2312" w:cs="DengXian-Regular"/>
          <w:sz w:val="32"/>
          <w:szCs w:val="32"/>
          <w:highlight w:val="none"/>
        </w:rPr>
        <w:t>万元，中央财政提前通知转移支付0.00万元。预算收入按功能分类包含：社会保障和就业支出408.23万元，节能环保支出119.62万元，城乡社区支出3,324.63万元，住房保障支出223.51万元。具体预算收入详见附件2。</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决算收入63,918.74万元，其中：财政拨款收入6,507.42万元，基金预算拨款收入57,411.32万元。决算收入按功能分类包含：社会保障和就业支出431.15万元，占比0.67%；卫生健康支出91.76万元，占比0.14%；节能环保支出250.00万元，占比0.39%，城乡社区支出26,071.70万元，占比40.79%，住房保障支出2,074.13万元，占比3.24%;其他支出35,000.00万元，占比54.76%。具体决算收入详见附件2。决算收入结构如图1。</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图1 2022年度</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区住房和城乡建设局决算收入结构图</w:t>
      </w:r>
    </w:p>
    <w:p>
      <w:pPr>
        <w:spacing w:after="0" w:line="360" w:lineRule="auto"/>
        <w:jc w:val="center"/>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textAlignment w:val="baseline"/>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257675" cy="3091180"/>
            <wp:effectExtent l="19050" t="0" r="952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财政拨款决算收入比年初预算增加59,842.75万元，完成年初预算的1,568.18%。决算收入大于预算收入的主要原因为节能环保支出、城乡社区支出、住房保障支出增加，以及比预算增加了卫生健康支出、其他支出。</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预算收入与决算收入对比情况见图2。</w:t>
      </w:r>
    </w:p>
    <w:p>
      <w:pPr>
        <w:spacing w:after="0" w:line="360" w:lineRule="auto"/>
        <w:jc w:val="center"/>
        <w:rPr>
          <w:rFonts w:asciiTheme="minorEastAsia" w:hAnsiTheme="minorEastAsia" w:eastAsiaTheme="minorEastAsia" w:cstheme="minorEastAsia"/>
          <w:b/>
          <w:sz w:val="32"/>
          <w:szCs w:val="32"/>
          <w:highlight w:val="none"/>
          <w:u w:color="000000"/>
        </w:rPr>
      </w:pPr>
      <w:r>
        <w:rPr>
          <w:rFonts w:hint="eastAsia" w:asciiTheme="minorEastAsia" w:hAnsiTheme="minorEastAsia" w:eastAsiaTheme="minorEastAsia" w:cstheme="minorEastAsia"/>
          <w:b/>
          <w:sz w:val="32"/>
          <w:szCs w:val="32"/>
          <w:highlight w:val="none"/>
          <w:u w:color="000000"/>
        </w:rPr>
        <w:t>图2  2022年度</w:t>
      </w:r>
      <w:r>
        <w:rPr>
          <w:rFonts w:hint="eastAsia" w:asciiTheme="minorEastAsia" w:hAnsiTheme="minorEastAsia" w:eastAsiaTheme="minorEastAsia" w:cstheme="minorEastAsia"/>
          <w:b/>
          <w:sz w:val="32"/>
          <w:szCs w:val="32"/>
          <w:highlight w:val="none"/>
          <w:u w:color="000000"/>
          <w:lang w:val="en-US" w:eastAsia="zh-CN"/>
        </w:rPr>
        <w:t>保定市徐水</w:t>
      </w:r>
      <w:r>
        <w:rPr>
          <w:rFonts w:hint="eastAsia" w:asciiTheme="minorEastAsia" w:hAnsiTheme="minorEastAsia" w:eastAsiaTheme="minorEastAsia" w:cstheme="minorEastAsia"/>
          <w:b/>
          <w:sz w:val="32"/>
          <w:szCs w:val="32"/>
          <w:highlight w:val="none"/>
          <w:u w:color="000000"/>
        </w:rPr>
        <w:t>区住房和城乡建设局预算收入与决算收入对比图</w:t>
      </w:r>
    </w:p>
    <w:p>
      <w:pPr>
        <w:spacing w:after="0" w:line="360" w:lineRule="auto"/>
        <w:jc w:val="center"/>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829175" cy="3249930"/>
            <wp:effectExtent l="4445" t="4445" r="5080" b="2222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highlight w:val="none"/>
        </w:rPr>
      </w:pPr>
      <w:bookmarkStart w:id="12" w:name="_Toc18197"/>
      <w:r>
        <w:rPr>
          <w:rFonts w:hint="eastAsia" w:ascii="仿宋_GB2312" w:hAnsiTheme="minorEastAsia"/>
          <w:sz w:val="32"/>
          <w:highlight w:val="none"/>
        </w:rPr>
        <w:t>（四）预算支出及决算</w:t>
      </w:r>
      <w:bookmarkEnd w:id="10"/>
      <w:bookmarkEnd w:id="11"/>
      <w:r>
        <w:rPr>
          <w:rFonts w:hint="eastAsia" w:ascii="仿宋_GB2312" w:hAnsiTheme="minorEastAsia"/>
          <w:sz w:val="32"/>
          <w:highlight w:val="none"/>
        </w:rPr>
        <w:t>支出</w:t>
      </w:r>
      <w:bookmarkEnd w:id="12"/>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2022年度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预算支出安排4,075.99万元，其中：基本支出3,931.15万元，项目支出144.84万元。预算支出按功能分类包含：社会保障和就业支出408.23万元，节能环保支出119.62万元，城乡社区支出3,324.63万元，住房保障支出223.51万元。具体预算支出详见附件2。</w:t>
      </w:r>
    </w:p>
    <w:p>
      <w:pPr>
        <w:keepNext w:val="0"/>
        <w:keepLines w:val="0"/>
        <w:pageBreakBefore w:val="0"/>
        <w:widowControl/>
        <w:kinsoku/>
        <w:wordWrap/>
        <w:overflowPunct/>
        <w:topLinePunct w:val="0"/>
        <w:autoSpaceDE/>
        <w:autoSpaceDN/>
        <w:bidi w:val="0"/>
        <w:adjustRightInd w:val="0"/>
        <w:snapToGrid w:val="0"/>
        <w:spacing w:after="0" w:line="312" w:lineRule="auto"/>
        <w:ind w:firstLine="640" w:firstLineChars="200"/>
        <w:jc w:val="both"/>
        <w:textAlignment w:val="auto"/>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2022年度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决算支出为63,918.74万元，其中：基本支出3,671.20万元，项目支出60,247.54万元。决算支出按功能分类包含：社会保障和就业支出431.15万元，占比0.67%；卫生健康支出91.76万元，占比0.14%；节能环保支出250.00万元，占比0.39%，城乡社区支出26,071.70万元，占比40.79%，住房保障支出2,074.13万元，占比3.24%;其他支出35,000.00万元，占比54.76%。具体决算支出详见附件2。</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决算支出结构如图3。</w:t>
      </w:r>
    </w:p>
    <w:p>
      <w:pPr>
        <w:spacing w:after="0" w:line="360" w:lineRule="auto"/>
        <w:jc w:val="center"/>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图3  2022年度</w:t>
      </w:r>
      <w:r>
        <w:rPr>
          <w:rFonts w:hint="eastAsia" w:asciiTheme="minorEastAsia" w:hAnsiTheme="minorEastAsia" w:eastAsiaTheme="minorEastAsia" w:cstheme="minorEastAsia"/>
          <w:b/>
          <w:bCs/>
          <w:sz w:val="32"/>
          <w:szCs w:val="32"/>
          <w:highlight w:val="none"/>
          <w:u w:color="000000"/>
          <w:lang w:val="en-US" w:eastAsia="zh-CN"/>
        </w:rPr>
        <w:t>保定市徐水</w:t>
      </w:r>
      <w:r>
        <w:rPr>
          <w:rFonts w:hint="eastAsia" w:asciiTheme="minorEastAsia" w:hAnsiTheme="minorEastAsia" w:eastAsiaTheme="minorEastAsia" w:cstheme="minorEastAsia"/>
          <w:b/>
          <w:bCs/>
          <w:sz w:val="32"/>
          <w:szCs w:val="32"/>
          <w:highlight w:val="none"/>
          <w:u w:color="000000"/>
        </w:rPr>
        <w:t>区住房和城乡建设局决算支出结构图</w:t>
      </w:r>
    </w:p>
    <w:p>
      <w:pPr>
        <w:spacing w:after="0" w:line="360" w:lineRule="auto"/>
        <w:ind w:firstLine="6080" w:firstLineChars="19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单位：万元</w:t>
      </w:r>
    </w:p>
    <w:p>
      <w:pPr>
        <w:spacing w:after="0" w:line="360" w:lineRule="auto"/>
        <w:jc w:val="both"/>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5252720" cy="3155950"/>
            <wp:effectExtent l="4445" t="4445" r="19685" b="2095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highlight w:val="none"/>
        </w:rPr>
      </w:pPr>
      <w:r>
        <w:rPr>
          <w:rFonts w:hint="eastAsia" w:ascii="仿宋_GB2312" w:eastAsia="仿宋_GB2312" w:cs="DengXian-Regular"/>
          <w:sz w:val="32"/>
          <w:szCs w:val="32"/>
          <w:highlight w:val="none"/>
        </w:rPr>
        <w:t>财政拨款决算支出比年初预算增加59,842.75万元。决算支出完成年初预算的1,568.18%。决算支出大于预算支出的主要原因为节能环保支出、城乡社区支出、住房保障支出增加，以及比预算增加了卫生健康支出、其他支出。</w:t>
      </w:r>
      <w:r>
        <w:rPr>
          <w:rFonts w:hint="eastAsia" w:ascii="仿宋" w:hAnsi="仿宋" w:eastAsia="仿宋"/>
          <w:snapToGrid w:val="0"/>
          <w:sz w:val="32"/>
          <w:szCs w:val="32"/>
          <w:highlight w:val="none"/>
        </w:rPr>
        <w:t>预算支出与决算支出对比情况如图4。</w:t>
      </w:r>
    </w:p>
    <w:p>
      <w:pPr>
        <w:spacing w:after="0" w:line="360" w:lineRule="auto"/>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图4  2022年度</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区住房和城乡建设局预算支出与决算支出对比图</w:t>
      </w:r>
    </w:p>
    <w:p>
      <w:pPr>
        <w:spacing w:after="0" w:line="360" w:lineRule="auto"/>
        <w:jc w:val="center"/>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560570" cy="3201035"/>
            <wp:effectExtent l="4445" t="4445" r="698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2022年实际项目支出60,247.54万元，比年初预算增加60,102.70万元，完成年初预算的  41,595.92%，决算收入大于预算收入的主要原因为节能环保支出、城乡社区支出、住房保障支出增加，以及比预算增加了卫生健康支出、其他支出。</w:t>
      </w:r>
    </w:p>
    <w:p>
      <w:pPr>
        <w:pStyle w:val="4"/>
        <w:spacing w:before="0" w:after="0"/>
        <w:ind w:firstLine="643" w:firstLineChars="200"/>
        <w:jc w:val="both"/>
        <w:rPr>
          <w:rFonts w:ascii="仿宋_GB2312" w:hAnsi="Tahoma" w:cs="DengXian-Regular"/>
          <w:sz w:val="32"/>
          <w:highlight w:val="none"/>
        </w:rPr>
      </w:pPr>
      <w:bookmarkStart w:id="13" w:name="_Toc492652769"/>
      <w:bookmarkStart w:id="14" w:name="_Toc465149503"/>
      <w:bookmarkStart w:id="15" w:name="_Toc19291"/>
      <w:r>
        <w:rPr>
          <w:rFonts w:hint="eastAsia" w:ascii="仿宋_GB2312" w:hAnsi="Tahoma" w:cs="DengXian-Regular"/>
          <w:sz w:val="32"/>
          <w:highlight w:val="none"/>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三公”经费预算4.86万元（公务用车运行维护费4.86万元，公务接待费0.00万元），实际支出3.24万元（公务用车运行维护费3.24万元），比预算减少1.62万元，节约率33.35%。2022年“三公”经费预算数比2021年预算数减少0.74万元，决算数与2021年实际支出相比，减少-1.2万元。具体详见表1。</w:t>
      </w:r>
    </w:p>
    <w:p>
      <w:pPr>
        <w:spacing w:after="0" w:line="360" w:lineRule="auto"/>
        <w:ind w:firstLine="643" w:firstLineChars="200"/>
        <w:jc w:val="both"/>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表1  </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区住房和城乡建设局“三公”经费预算及决算明细表</w:t>
      </w:r>
    </w:p>
    <w:p>
      <w:pPr>
        <w:spacing w:after="0" w:line="540" w:lineRule="exact"/>
        <w:ind w:firstLine="420" w:firstLineChars="20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ascii="宋体" w:hAnsi="宋体" w:eastAsia="宋体" w:cs="宋体"/>
                <w:b/>
                <w:bCs/>
                <w:color w:val="000000"/>
                <w:sz w:val="21"/>
                <w:szCs w:val="21"/>
                <w:highlight w:val="none"/>
              </w:rPr>
              <w:t>202</w:t>
            </w:r>
            <w:r>
              <w:rPr>
                <w:rFonts w:hint="eastAsia" w:ascii="宋体" w:hAnsi="宋体" w:eastAsia="宋体" w:cs="宋体"/>
                <w:b/>
                <w:bCs/>
                <w:color w:val="000000"/>
                <w:sz w:val="21"/>
                <w:szCs w:val="21"/>
                <w:highlight w:val="none"/>
              </w:rPr>
              <w:t>1年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2022年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highlight w:val="none"/>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较上年支出增减金额</w:t>
            </w:r>
          </w:p>
        </w:tc>
      </w:tr>
      <w:tr>
        <w:tblPrEx>
          <w:tblCellMar>
            <w:top w:w="0" w:type="dxa"/>
            <w:left w:w="0" w:type="dxa"/>
            <w:bottom w:w="0" w:type="dxa"/>
            <w:right w:w="0" w:type="dxa"/>
          </w:tblCellMar>
        </w:tblPrEx>
        <w:trPr>
          <w:trHeight w:val="509"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5.40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2.04 </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5.60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-0.74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1.20</w:t>
            </w:r>
          </w:p>
        </w:tc>
      </w:tr>
    </w:tbl>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1、公务用车：2022年底</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车辆合计2辆，全部为机要通信用车。2022年公务用车购置及运维费年初预算4.86万元，全部为公务用车运行维护费，实际支出3.24万元，比预算减少1.62万元，节约率33.35%。2022年预算数比</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1年预算减少0.54万元，决算数与</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1年实际支出相比，减少-1.20万元。</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2、公务接待：2022年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公务接待费年初预算0.00万元，实际支出0.00万元，比预算减少了0.00万元，节约率100%。2022年预算数与2021年预算相比减少0.2万元，2022年决算数与2021年决算相比无变化。</w:t>
      </w:r>
    </w:p>
    <w:p>
      <w:pPr>
        <w:pStyle w:val="3"/>
        <w:spacing w:before="0" w:after="0" w:line="360" w:lineRule="auto"/>
        <w:ind w:firstLine="643" w:firstLineChars="200"/>
        <w:rPr>
          <w:rFonts w:ascii="黑体" w:hAnsiTheme="minorEastAsia"/>
          <w:highlight w:val="none"/>
          <w:u w:color="000000"/>
        </w:rPr>
      </w:pPr>
      <w:bookmarkStart w:id="16" w:name="_Toc20454"/>
      <w:bookmarkStart w:id="17" w:name="_Toc492652770"/>
      <w:bookmarkStart w:id="18" w:name="_Toc465149504"/>
      <w:r>
        <w:rPr>
          <w:rFonts w:hint="eastAsia" w:ascii="黑体"/>
          <w:highlight w:val="none"/>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根据绩效预算管理改革的有关政策和文件规定，绩效评价工作组以绩效预算架构为指导，以部门预算文本及相关资料为基础，制定了部门整体支出绩效评价指标体系。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highlight w:val="none"/>
          <w:u w:color="000000"/>
        </w:rPr>
      </w:pPr>
      <w:r>
        <w:rPr>
          <w:rFonts w:hint="eastAsia" w:ascii="楷体_GB2312" w:eastAsia="楷体_GB2312" w:cs="Times New Roman" w:hAnsiTheme="minorEastAsia"/>
          <w:b/>
          <w:bCs/>
          <w:kern w:val="2"/>
          <w:sz w:val="32"/>
          <w:szCs w:val="32"/>
          <w:highlight w:val="none"/>
          <w:u w:color="000000"/>
        </w:rPr>
        <w:t>（一）投入（12分）</w:t>
      </w:r>
      <w:bookmarkEnd w:id="19"/>
      <w:bookmarkEnd w:id="20"/>
    </w:p>
    <w:p>
      <w:pPr>
        <w:spacing w:after="0" w:line="360" w:lineRule="auto"/>
        <w:ind w:firstLine="640" w:firstLineChars="200"/>
        <w:jc w:val="both"/>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主要反映绩效目标设定是否合理、科学，绩效指标的制定是否清晰、可衡量，预算编制是否完整，项目预算是否细化及在职人员控制情况。</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highlight w:val="none"/>
        </w:rPr>
      </w:pPr>
      <w:bookmarkStart w:id="21" w:name="_Toc30221"/>
      <w:bookmarkStart w:id="22" w:name="_Toc492652772"/>
      <w:r>
        <w:rPr>
          <w:rFonts w:hint="eastAsia" w:ascii="楷体" w:hAnsi="楷体" w:eastAsia="楷体"/>
          <w:kern w:val="2"/>
          <w:sz w:val="32"/>
          <w:highlight w:val="none"/>
        </w:rPr>
        <w:t>（二）过程（48分）</w:t>
      </w:r>
      <w:bookmarkEnd w:id="21"/>
      <w:bookmarkEnd w:id="22"/>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主要反映预算调整、收入及支出完成情况，“三公”经费、政府采购执行情况，财务管理是否规范、资金使用是否合规，决算真实性。</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pageBreakBefore w:val="0"/>
        <w:widowControl/>
        <w:kinsoku/>
        <w:wordWrap/>
        <w:overflowPunct/>
        <w:topLinePunct w:val="0"/>
        <w:autoSpaceDE/>
        <w:autoSpaceDN/>
        <w:bidi w:val="0"/>
        <w:spacing w:before="0" w:after="0" w:line="336" w:lineRule="auto"/>
        <w:ind w:firstLine="643" w:firstLineChars="200"/>
        <w:jc w:val="both"/>
        <w:textAlignment w:val="baseline"/>
        <w:rPr>
          <w:rFonts w:ascii="楷体" w:hAnsi="楷体" w:eastAsia="楷体"/>
          <w:kern w:val="2"/>
          <w:sz w:val="32"/>
          <w:highlight w:val="none"/>
        </w:rPr>
      </w:pPr>
      <w:bookmarkStart w:id="23" w:name="_Toc24932"/>
      <w:bookmarkStart w:id="24" w:name="_Toc492652773"/>
      <w:r>
        <w:rPr>
          <w:rFonts w:hint="eastAsia" w:ascii="楷体" w:hAnsi="楷体" w:eastAsia="楷体"/>
          <w:kern w:val="2"/>
          <w:sz w:val="32"/>
          <w:highlight w:val="none"/>
        </w:rPr>
        <w:t>（三）产出（25分）</w:t>
      </w:r>
      <w:bookmarkEnd w:id="23"/>
      <w:bookmarkEnd w:id="24"/>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bookmarkStart w:id="25" w:name="_Toc492652774"/>
      <w:r>
        <w:rPr>
          <w:rFonts w:hint="eastAsia" w:ascii="仿宋_GB2312" w:eastAsia="仿宋_GB2312" w:cs="DengXian-Regular"/>
          <w:sz w:val="32"/>
          <w:szCs w:val="32"/>
          <w:highlight w:val="none"/>
        </w:rPr>
        <w:t>主要反映结转结余率、实际完成率、完成及时率、资金发放完成率、重点工作办结率。</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产出指标指标分值为25分，下设1个二级指标：责任履行，5个三级指标：结转结余率、实际完成率、完成及时率、资金发放完成率、重点工作办结率。</w:t>
      </w:r>
    </w:p>
    <w:p>
      <w:pPr>
        <w:pStyle w:val="4"/>
        <w:pageBreakBefore w:val="0"/>
        <w:widowControl/>
        <w:kinsoku/>
        <w:wordWrap/>
        <w:overflowPunct/>
        <w:topLinePunct w:val="0"/>
        <w:autoSpaceDE/>
        <w:autoSpaceDN/>
        <w:bidi w:val="0"/>
        <w:spacing w:before="0" w:after="0" w:line="336" w:lineRule="auto"/>
        <w:ind w:firstLine="643" w:firstLineChars="200"/>
        <w:jc w:val="both"/>
        <w:textAlignment w:val="baseline"/>
        <w:rPr>
          <w:rFonts w:ascii="楷体_GB2312" w:eastAsia="楷体_GB2312" w:hAnsiTheme="minorEastAsia"/>
          <w:sz w:val="32"/>
          <w:highlight w:val="none"/>
        </w:rPr>
      </w:pPr>
      <w:bookmarkStart w:id="26" w:name="_Toc21821"/>
      <w:r>
        <w:rPr>
          <w:rFonts w:hint="eastAsia" w:ascii="楷体_GB2312" w:eastAsia="楷体_GB2312" w:hAnsiTheme="minorEastAsia"/>
          <w:kern w:val="2"/>
          <w:sz w:val="32"/>
          <w:highlight w:val="none"/>
        </w:rPr>
        <w:t>（四）效果（15分）</w:t>
      </w:r>
      <w:bookmarkEnd w:id="25"/>
      <w:bookmarkEnd w:id="26"/>
    </w:p>
    <w:p>
      <w:pPr>
        <w:pageBreakBefore w:val="0"/>
        <w:widowControl/>
        <w:kinsoku/>
        <w:wordWrap/>
        <w:overflowPunct/>
        <w:topLinePunct w:val="0"/>
        <w:autoSpaceDE/>
        <w:autoSpaceDN/>
        <w:bidi w:val="0"/>
        <w:spacing w:after="0" w:line="336" w:lineRule="auto"/>
        <w:ind w:firstLine="640" w:firstLineChars="200"/>
        <w:jc w:val="both"/>
        <w:textAlignment w:val="baseline"/>
        <w:rPr>
          <w:rFonts w:hint="eastAsia" w:ascii="仿宋_GB2312" w:eastAsia="仿宋_GB2312" w:cs="DengXian-Regular"/>
          <w:sz w:val="32"/>
          <w:szCs w:val="32"/>
          <w:highlight w:val="none"/>
        </w:rPr>
      </w:pPr>
      <w:bookmarkStart w:id="27" w:name="_Toc492652775"/>
      <w:r>
        <w:rPr>
          <w:rFonts w:hint="eastAsia" w:ascii="仿宋_GB2312" w:eastAsia="仿宋_GB2312" w:cs="DengXian-Regular"/>
          <w:sz w:val="32"/>
          <w:szCs w:val="32"/>
          <w:highlight w:val="none"/>
        </w:rPr>
        <w:t>主要反映部门履行职责对社会发展所带来的直接或间接效益及社会公众或部门的服务对象对部门履职效果的满意程度。</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效果指标指标分值15分，下设1个二级指标：履职效率，2个三级指标：部门整体效益和考核满意度。</w:t>
      </w:r>
    </w:p>
    <w:p>
      <w:pPr>
        <w:pStyle w:val="3"/>
        <w:spacing w:before="0" w:after="0" w:line="360" w:lineRule="auto"/>
        <w:ind w:firstLine="643" w:firstLineChars="200"/>
        <w:rPr>
          <w:rFonts w:ascii="黑体"/>
          <w:highlight w:val="none"/>
        </w:rPr>
      </w:pPr>
      <w:bookmarkStart w:id="28" w:name="_Toc11842"/>
      <w:r>
        <w:rPr>
          <w:rFonts w:hint="eastAsia" w:ascii="黑体"/>
          <w:highlight w:val="none"/>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highlight w:val="none"/>
        </w:rPr>
      </w:pPr>
      <w:bookmarkStart w:id="31" w:name="_Toc17138"/>
      <w:r>
        <w:rPr>
          <w:rFonts w:hint="eastAsia" w:ascii="楷体_GB2312" w:eastAsia="楷体_GB2312" w:hAnsiTheme="minorEastAsia"/>
          <w:kern w:val="2"/>
          <w:sz w:val="32"/>
          <w:highlight w:val="none"/>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highlight w:val="none"/>
        </w:rPr>
      </w:pPr>
      <w:bookmarkStart w:id="32" w:name="_Toc492652777"/>
      <w:bookmarkStart w:id="33" w:name="_Toc465149506"/>
      <w:r>
        <w:rPr>
          <w:rFonts w:hint="eastAsia" w:ascii="仿宋_GB2312" w:eastAsia="仿宋_GB2312" w:cs="DengXian-Regular"/>
          <w:sz w:val="32"/>
          <w:szCs w:val="32"/>
          <w:highlight w:val="none"/>
        </w:rPr>
        <w:t>通过对</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highlight w:val="none"/>
        </w:rPr>
      </w:pPr>
      <w:bookmarkStart w:id="34" w:name="_Toc11607"/>
      <w:r>
        <w:rPr>
          <w:rFonts w:hint="eastAsia" w:ascii="楷体_GB2312" w:eastAsia="楷体_GB2312" w:hAnsiTheme="minorEastAsia"/>
          <w:kern w:val="2"/>
          <w:sz w:val="32"/>
          <w:highlight w:val="none"/>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highlight w:val="none"/>
        </w:rPr>
      </w:pPr>
      <w:bookmarkStart w:id="35" w:name="_Toc465149507"/>
      <w:r>
        <w:rPr>
          <w:rFonts w:hint="eastAsia" w:ascii="仿宋_GB2312" w:eastAsia="仿宋_GB2312" w:cs="DengXian-Regular"/>
          <w:sz w:val="32"/>
          <w:szCs w:val="32"/>
          <w:highlight w:val="none"/>
        </w:rPr>
        <w:t>1.</w:t>
      </w:r>
      <w:r>
        <w:rPr>
          <w:rFonts w:ascii="仿宋_GB2312" w:eastAsia="仿宋_GB2312" w:cs="DengXian-Regular"/>
          <w:sz w:val="32"/>
          <w:szCs w:val="32"/>
          <w:highlight w:val="none"/>
        </w:rPr>
        <w:t>《中华人民共和国预算法》；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w:t>
      </w:r>
      <w:r>
        <w:rPr>
          <w:rFonts w:ascii="仿宋_GB2312" w:eastAsia="仿宋_GB2312" w:cs="DengXian-Regular"/>
          <w:sz w:val="32"/>
          <w:szCs w:val="32"/>
          <w:highlight w:val="none"/>
        </w:rPr>
        <w:t>《河北省财政支出绩效评价管理办法》（冀财预</w:t>
      </w:r>
      <w:r>
        <w:rPr>
          <w:rFonts w:hint="eastAsia" w:ascii="仿宋_GB2312" w:eastAsia="仿宋_GB2312" w:cs="DengXian-Regular"/>
          <w:sz w:val="32"/>
          <w:szCs w:val="32"/>
          <w:highlight w:val="none"/>
        </w:rPr>
        <w:t xml:space="preserve">〔2011〕68号）； </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4.中共河北省委河北省人民政府</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关于全面实施预算绩效管理的实施意见</w:t>
      </w:r>
      <w:r>
        <w:rPr>
          <w:rFonts w:ascii="仿宋_GB2312" w:eastAsia="仿宋_GB2312" w:cs="DengXian-Regular"/>
          <w:sz w:val="32"/>
          <w:szCs w:val="32"/>
          <w:highlight w:val="none"/>
        </w:rPr>
        <w:t>》（冀</w:t>
      </w:r>
      <w:r>
        <w:rPr>
          <w:rFonts w:hint="eastAsia" w:ascii="仿宋_GB2312" w:eastAsia="仿宋_GB2312" w:cs="DengXian-Regular"/>
          <w:sz w:val="32"/>
          <w:szCs w:val="32"/>
          <w:highlight w:val="none"/>
        </w:rPr>
        <w:t>发〔2018〕54</w:t>
      </w:r>
      <w:r>
        <w:rPr>
          <w:rFonts w:ascii="仿宋_GB2312" w:eastAsia="仿宋_GB2312" w:cs="DengXian-Regular"/>
          <w:sz w:val="32"/>
          <w:szCs w:val="32"/>
          <w:highlight w:val="none"/>
        </w:rPr>
        <w:t>号）</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保定市徐水区财政局《关于</w:t>
      </w:r>
      <w:r>
        <w:rPr>
          <w:rFonts w:hint="eastAsia" w:ascii="仿宋_GB2312" w:eastAsia="仿宋_GB2312" w:cs="DengXian-Regular"/>
          <w:sz w:val="32"/>
          <w:szCs w:val="32"/>
          <w:highlight w:val="none"/>
          <w:lang w:val="en-US" w:eastAsia="zh-CN"/>
        </w:rPr>
        <w:t>开展</w:t>
      </w:r>
      <w:r>
        <w:rPr>
          <w:rFonts w:hint="default" w:ascii="仿宋_GB2312" w:eastAsia="仿宋_GB2312" w:cs="DengXian-Regular"/>
          <w:sz w:val="32"/>
          <w:szCs w:val="32"/>
          <w:highlight w:val="none"/>
          <w:lang w:val="en-US" w:eastAsia="zh-CN"/>
        </w:rPr>
        <w:t>2022</w:t>
      </w:r>
      <w:r>
        <w:rPr>
          <w:rFonts w:hint="eastAsia" w:ascii="仿宋_GB2312" w:eastAsia="仿宋_GB2312" w:cs="DengXian-Regular"/>
          <w:sz w:val="32"/>
          <w:szCs w:val="32"/>
          <w:highlight w:val="none"/>
          <w:lang w:val="en-US" w:eastAsia="zh-CN"/>
        </w:rPr>
        <w:t>年度部门整体支出绩效自评工作的通知</w:t>
      </w:r>
      <w:r>
        <w:rPr>
          <w:rFonts w:hint="eastAsia" w:ascii="仿宋_GB2312" w:eastAsia="仿宋_GB2312" w:cs="DengXian-Regular"/>
          <w:sz w:val="32"/>
          <w:szCs w:val="32"/>
          <w:highlight w:val="none"/>
        </w:rPr>
        <w:t>》（徐政财字〔202</w:t>
      </w:r>
      <w:r>
        <w:rPr>
          <w:rFonts w:hint="default" w:ascii="仿宋_GB2312" w:eastAsia="仿宋_GB2312" w:cs="DengXian-Regular"/>
          <w:sz w:val="32"/>
          <w:szCs w:val="32"/>
          <w:highlight w:val="none"/>
          <w:lang w:val="en-US"/>
        </w:rPr>
        <w:t>3</w:t>
      </w:r>
      <w:r>
        <w:rPr>
          <w:rFonts w:hint="eastAsia" w:ascii="仿宋_GB2312" w:eastAsia="仿宋_GB2312" w:cs="DengXian-Regular"/>
          <w:sz w:val="32"/>
          <w:szCs w:val="32"/>
          <w:highlight w:val="none"/>
        </w:rPr>
        <w:t>〕</w:t>
      </w:r>
      <w:r>
        <w:rPr>
          <w:rFonts w:hint="default" w:ascii="仿宋_GB2312" w:eastAsia="仿宋_GB2312" w:cs="DengXian-Regular"/>
          <w:sz w:val="32"/>
          <w:szCs w:val="32"/>
          <w:highlight w:val="none"/>
          <w:lang w:val="en-US"/>
        </w:rPr>
        <w:t>78</w:t>
      </w:r>
      <w:r>
        <w:rPr>
          <w:rFonts w:hint="eastAsia" w:ascii="仿宋_GB2312" w:eastAsia="仿宋_GB2312" w:cs="DengXian-Regular"/>
          <w:sz w:val="32"/>
          <w:szCs w:val="32"/>
          <w:highlight w:val="none"/>
        </w:rPr>
        <w:t>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highlight w:val="none"/>
        </w:rPr>
      </w:pPr>
      <w:bookmarkStart w:id="37" w:name="_Toc7609"/>
      <w:r>
        <w:rPr>
          <w:rFonts w:hint="eastAsia" w:ascii="楷体_GB2312" w:eastAsia="楷体_GB2312" w:hAnsiTheme="minorEastAsia"/>
          <w:kern w:val="2"/>
          <w:sz w:val="32"/>
          <w:highlight w:val="none"/>
        </w:rPr>
        <w:t>（三）绩效评价</w:t>
      </w:r>
      <w:bookmarkEnd w:id="36"/>
      <w:r>
        <w:rPr>
          <w:rFonts w:hint="eastAsia" w:ascii="楷体_GB2312" w:eastAsia="楷体_GB2312" w:hAnsiTheme="minorEastAsia"/>
          <w:kern w:val="2"/>
          <w:sz w:val="32"/>
          <w:highlight w:val="none"/>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highlight w:val="none"/>
        </w:rPr>
      </w:pPr>
      <w:bookmarkStart w:id="38" w:name="_Toc465149508"/>
      <w:bookmarkStart w:id="39" w:name="_Toc492652779"/>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highlight w:val="none"/>
        </w:rPr>
      </w:pPr>
      <w:bookmarkStart w:id="40" w:name="_Toc789"/>
      <w:r>
        <w:rPr>
          <w:rFonts w:hint="eastAsia" w:ascii="楷体_GB2312" w:eastAsia="楷体_GB2312" w:hAnsiTheme="minorEastAsia"/>
          <w:kern w:val="2"/>
          <w:sz w:val="32"/>
          <w:highlight w:val="none"/>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highlight w:val="none"/>
        </w:rPr>
      </w:pPr>
      <w:bookmarkStart w:id="41" w:name="_Toc8171"/>
      <w:r>
        <w:rPr>
          <w:rFonts w:hint="eastAsia" w:ascii="楷体_GB2312" w:eastAsia="楷体_GB2312" w:hAnsiTheme="minorEastAsia"/>
          <w:kern w:val="2"/>
          <w:sz w:val="32"/>
          <w:highlight w:val="none"/>
        </w:rPr>
        <w:t>（五）</w:t>
      </w:r>
      <w:bookmarkEnd w:id="38"/>
      <w:bookmarkStart w:id="42" w:name="_Toc465149509"/>
      <w:r>
        <w:rPr>
          <w:rFonts w:hint="eastAsia" w:ascii="楷体_GB2312" w:eastAsia="楷体_GB2312" w:hAnsiTheme="minorEastAsia"/>
          <w:kern w:val="2"/>
          <w:sz w:val="32"/>
          <w:highlight w:val="none"/>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highlight w:val="none"/>
        </w:rPr>
      </w:pPr>
      <w:bookmarkStart w:id="43" w:name="_Toc422314152"/>
      <w:bookmarkStart w:id="44" w:name="_Toc421623217"/>
      <w:bookmarkStart w:id="45" w:name="_Toc492652780"/>
      <w:bookmarkStart w:id="46" w:name="_Toc465149510"/>
      <w:r>
        <w:rPr>
          <w:rFonts w:ascii="仿宋_GB2312" w:eastAsia="仿宋_GB2312" w:cs="DengXian-Regular"/>
          <w:sz w:val="32"/>
          <w:szCs w:val="32"/>
          <w:highlight w:val="none"/>
        </w:rPr>
        <w:t>本次评价采取</w:t>
      </w:r>
      <w:r>
        <w:rPr>
          <w:rFonts w:hint="eastAsia" w:ascii="仿宋_GB2312" w:eastAsia="仿宋_GB2312" w:cs="DengXian-Regular"/>
          <w:sz w:val="32"/>
          <w:szCs w:val="32"/>
          <w:highlight w:val="none"/>
        </w:rPr>
        <w:t>目标比较法、</w:t>
      </w:r>
      <w:r>
        <w:rPr>
          <w:rFonts w:ascii="仿宋_GB2312" w:eastAsia="仿宋_GB2312" w:cs="DengXian-Regular"/>
          <w:sz w:val="32"/>
          <w:szCs w:val="32"/>
          <w:highlight w:val="none"/>
        </w:rPr>
        <w:t>定量和定性评价相结合和综合评价相结合</w:t>
      </w:r>
      <w:r>
        <w:rPr>
          <w:rFonts w:hint="eastAsia" w:ascii="仿宋_GB2312" w:eastAsia="仿宋_GB2312" w:cs="DengXian-Regular"/>
          <w:sz w:val="32"/>
          <w:szCs w:val="32"/>
          <w:highlight w:val="none"/>
        </w:rPr>
        <w:t>的方式</w:t>
      </w:r>
      <w:r>
        <w:rPr>
          <w:rFonts w:ascii="仿宋_GB2312" w:eastAsia="仿宋_GB2312" w:cs="DengXian-Regular"/>
          <w:sz w:val="32"/>
          <w:szCs w:val="32"/>
          <w:highlight w:val="none"/>
        </w:rPr>
        <w:t>，运用审查、</w:t>
      </w:r>
      <w:r>
        <w:rPr>
          <w:rFonts w:hint="eastAsia" w:ascii="仿宋_GB2312" w:eastAsia="仿宋_GB2312" w:cs="DengXian-Regular"/>
          <w:sz w:val="32"/>
          <w:szCs w:val="32"/>
          <w:highlight w:val="none"/>
        </w:rPr>
        <w:t>询问查证和问卷调查</w:t>
      </w:r>
      <w:r>
        <w:rPr>
          <w:rFonts w:ascii="仿宋_GB2312" w:eastAsia="仿宋_GB2312" w:cs="DengXian-Regular"/>
          <w:sz w:val="32"/>
          <w:szCs w:val="32"/>
          <w:highlight w:val="none"/>
        </w:rPr>
        <w:t>等方法开展</w:t>
      </w:r>
      <w:r>
        <w:rPr>
          <w:rFonts w:hint="eastAsia" w:ascii="仿宋_GB2312" w:eastAsia="仿宋_GB2312" w:cs="DengXian-Regular"/>
          <w:sz w:val="32"/>
          <w:szCs w:val="32"/>
          <w:highlight w:val="none"/>
        </w:rPr>
        <w:t>绩效</w:t>
      </w:r>
      <w:r>
        <w:rPr>
          <w:rFonts w:ascii="仿宋_GB2312" w:eastAsia="仿宋_GB2312" w:cs="DengXian-Regular"/>
          <w:sz w:val="32"/>
          <w:szCs w:val="32"/>
          <w:highlight w:val="none"/>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highlight w:val="none"/>
        </w:rPr>
      </w:pPr>
      <w:bookmarkStart w:id="47" w:name="_Toc421623218"/>
      <w:bookmarkStart w:id="48" w:name="_Toc422314153"/>
      <w:r>
        <w:rPr>
          <w:rFonts w:ascii="仿宋_GB2312" w:eastAsia="仿宋_GB2312" w:cs="DengXian-Regular"/>
          <w:sz w:val="32"/>
          <w:szCs w:val="32"/>
          <w:highlight w:val="none"/>
        </w:rPr>
        <w:t>1</w:t>
      </w:r>
      <w:r>
        <w:rPr>
          <w:rFonts w:hint="eastAsia" w:ascii="仿宋_GB2312" w:eastAsia="仿宋_GB2312" w:cs="DengXian-Regular"/>
          <w:sz w:val="32"/>
          <w:szCs w:val="32"/>
          <w:highlight w:val="none"/>
        </w:rPr>
        <w:t>.</w:t>
      </w:r>
      <w:r>
        <w:rPr>
          <w:rFonts w:ascii="仿宋_GB2312" w:eastAsia="仿宋_GB2312" w:cs="DengXian-Regular"/>
          <w:sz w:val="32"/>
          <w:szCs w:val="32"/>
          <w:highlight w:val="none"/>
        </w:rPr>
        <w:t>审查法：通过审查被评价单位的</w:t>
      </w:r>
      <w:r>
        <w:rPr>
          <w:rFonts w:hint="eastAsia" w:ascii="仿宋_GB2312" w:eastAsia="仿宋_GB2312" w:cs="DengXian-Regular"/>
          <w:sz w:val="32"/>
          <w:szCs w:val="32"/>
          <w:highlight w:val="none"/>
        </w:rPr>
        <w:t>预算文本</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决算文本</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会计账簿、支出凭证、项目完成情况</w:t>
      </w:r>
      <w:r>
        <w:rPr>
          <w:rFonts w:ascii="仿宋_GB2312" w:eastAsia="仿宋_GB2312" w:cs="DengXian-Regular"/>
          <w:sz w:val="32"/>
          <w:szCs w:val="32"/>
          <w:highlight w:val="none"/>
        </w:rPr>
        <w:t>等</w:t>
      </w:r>
      <w:r>
        <w:rPr>
          <w:rFonts w:hint="eastAsia" w:ascii="仿宋_GB2312" w:eastAsia="仿宋_GB2312" w:cs="DengXian-Regular"/>
          <w:sz w:val="32"/>
          <w:szCs w:val="32"/>
          <w:highlight w:val="none"/>
        </w:rPr>
        <w:t>相关</w:t>
      </w:r>
      <w:r>
        <w:rPr>
          <w:rFonts w:ascii="仿宋_GB2312" w:eastAsia="仿宋_GB2312" w:cs="DengXian-Regular"/>
          <w:sz w:val="32"/>
          <w:szCs w:val="32"/>
          <w:highlight w:val="none"/>
        </w:rPr>
        <w:t>资料，分析资金</w:t>
      </w:r>
      <w:r>
        <w:rPr>
          <w:rFonts w:hint="eastAsia" w:ascii="仿宋_GB2312" w:eastAsia="仿宋_GB2312" w:cs="DengXian-Regular"/>
          <w:sz w:val="32"/>
          <w:szCs w:val="32"/>
          <w:highlight w:val="none"/>
        </w:rPr>
        <w:t>收</w:t>
      </w:r>
      <w:r>
        <w:rPr>
          <w:rFonts w:ascii="仿宋_GB2312" w:eastAsia="仿宋_GB2312" w:cs="DengXian-Regular"/>
          <w:sz w:val="32"/>
          <w:szCs w:val="32"/>
          <w:highlight w:val="none"/>
        </w:rPr>
        <w:t>支的合理性</w:t>
      </w:r>
      <w:r>
        <w:rPr>
          <w:rFonts w:hint="eastAsia" w:ascii="仿宋_GB2312" w:eastAsia="仿宋_GB2312" w:cs="DengXian-Regular"/>
          <w:sz w:val="32"/>
          <w:szCs w:val="32"/>
          <w:highlight w:val="none"/>
        </w:rPr>
        <w:t>和</w:t>
      </w:r>
      <w:r>
        <w:rPr>
          <w:rFonts w:ascii="仿宋_GB2312" w:eastAsia="仿宋_GB2312" w:cs="DengXian-Regular"/>
          <w:sz w:val="32"/>
          <w:szCs w:val="32"/>
          <w:highlight w:val="none"/>
        </w:rPr>
        <w:t>合规性</w:t>
      </w:r>
      <w:r>
        <w:rPr>
          <w:rFonts w:hint="eastAsia" w:ascii="仿宋_GB2312" w:eastAsia="仿宋_GB2312" w:cs="DengXian-Regular"/>
          <w:sz w:val="32"/>
          <w:szCs w:val="32"/>
          <w:highlight w:val="none"/>
        </w:rPr>
        <w:t>、预算执行及管理情况、绩效目标和指标的设置及完成情况、部门整体效益</w:t>
      </w:r>
      <w:r>
        <w:rPr>
          <w:rFonts w:ascii="仿宋_GB2312" w:eastAsia="仿宋_GB2312" w:cs="DengXian-Regular"/>
          <w:sz w:val="32"/>
          <w:szCs w:val="32"/>
          <w:highlight w:val="none"/>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highlight w:val="none"/>
        </w:rPr>
      </w:pPr>
      <w:bookmarkStart w:id="49" w:name="_Toc421623220"/>
      <w:bookmarkStart w:id="50" w:name="_Toc422314155"/>
      <w:r>
        <w:rPr>
          <w:rFonts w:hint="eastAsia" w:ascii="仿宋_GB2312" w:eastAsia="仿宋_GB2312" w:cs="DengXian-Regular"/>
          <w:sz w:val="32"/>
          <w:szCs w:val="32"/>
          <w:highlight w:val="none"/>
        </w:rPr>
        <w:t>2.询问查证</w:t>
      </w:r>
      <w:r>
        <w:rPr>
          <w:rFonts w:ascii="仿宋_GB2312" w:eastAsia="仿宋_GB2312" w:cs="DengXian-Regular"/>
          <w:sz w:val="32"/>
          <w:szCs w:val="32"/>
          <w:highlight w:val="none"/>
        </w:rPr>
        <w:t>法：</w:t>
      </w:r>
      <w:r>
        <w:rPr>
          <w:rFonts w:hint="eastAsia" w:ascii="仿宋_GB2312" w:eastAsia="仿宋_GB2312" w:cs="DengXian-Regular"/>
          <w:sz w:val="32"/>
          <w:szCs w:val="32"/>
          <w:highlight w:val="none"/>
        </w:rPr>
        <w:t>在比较分析相关资料的基础上，通过询问的形式，核查项目资料是否真实、合理，从而对部门整体支出情况作出初步的判断和评价</w:t>
      </w:r>
      <w:r>
        <w:rPr>
          <w:rFonts w:ascii="仿宋_GB2312" w:eastAsia="仿宋_GB2312" w:cs="DengXian-Regular"/>
          <w:sz w:val="32"/>
          <w:szCs w:val="32"/>
          <w:highlight w:val="none"/>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highlight w:val="none"/>
        </w:rPr>
      </w:pPr>
      <w:bookmarkStart w:id="51" w:name="_Toc422314156"/>
      <w:bookmarkStart w:id="52" w:name="_Toc421623221"/>
      <w:r>
        <w:rPr>
          <w:rFonts w:hint="eastAsia" w:ascii="仿宋_GB2312" w:eastAsia="仿宋_GB2312" w:cs="DengXian-Regular"/>
          <w:sz w:val="32"/>
          <w:szCs w:val="32"/>
          <w:highlight w:val="none"/>
        </w:rPr>
        <w:t>3.问卷调查</w:t>
      </w:r>
      <w:r>
        <w:rPr>
          <w:rFonts w:ascii="仿宋_GB2312" w:eastAsia="仿宋_GB2312" w:cs="DengXian-Regular"/>
          <w:sz w:val="32"/>
          <w:szCs w:val="32"/>
          <w:highlight w:val="none"/>
        </w:rPr>
        <w:t>法：通过</w:t>
      </w:r>
      <w:r>
        <w:rPr>
          <w:rFonts w:hint="eastAsia" w:ascii="仿宋_GB2312" w:eastAsia="仿宋_GB2312" w:cs="DengXian-Regular"/>
          <w:sz w:val="32"/>
          <w:szCs w:val="32"/>
          <w:highlight w:val="none"/>
        </w:rPr>
        <w:t>设计调查问卷，在一定范围内随机发放，并收集分析调查问卷，</w:t>
      </w:r>
      <w:r>
        <w:rPr>
          <w:rFonts w:ascii="仿宋_GB2312" w:eastAsia="仿宋_GB2312" w:cs="DengXian-Regular"/>
          <w:sz w:val="32"/>
          <w:szCs w:val="32"/>
          <w:highlight w:val="none"/>
        </w:rPr>
        <w:t>对财政支出的效果进行</w:t>
      </w:r>
      <w:r>
        <w:rPr>
          <w:rFonts w:hint="eastAsia" w:ascii="仿宋_GB2312" w:eastAsia="仿宋_GB2312" w:cs="DengXian-Regular"/>
          <w:sz w:val="32"/>
          <w:szCs w:val="32"/>
          <w:highlight w:val="none"/>
        </w:rPr>
        <w:t>评价</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了解服务对象对部门履职效果</w:t>
      </w:r>
      <w:r>
        <w:rPr>
          <w:rFonts w:ascii="仿宋_GB2312" w:eastAsia="仿宋_GB2312" w:cs="DengXian-Regular"/>
          <w:sz w:val="32"/>
          <w:szCs w:val="32"/>
          <w:highlight w:val="none"/>
        </w:rPr>
        <w:t>的满意</w:t>
      </w:r>
      <w:r>
        <w:rPr>
          <w:rFonts w:hint="eastAsia" w:ascii="仿宋_GB2312" w:eastAsia="仿宋_GB2312" w:cs="DengXian-Regular"/>
          <w:sz w:val="32"/>
          <w:szCs w:val="32"/>
          <w:highlight w:val="none"/>
        </w:rPr>
        <w:t>程</w:t>
      </w:r>
      <w:r>
        <w:rPr>
          <w:rFonts w:ascii="仿宋_GB2312" w:eastAsia="仿宋_GB2312" w:cs="DengXian-Regular"/>
          <w:sz w:val="32"/>
          <w:szCs w:val="32"/>
          <w:highlight w:val="none"/>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highlight w:val="none"/>
        </w:rPr>
      </w:pPr>
      <w:r>
        <w:rPr>
          <w:rFonts w:hint="eastAsia" w:ascii="楷体_GB2312" w:eastAsia="楷体_GB2312" w:hAnsiTheme="minorEastAsia"/>
          <w:b/>
          <w:bCs/>
          <w:kern w:val="2"/>
          <w:sz w:val="32"/>
          <w:highlight w:val="none"/>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1.前期准备阶段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经与</w:t>
      </w:r>
      <w:r>
        <w:rPr>
          <w:rFonts w:hint="eastAsia" w:ascii="仿宋_GB2312" w:eastAsia="仿宋_GB2312" w:cs="DengXian-Regular"/>
          <w:sz w:val="32"/>
          <w:szCs w:val="32"/>
          <w:highlight w:val="none"/>
          <w:lang w:val="en-US" w:eastAsia="zh-CN"/>
        </w:rPr>
        <w:t>本单位业务股室</w:t>
      </w:r>
      <w:r>
        <w:rPr>
          <w:rFonts w:hint="eastAsia" w:ascii="仿宋_GB2312" w:eastAsia="仿宋_GB2312" w:cs="DengXian-Regular"/>
          <w:sz w:val="32"/>
          <w:szCs w:val="32"/>
          <w:highlight w:val="none"/>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基于对</w:t>
      </w:r>
      <w:r>
        <w:rPr>
          <w:rFonts w:hint="eastAsia" w:ascii="仿宋_GB2312" w:eastAsia="仿宋_GB2312" w:cs="DengXian-Regular"/>
          <w:sz w:val="32"/>
          <w:szCs w:val="32"/>
          <w:highlight w:val="none"/>
          <w:lang w:val="en-US" w:eastAsia="zh-CN"/>
        </w:rPr>
        <w:t>本单位</w:t>
      </w:r>
      <w:r>
        <w:rPr>
          <w:rFonts w:hint="eastAsia" w:ascii="仿宋_GB2312" w:eastAsia="仿宋_GB2312" w:cs="DengXian-Regular"/>
          <w:sz w:val="32"/>
          <w:szCs w:val="32"/>
          <w:highlight w:val="none"/>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3.组织实施阶段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根据绩效评价实施方案和指标体系，对</w:t>
      </w:r>
      <w:r>
        <w:rPr>
          <w:rFonts w:hint="eastAsia" w:ascii="仿宋_GB2312" w:eastAsia="仿宋_GB2312" w:cs="DengXian-Regular"/>
          <w:sz w:val="32"/>
          <w:szCs w:val="32"/>
          <w:highlight w:val="none"/>
          <w:lang w:val="en-US" w:eastAsia="zh-CN"/>
        </w:rPr>
        <w:t>本单位</w:t>
      </w:r>
      <w:r>
        <w:rPr>
          <w:rFonts w:hint="eastAsia" w:ascii="仿宋_GB2312" w:eastAsia="仿宋_GB2312" w:cs="DengXian-Regular"/>
          <w:sz w:val="32"/>
          <w:szCs w:val="32"/>
          <w:highlight w:val="none"/>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在完成对各评价指标评分定级的基础上，开始进行报告撰写工作。</w:t>
      </w:r>
    </w:p>
    <w:p>
      <w:pPr>
        <w:pStyle w:val="3"/>
        <w:spacing w:before="0" w:after="0" w:line="360" w:lineRule="auto"/>
        <w:ind w:firstLine="643" w:firstLineChars="200"/>
        <w:rPr>
          <w:rFonts w:ascii="黑体"/>
          <w:highlight w:val="none"/>
        </w:rPr>
      </w:pPr>
      <w:bookmarkStart w:id="56" w:name="_Toc6467"/>
      <w:r>
        <w:rPr>
          <w:rFonts w:hint="eastAsia" w:ascii="黑体"/>
          <w:highlight w:val="none"/>
        </w:rPr>
        <w:t>四、</w:t>
      </w:r>
      <w:bookmarkEnd w:id="54"/>
      <w:bookmarkEnd w:id="55"/>
      <w:bookmarkStart w:id="57" w:name="_Toc492652782"/>
      <w:r>
        <w:rPr>
          <w:rFonts w:hint="eastAsia" w:ascii="黑体"/>
          <w:highlight w:val="none"/>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部门整体支出绩效评价总得分为90.88分，综合绩效评价等级为“优”。各项得分情况如下</w:t>
      </w:r>
      <w:r>
        <w:rPr>
          <w:rFonts w:hint="eastAsia" w:ascii="仿宋_GB2312" w:eastAsia="仿宋_GB2312" w:cs="Times New Roman" w:hAnsiTheme="minorEastAsia"/>
          <w:sz w:val="32"/>
          <w:szCs w:val="32"/>
          <w:highlight w:val="none"/>
          <w:u w:color="000000"/>
        </w:rPr>
        <w:t>：</w:t>
      </w:r>
    </w:p>
    <w:p>
      <w:pPr>
        <w:pStyle w:val="4"/>
        <w:spacing w:before="0" w:after="0"/>
        <w:ind w:firstLine="643" w:firstLineChars="200"/>
        <w:jc w:val="both"/>
        <w:rPr>
          <w:rFonts w:ascii="楷体_GB2312" w:eastAsia="楷体_GB2312" w:hAnsiTheme="minorEastAsia"/>
          <w:kern w:val="2"/>
          <w:sz w:val="32"/>
          <w:highlight w:val="none"/>
        </w:rPr>
      </w:pPr>
      <w:bookmarkStart w:id="58" w:name="_Toc492652783"/>
      <w:bookmarkStart w:id="59" w:name="_Toc4390"/>
      <w:r>
        <w:rPr>
          <w:rFonts w:hint="eastAsia" w:ascii="楷体_GB2312" w:eastAsia="楷体_GB2312" w:hAnsiTheme="minorEastAsia"/>
          <w:kern w:val="2"/>
          <w:sz w:val="32"/>
          <w:highlight w:val="none"/>
        </w:rPr>
        <w:t>（一）</w:t>
      </w:r>
      <w:bookmarkEnd w:id="58"/>
      <w:r>
        <w:rPr>
          <w:rFonts w:hint="eastAsia" w:ascii="楷体_GB2312" w:eastAsia="楷体_GB2312" w:hAnsiTheme="minorEastAsia"/>
          <w:kern w:val="2"/>
          <w:sz w:val="32"/>
          <w:highlight w:val="none"/>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highlight w:val="none"/>
          <w:u w:color="000000"/>
        </w:rPr>
        <w:tab/>
      </w: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一级指标</w:t>
            </w:r>
          </w:p>
        </w:tc>
        <w:tc>
          <w:tcPr>
            <w:tcW w:w="1418"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二级指标</w:t>
            </w:r>
          </w:p>
        </w:tc>
        <w:tc>
          <w:tcPr>
            <w:tcW w:w="1701"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三级指标</w:t>
            </w:r>
          </w:p>
        </w:tc>
        <w:tc>
          <w:tcPr>
            <w:tcW w:w="1276"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分值权重</w:t>
            </w:r>
          </w:p>
        </w:tc>
        <w:tc>
          <w:tcPr>
            <w:tcW w:w="1134"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投入</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预算配置</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（6分）</w:t>
            </w: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w:t>
            </w:r>
          </w:p>
        </w:tc>
      </w:tr>
    </w:tbl>
    <w:p>
      <w:pPr>
        <w:numPr>
          <w:ilvl w:val="0"/>
          <w:numId w:val="1"/>
        </w:numPr>
        <w:spacing w:after="0" w:line="360" w:lineRule="auto"/>
        <w:ind w:firstLine="640" w:firstLineChars="200"/>
        <w:jc w:val="both"/>
        <w:textAlignment w:val="baseline"/>
        <w:rPr>
          <w:rFonts w:ascii="仿宋_GB2312" w:eastAsia="仿宋_GB2312" w:cs="DengXian-Regular"/>
          <w:sz w:val="32"/>
          <w:szCs w:val="32"/>
          <w:highlight w:val="none"/>
        </w:rPr>
      </w:pPr>
      <w:bookmarkStart w:id="60" w:name="_Toc465149513"/>
      <w:bookmarkStart w:id="61" w:name="_Toc464638478"/>
      <w:r>
        <w:rPr>
          <w:rFonts w:hint="eastAsia" w:ascii="仿宋_GB2312" w:eastAsia="仿宋_GB2312" w:cs="DengXian-Regular"/>
          <w:sz w:val="32"/>
          <w:szCs w:val="32"/>
          <w:highlight w:val="none"/>
        </w:rPr>
        <w:t>绩效目标设定（6分）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（1）绩效目标合理性(2分)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通过对比保定市徐水区委办公室及保定市徐水区人民政府办公室印发的《保定市徐水区住房和城乡建设局职能配置内设机构和人员编制规定》和</w:t>
      </w:r>
      <w:r>
        <w:rPr>
          <w:rFonts w:hint="eastAsia" w:ascii="仿宋_GB2312" w:eastAsia="仿宋_GB2312" w:cs="DengXian-Regular"/>
          <w:sz w:val="32"/>
          <w:szCs w:val="32"/>
          <w:highlight w:val="none"/>
          <w:lang w:val="en-US" w:eastAsia="zh-CN"/>
        </w:rPr>
        <w:t>保定市</w:t>
      </w:r>
      <w:r>
        <w:rPr>
          <w:rFonts w:hint="eastAsia" w:ascii="仿宋_GB2312" w:eastAsia="仿宋_GB2312" w:cs="DengXian-Regular"/>
          <w:sz w:val="32"/>
          <w:szCs w:val="32"/>
          <w:highlight w:val="none"/>
        </w:rPr>
        <w:t>徐水区住房和城乡建设局2022年预算文本—部门职责工作活动绩效目标，评价工作组认为</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（2）绩效目标科学性（2分）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2.预算配置（6分）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（1）预算编制完整性（2分）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2022年预算文本及相关会计资料，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（2）项目预算细化率（2分）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2022年预算文本—部门项目支出预算表，</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2022年预算项目共27个（详见附件2-2-2），涉及资金60,310.21万元，所有项目均细化到具体用款单位及项目资金额度。项目预算细化率=（147.64/60,310.21）*100%=0.24%。</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（3）在职人员控制率（2分）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该指标主要考核截至2022年底</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根据保定市徐水区委办公室及保定市徐水区人民政府办公室关于印发《保定市徐水区住房和城乡建设局职能配置内设机构和人员编制规定》的通知，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人员编制为168人，根据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2022年决算文本-部门基本情况表，截至2022年底，在职人员188人，在职人员控制率=（188/168）*100%=111.90%。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bookmarkEnd w:id="60"/>
    <w:bookmarkEnd w:id="61"/>
    <w:p>
      <w:pPr>
        <w:pStyle w:val="4"/>
        <w:spacing w:before="0" w:after="0"/>
        <w:ind w:firstLine="643" w:firstLineChars="200"/>
        <w:jc w:val="both"/>
        <w:rPr>
          <w:rFonts w:ascii="楷体" w:hAnsi="楷体" w:eastAsia="楷体"/>
          <w:sz w:val="32"/>
          <w:highlight w:val="none"/>
        </w:rPr>
      </w:pPr>
      <w:bookmarkStart w:id="62" w:name="_Toc19940"/>
      <w:r>
        <w:rPr>
          <w:rFonts w:hint="eastAsia" w:ascii="楷体" w:hAnsi="楷体" w:eastAsia="楷体"/>
          <w:sz w:val="32"/>
          <w:highlight w:val="none"/>
        </w:rPr>
        <w:t>（二）过程（48分）</w:t>
      </w:r>
      <w:bookmarkEnd w:id="62"/>
    </w:p>
    <w:p>
      <w:pPr>
        <w:spacing w:after="0" w:line="360" w:lineRule="auto"/>
        <w:ind w:firstLine="640" w:firstLineChars="200"/>
        <w:jc w:val="both"/>
        <w:textAlignment w:val="baseline"/>
        <w:rPr>
          <w:rFonts w:ascii="仿宋_GB2312" w:eastAsia="仿宋_GB2312" w:cs="DengXian-Regular"/>
          <w:sz w:val="32"/>
          <w:szCs w:val="32"/>
          <w:highlight w:val="none"/>
        </w:rPr>
      </w:pPr>
      <w:bookmarkStart w:id="63" w:name="_Toc464638480"/>
      <w:r>
        <w:rPr>
          <w:rFonts w:hint="eastAsia" w:ascii="仿宋_GB2312" w:eastAsia="仿宋_GB2312" w:cs="DengXian-Regular"/>
          <w:sz w:val="32"/>
          <w:szCs w:val="32"/>
          <w:highlight w:val="none"/>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预算执行</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（24分）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收入完成率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决算真实性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预算管理</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（16分）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48</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43</w:t>
            </w:r>
          </w:p>
        </w:tc>
      </w:tr>
      <w:bookmarkEnd w:id="63"/>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64" w:name="_Toc464638487"/>
      <w:bookmarkStart w:id="65" w:name="_Toc465149514"/>
      <w:r>
        <w:rPr>
          <w:rFonts w:hint="eastAsia" w:ascii="仿宋_GB2312" w:eastAsia="仿宋_GB2312" w:cs="DengXian-Regular"/>
          <w:sz w:val="32"/>
          <w:szCs w:val="32"/>
          <w:highlight w:val="none"/>
        </w:rPr>
        <w:t>1.预算执行（24分）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（1）预算收入调整率（2分）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的预算指标文件，2022年度预算收入的追加数为59,842.75万元，年初预算数为4,075.99万元，预算收入调整率为1,468.18%。</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（2）收入完成率（4分）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2022年预算文本、决算文本，2022年收入预算数4,075.99万元，收入决算数63,918.74万元，收入完成率=（63,918.74/4,075.99）*100%=1,568.18%。</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（3）预算支出调整率（2分）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提供的保定市财政局下发的预算指标文件，2022年度预算支出的追加数合计59,842.75万元，年初预算数为4,075.99万元，预算支出调整率为1,468.18%，扣2分。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（4）财政拨款支出完成率（4分）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提供的2022年决算文本，部门决算财政拨款支出数63,918.74万元，财政拨款收入数63,918.74万元，财政拨款支出率=（63,918.74/63,918.74）*100%=100.00%。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（5）“三公”经费控制率（3分）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2022年预算文本及决算文本，“三公”经费年初预算数4.86万元，年末决算数3.24万元，“三公”经费控制率=（3.24/4.86）*100%=66.65%</w:t>
      </w:r>
      <w:r>
        <w:rPr>
          <w:rFonts w:ascii="Arial" w:hAnsi="Arial" w:eastAsia="仿宋_GB2312" w:cs="Arial"/>
          <w:sz w:val="32"/>
          <w:szCs w:val="32"/>
          <w:highlight w:val="none"/>
        </w:rPr>
        <w:t>≤</w:t>
      </w:r>
      <w:r>
        <w:rPr>
          <w:rFonts w:hint="eastAsia" w:ascii="仿宋_GB2312" w:eastAsia="仿宋_GB2312" w:cs="DengXian-Regular"/>
          <w:sz w:val="32"/>
          <w:szCs w:val="32"/>
          <w:highlight w:val="none"/>
        </w:rPr>
        <w:t>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（6）政府采购执行率（3分）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2022年预算文本及决算文本，政府采购年初预算数0.00万元，年末决算数2144.33万元，政府采购执行率为100%。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该指标实际得分为3分。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（7）资金使用合规性（3分）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2022年明细账、会计凭证等相关资料，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（8）决算真实性（3分）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经核查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2022年决算文本、明细账及总账，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2.预算管理（16分）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（1）管理制度健全性（4分）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工作制度涵盖了预算业务管理制度、财务收支业务管理制度等相关制度，经检查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付款流程审批单、资产盘点表等资料，扣2分。</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已按照相关管理制度的规定执行，但未见会计岗位制度等，扣1分。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（2）预决算信息公开性（4分）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2022年按政府信息公开的有关要求在保定市徐水区人民政府网公开了2022年的预算情况和决算情况、年度工作任务等信息。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（3）基础信息完善性（4分）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提供的会计账簿、凭证及其他相关资料，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会计信息资料真实完整。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（4）资产管理规范性（4分）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建立了固定资产台账、无形资产台账，资产保存完整，2022年新增资产14.78万元，包含：通用设备（8.67万元）、家具家电（6.11万元），资产购置手续完备，配置符合要求，资产管理整体较规范。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3.绩效评价（8分）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（1）绩效自评覆盖率（4分）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根据徐水区财政局《关于开展2022年度财政专项资金部门绩效自评价工作的通知》及</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2022年一般项目部门绩效自评表，</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2022年开展绩效自评的项目数为27个，年初预算文本项目数8个，要求自评项目个数8个，自评覆盖率为100%。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（2）绩效评价优等率（4分）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绩效评价优等率=（结果达到优等的数量/参评数量）*100%。</w:t>
      </w:r>
    </w:p>
    <w:bookmarkEnd w:id="64"/>
    <w:bookmarkEnd w:id="65"/>
    <w:p>
      <w:pPr>
        <w:spacing w:after="0" w:line="360" w:lineRule="auto"/>
        <w:ind w:firstLine="640" w:firstLineChars="200"/>
        <w:jc w:val="both"/>
        <w:textAlignment w:val="baseline"/>
        <w:rPr>
          <w:rFonts w:ascii="仿宋_GB2312" w:eastAsia="仿宋_GB2312" w:cs="DengXian-Regular"/>
          <w:sz w:val="32"/>
          <w:szCs w:val="32"/>
          <w:highlight w:val="none"/>
        </w:rPr>
      </w:pPr>
      <w:bookmarkStart w:id="66" w:name="_Toc12330"/>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2022年度没有财政评价项目绩效评价。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pStyle w:val="4"/>
        <w:spacing w:before="0" w:after="0"/>
        <w:ind w:firstLine="643" w:firstLineChars="200"/>
        <w:jc w:val="both"/>
        <w:rPr>
          <w:rFonts w:ascii="楷体" w:hAnsi="楷体" w:eastAsia="楷体"/>
          <w:sz w:val="32"/>
          <w:highlight w:val="none"/>
        </w:rPr>
      </w:pPr>
      <w:r>
        <w:rPr>
          <w:rFonts w:hint="eastAsia" w:ascii="楷体" w:hAnsi="楷体" w:eastAsia="楷体"/>
          <w:sz w:val="32"/>
          <w:highlight w:val="none"/>
        </w:rPr>
        <w:t>（三）产出（25分）</w:t>
      </w:r>
      <w:bookmarkEnd w:id="66"/>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产出</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4.88</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资金发放完成率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24.88</w:t>
            </w:r>
          </w:p>
        </w:tc>
      </w:tr>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67" w:name="_Toc464638518"/>
      <w:bookmarkStart w:id="68" w:name="_Toc465149515"/>
      <w:r>
        <w:rPr>
          <w:rFonts w:hint="eastAsia" w:ascii="仿宋_GB2312" w:eastAsia="仿宋_GB2312" w:cs="DengXian-Regular"/>
          <w:sz w:val="32"/>
          <w:szCs w:val="32"/>
          <w:highlight w:val="none"/>
        </w:rPr>
        <w:t>1.结转结余率（5分）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2022年决算文本及相关资料，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年结转结余资金0.00万元，决算收入63,918.74万元，结转结余率0，小于5%。</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2.实际完成率（5分）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该指标主要评价项目的实际完成效率，通过实际完成率来衡量。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实际完成率=（实际完成工作数/计划工作数）×100%。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2022年实际完成工作数60,247.54万元，年初预算共8个项目，计划数147.64万元，年中追加项目资金60,099.90万元，项目实际完成率为40,807.06%。</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spacing w:after="0" w:line="360" w:lineRule="auto"/>
        <w:ind w:left="440" w:leftChars="200" w:firstLine="320" w:firstLineChars="1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3.完成及时率(5分）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w:t>
      </w:r>
      <w:r>
        <w:rPr>
          <w:rFonts w:ascii="仿宋_GB2312" w:eastAsia="仿宋_GB2312" w:cs="DengXian-Regular"/>
          <w:sz w:val="32"/>
          <w:szCs w:val="32"/>
          <w:highlight w:val="none"/>
        </w:rPr>
        <w:t>在规定时限内及时完成的实际工作数与计划工作数的比率</w:t>
      </w:r>
      <w:r>
        <w:rPr>
          <w:rFonts w:hint="eastAsia" w:ascii="仿宋_GB2312" w:eastAsia="仿宋_GB2312" w:cs="DengXian-Regular"/>
          <w:sz w:val="32"/>
          <w:szCs w:val="32"/>
          <w:highlight w:val="none"/>
        </w:rPr>
        <w:t>，通过完成及时率衡量。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ascii="仿宋_GB2312" w:eastAsia="仿宋_GB2312" w:cs="DengXian-Regular"/>
          <w:sz w:val="32"/>
          <w:szCs w:val="32"/>
          <w:highlight w:val="none"/>
        </w:rPr>
        <w:t>完成及时率=（及时完成实际工作数/计划工作数）×100%。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2022年已完工项目24个，完成及时率=24/27*100%=88.89%。</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该指标实际得分4.88分。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4.资金发放完成率（5分）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该指标主要评价各项资金发放完成情况，通过该指标衡量。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2022年各项资金发放完成率100%，评价等级为“优”。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tabs>
          <w:tab w:val="left" w:pos="1201"/>
        </w:tabs>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5.重点工作办结率（5分）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该指标主要评价重点工作的办理落实程度，通过重点工作办结率衡量。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2022年重点工作办结率100%，评价等级为“优”。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pStyle w:val="4"/>
        <w:spacing w:before="0" w:after="0"/>
        <w:ind w:firstLine="643" w:firstLineChars="200"/>
        <w:jc w:val="both"/>
        <w:rPr>
          <w:rFonts w:ascii="楷体" w:hAnsi="楷体" w:eastAsia="楷体"/>
          <w:sz w:val="32"/>
          <w:highlight w:val="none"/>
        </w:rPr>
      </w:pPr>
      <w:bookmarkStart w:id="69" w:name="_Toc28363"/>
      <w:r>
        <w:rPr>
          <w:rFonts w:hint="eastAsia" w:ascii="楷体" w:hAnsi="楷体" w:eastAsia="楷体"/>
          <w:sz w:val="32"/>
          <w:highlight w:val="none"/>
        </w:rPr>
        <w:t>（四）效果</w:t>
      </w:r>
      <w:bookmarkEnd w:id="67"/>
      <w:bookmarkEnd w:id="68"/>
      <w:r>
        <w:rPr>
          <w:rFonts w:hint="eastAsia" w:ascii="楷体" w:hAnsi="楷体" w:eastAsia="楷体"/>
          <w:sz w:val="32"/>
          <w:highlight w:val="none"/>
        </w:rPr>
        <w:t>（15分）</w:t>
      </w:r>
      <w:bookmarkEnd w:id="69"/>
    </w:p>
    <w:p>
      <w:pPr>
        <w:spacing w:after="0" w:line="360" w:lineRule="auto"/>
        <w:ind w:firstLine="640" w:firstLineChars="200"/>
        <w:jc w:val="both"/>
        <w:textAlignment w:val="baseline"/>
        <w:rPr>
          <w:rFonts w:ascii="仿宋_GB2312" w:eastAsia="仿宋_GB2312" w:cs="DengXian-Regular"/>
          <w:sz w:val="32"/>
          <w:szCs w:val="32"/>
          <w:highlight w:val="none"/>
        </w:rPr>
      </w:pPr>
      <w:bookmarkStart w:id="70" w:name="_Toc464638520"/>
      <w:r>
        <w:rPr>
          <w:rFonts w:hint="eastAsia" w:ascii="仿宋_GB2312" w:eastAsia="仿宋_GB2312" w:cs="DengXian-Regular"/>
          <w:sz w:val="32"/>
          <w:szCs w:val="32"/>
          <w:highlight w:val="none"/>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hint="eastAsia" w:asciiTheme="minorEastAsia" w:hAnsiTheme="minorEastAsia" w:eastAsiaTheme="minorEastAsia" w:cstheme="minorEastAsia"/>
          <w:b/>
          <w:bCs/>
          <w:sz w:val="32"/>
          <w:szCs w:val="32"/>
          <w:highlight w:val="none"/>
        </w:rPr>
      </w:pP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710"/>
        <w:gridCol w:w="1000"/>
        <w:gridCol w:w="66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项目效果</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履职效益</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部门整体效益</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社会公众或服务对象满意度</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r>
      <w:bookmarkEnd w:id="70"/>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71" w:name="_Toc465149516"/>
      <w:bookmarkStart w:id="72" w:name="_Toc492652784"/>
      <w:bookmarkStart w:id="73" w:name="_Toc464638561"/>
      <w:r>
        <w:rPr>
          <w:rFonts w:hint="eastAsia" w:ascii="仿宋_GB2312" w:eastAsia="仿宋_GB2312" w:cs="DengXian-Regular"/>
          <w:sz w:val="32"/>
          <w:szCs w:val="32"/>
          <w:highlight w:val="none"/>
        </w:rPr>
        <w:t>1.部门整体效益（10分）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经查看相关资料，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履行职责对社会发展所带来的社会效益较显著，有效的提高了人居环境质量，促进人与自然和谐的可持续性发展。提升了城市文化品位，把文化和城市相融合，营建了具有吸引力的城市形象，推动社会走上生产发展、生活富强、生态良好的发展道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2.社会公众或服务对象满意度（5分）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针对该指标，我们随机选取了50个调查对象进行了问卷调查，具体调查情况如下：</w:t>
      </w: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highlight w:val="none"/>
          <w:u w:color="000000"/>
        </w:rPr>
      </w:pPr>
      <w:r>
        <w:rPr>
          <w:rFonts w:hint="eastAsia" w:asciiTheme="minorEastAsia" w:hAnsiTheme="minorEastAsia" w:eastAsiaTheme="minorEastAsia" w:cstheme="minorEastAsia"/>
          <w:sz w:val="21"/>
          <w:szCs w:val="21"/>
          <w:highlight w:val="none"/>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您对徐水区城市容貌环境是否满意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10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90</w:t>
            </w:r>
          </w:p>
        </w:tc>
      </w:tr>
      <w:tr>
        <w:tblPrEx>
          <w:tblCellMar>
            <w:top w:w="15" w:type="dxa"/>
            <w:left w:w="15" w:type="dxa"/>
            <w:bottom w:w="15" w:type="dxa"/>
            <w:right w:w="15" w:type="dxa"/>
          </w:tblCellMar>
        </w:tblPrEx>
        <w:trPr>
          <w:trHeight w:val="859"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您对徐水区市政公共设施建设是否满意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94</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您对村镇建设、农村人居环境、住房条件是否满意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42</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89</w:t>
            </w:r>
          </w:p>
        </w:tc>
      </w:tr>
    </w:tbl>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调查问卷共分为3个单项，每个单项满分为100分。其中：每一单项满分为100分：满意为100分，一般为50分，不满意为0分。</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单项满意度得分=总分数/总人数</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总体满意度得分=∑1/3各单项满意度得分</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经计算，总体得分为91分，小于(大于）90分，评价等级为“优”。</w:t>
      </w:r>
    </w:p>
    <w:p>
      <w:pPr>
        <w:keepNext w:val="0"/>
        <w:keepLines w:val="0"/>
        <w:pageBreakBefore w:val="0"/>
        <w:kinsoku/>
        <w:wordWrap/>
        <w:overflowPunct/>
        <w:topLinePunct w:val="0"/>
        <w:autoSpaceDE/>
        <w:autoSpaceDN/>
        <w:bidi w:val="0"/>
        <w:spacing w:after="0" w:line="384"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该指标实际得分5分。</w:t>
      </w:r>
    </w:p>
    <w:p>
      <w:pPr>
        <w:pStyle w:val="3"/>
        <w:keepNext w:val="0"/>
        <w:keepLines w:val="0"/>
        <w:pageBreakBefore w:val="0"/>
        <w:suppressLineNumbers/>
        <w:kinsoku/>
        <w:wordWrap/>
        <w:overflowPunct/>
        <w:topLinePunct w:val="0"/>
        <w:autoSpaceDE/>
        <w:autoSpaceDN/>
        <w:bidi w:val="0"/>
        <w:spacing w:before="0" w:after="0" w:line="384" w:lineRule="auto"/>
        <w:ind w:firstLine="643" w:firstLineChars="200"/>
        <w:rPr>
          <w:rFonts w:ascii="黑体"/>
          <w:highlight w:val="none"/>
        </w:rPr>
      </w:pPr>
      <w:bookmarkStart w:id="74" w:name="_Toc13757"/>
      <w:r>
        <w:rPr>
          <w:rFonts w:hint="eastAsia" w:ascii="黑体"/>
          <w:highlight w:val="none"/>
        </w:rPr>
        <w:t>五、绩效评价发现的问题</w:t>
      </w:r>
      <w:bookmarkEnd w:id="71"/>
      <w:bookmarkEnd w:id="72"/>
      <w:bookmarkEnd w:id="73"/>
      <w:bookmarkEnd w:id="74"/>
      <w:bookmarkStart w:id="75" w:name="_Toc492652789"/>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通过对各指标得分及扣分原因的分析，</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2022年部门整体支出基本按相关要求执行预算、决算，完成了绩效目标，资金使用效益良好。通过评价，也发现一些不足之处，具体情况如下：</w:t>
      </w:r>
      <w:bookmarkStart w:id="76" w:name="_Toc20723"/>
    </w:p>
    <w:bookmarkEnd w:id="75"/>
    <w:bookmarkEnd w:id="76"/>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hint="eastAsia" w:ascii="仿宋_GB2312" w:eastAsia="仿宋_GB2312" w:cs="DengXian-Regular"/>
          <w:sz w:val="32"/>
          <w:szCs w:val="32"/>
          <w:highlight w:val="none"/>
        </w:rPr>
      </w:pPr>
      <w:bookmarkStart w:id="77" w:name="_Toc465149521"/>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1.预算决算差额较大</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收入、支出预算数均为4,075.99万元，决算收入、支出均为63,918.74万元，较预算增加59,842.75万元，增加比例1,468.18%。决算数较预算数增加的主要原因是节能环保支出、城乡社区支出、住房保障支出增加，以及比预算增加了卫生健康支出、其他支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2.预算调整较多</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2022年预算调增59,842.75万元，2022年当年调整预算占年初预算的1,468.18%，预算调整较多。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baseline"/>
        <w:rPr>
          <w:rFonts w:ascii="楷体" w:hAnsi="楷体" w:eastAsia="楷体" w:cs="楷体"/>
          <w:b/>
          <w:bCs/>
          <w:sz w:val="32"/>
          <w:szCs w:val="32"/>
          <w:highlight w:val="none"/>
        </w:rPr>
      </w:pPr>
      <w:r>
        <w:rPr>
          <w:rFonts w:hint="eastAsia" w:ascii="楷体" w:hAnsi="楷体" w:eastAsia="楷体" w:cs="楷体"/>
          <w:b/>
          <w:bCs/>
          <w:sz w:val="32"/>
          <w:szCs w:val="32"/>
          <w:highlight w:val="none"/>
        </w:rPr>
        <w:t>六、绩效评价意见及建议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针对此次绩效评价过程中发现的问题，我们建议：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1.提高预算编制质量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部门预算编制工作要全面反映和体现部门职责，根据具体情况及时调整预算的编制，缩小预算与决算差额，减少中期预算调整，提高预算编制质量，发挥预算约束作用。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附件：1.保定市徐水</w:t>
      </w:r>
      <w:r>
        <w:rPr>
          <w:rFonts w:hint="eastAsia" w:ascii="仿宋_GB2312" w:eastAsia="仿宋_GB2312" w:cs="DengXian-Regular"/>
          <w:sz w:val="32"/>
          <w:szCs w:val="32"/>
          <w:highlight w:val="none"/>
        </w:rPr>
        <w:t>区住房和城乡建设局</w:t>
      </w:r>
      <w:r>
        <w:rPr>
          <w:rFonts w:hint="eastAsia" w:ascii="仿宋_GB2312" w:eastAsia="仿宋_GB2312" w:cs="Times New Roman" w:hAnsiTheme="minorEastAsia"/>
          <w:sz w:val="32"/>
          <w:szCs w:val="32"/>
          <w:highlight w:val="none"/>
          <w:u w:color="000000"/>
        </w:rPr>
        <w:t>部门职责及机构设置情况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w:t>
      </w:r>
      <w:r>
        <w:rPr>
          <w:rFonts w:ascii="仿宋_GB2312" w:eastAsia="仿宋_GB2312" w:cs="Times New Roman" w:hAnsiTheme="minorEastAsia"/>
          <w:sz w:val="32"/>
          <w:szCs w:val="32"/>
          <w:highlight w:val="none"/>
          <w:u w:color="000000"/>
        </w:rPr>
        <w:t>202</w:t>
      </w:r>
      <w:r>
        <w:rPr>
          <w:rFonts w:hint="eastAsia" w:ascii="仿宋_GB2312" w:eastAsia="仿宋_GB2312" w:cs="Times New Roman" w:hAnsiTheme="minorEastAsia"/>
          <w:sz w:val="32"/>
          <w:szCs w:val="32"/>
          <w:highlight w:val="none"/>
          <w:u w:color="000000"/>
        </w:rPr>
        <w:t>2年度保定市徐水区</w:t>
      </w:r>
      <w:r>
        <w:rPr>
          <w:rFonts w:hint="eastAsia" w:ascii="仿宋_GB2312" w:eastAsia="仿宋_GB2312" w:cs="DengXian-Regular"/>
          <w:sz w:val="32"/>
          <w:szCs w:val="32"/>
          <w:highlight w:val="none"/>
        </w:rPr>
        <w:t>住房和城乡建设局</w:t>
      </w:r>
      <w:r>
        <w:rPr>
          <w:rFonts w:hint="eastAsia" w:ascii="仿宋_GB2312" w:eastAsia="仿宋_GB2312" w:cs="Times New Roman" w:hAnsiTheme="minorEastAsia"/>
          <w:sz w:val="32"/>
          <w:szCs w:val="32"/>
          <w:highlight w:val="none"/>
          <w:u w:color="000000"/>
        </w:rPr>
        <w:t>收支预算及决算明细表</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sz w:val="32"/>
          <w:szCs w:val="32"/>
          <w:highlight w:val="none"/>
          <w:u w:color="000000"/>
        </w:rPr>
      </w:pPr>
      <w:bookmarkStart w:id="78" w:name="_Toc465149534"/>
      <w:r>
        <w:rPr>
          <w:rFonts w:hint="eastAsia" w:ascii="仿宋_GB2312" w:eastAsia="仿宋_GB2312" w:cs="Times New Roman" w:hAnsiTheme="minorEastAsia"/>
          <w:sz w:val="32"/>
          <w:szCs w:val="32"/>
          <w:highlight w:val="none"/>
          <w:u w:color="000000"/>
        </w:rPr>
        <w:t>3.</w:t>
      </w:r>
      <w:bookmarkEnd w:id="78"/>
      <w:r>
        <w:rPr>
          <w:rFonts w:hint="eastAsia" w:ascii="仿宋_GB2312" w:eastAsia="仿宋_GB2312" w:cs="Times New Roman" w:hAnsiTheme="minorEastAsia"/>
          <w:sz w:val="32"/>
          <w:szCs w:val="32"/>
          <w:highlight w:val="none"/>
          <w:u w:color="000000"/>
        </w:rPr>
        <w:t>部门整体支出绩效评价指标体系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bookmarkStart w:id="79" w:name="_Toc465149544"/>
      <w:r>
        <w:rPr>
          <w:rFonts w:hint="eastAsia" w:ascii="仿宋_GB2312" w:eastAsia="仿宋_GB2312" w:cs="Times New Roman" w:hAnsiTheme="minorEastAsia"/>
          <w:sz w:val="32"/>
          <w:szCs w:val="32"/>
          <w:highlight w:val="none"/>
          <w:u w:color="000000"/>
        </w:rPr>
        <w:t>4.</w:t>
      </w:r>
      <w:bookmarkEnd w:id="79"/>
      <w:r>
        <w:rPr>
          <w:rFonts w:ascii="仿宋_GB2312" w:eastAsia="仿宋_GB2312" w:cs="Times New Roman" w:hAnsiTheme="minorEastAsia"/>
          <w:sz w:val="32"/>
          <w:szCs w:val="32"/>
          <w:highlight w:val="none"/>
          <w:u w:color="000000"/>
        </w:rPr>
        <w:t>202</w:t>
      </w:r>
      <w:r>
        <w:rPr>
          <w:rFonts w:hint="eastAsia" w:ascii="仿宋_GB2312" w:eastAsia="仿宋_GB2312" w:cs="Times New Roman" w:hAnsiTheme="minorEastAsia"/>
          <w:sz w:val="32"/>
          <w:szCs w:val="32"/>
          <w:highlight w:val="none"/>
          <w:u w:color="000000"/>
        </w:rPr>
        <w:t>2年徐水区</w:t>
      </w:r>
      <w:r>
        <w:rPr>
          <w:rFonts w:hint="eastAsia" w:ascii="仿宋_GB2312" w:eastAsia="仿宋_GB2312" w:cs="DengXian-Regular"/>
          <w:sz w:val="32"/>
          <w:szCs w:val="32"/>
          <w:highlight w:val="none"/>
        </w:rPr>
        <w:t>住房和城乡建设局</w:t>
      </w:r>
      <w:r>
        <w:rPr>
          <w:rFonts w:hint="eastAsia" w:ascii="仿宋_GB2312" w:eastAsia="仿宋_GB2312" w:cs="Times New Roman" w:hAnsiTheme="minorEastAsia"/>
          <w:sz w:val="32"/>
          <w:szCs w:val="32"/>
          <w:highlight w:val="none"/>
          <w:u w:color="000000"/>
        </w:rPr>
        <w:t>工作活动绩效目标、绩效指标一览表</w:t>
      </w:r>
      <w:bookmarkEnd w:id="77"/>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3520" w:firstLineChars="1100"/>
        <w:jc w:val="both"/>
        <w:textAlignment w:val="baseline"/>
        <w:rPr>
          <w:rFonts w:hint="eastAsia" w:ascii="仿宋_GB2312" w:eastAsia="仿宋_GB2312" w:cs="Times New Roman" w:hAnsiTheme="minorEastAsia"/>
          <w:sz w:val="32"/>
          <w:szCs w:val="32"/>
          <w:highlight w:val="none"/>
          <w:u w:color="000000"/>
          <w:lang w:val="en-US" w:eastAsia="zh-CN"/>
        </w:rPr>
      </w:pPr>
      <w:r>
        <w:rPr>
          <w:rFonts w:hint="eastAsia" w:ascii="仿宋_GB2312" w:eastAsia="仿宋_GB2312" w:cs="Times New Roman" w:hAnsiTheme="minorEastAsia"/>
          <w:sz w:val="32"/>
          <w:szCs w:val="32"/>
          <w:highlight w:val="none"/>
          <w:u w:color="000000"/>
          <w:lang w:val="en-US" w:eastAsia="zh-CN"/>
        </w:rPr>
        <w:t>保定市徐水区住房和城乡建设局</w:t>
      </w:r>
    </w:p>
    <w:p>
      <w:pPr>
        <w:keepNext w:val="0"/>
        <w:keepLines w:val="0"/>
        <w:pageBreakBefore w:val="0"/>
        <w:widowControl/>
        <w:kinsoku/>
        <w:wordWrap/>
        <w:overflowPunct/>
        <w:topLinePunct w:val="0"/>
        <w:autoSpaceDE/>
        <w:autoSpaceDN/>
        <w:bidi w:val="0"/>
        <w:adjustRightInd w:val="0"/>
        <w:snapToGrid w:val="0"/>
        <w:spacing w:after="0" w:line="360" w:lineRule="auto"/>
        <w:ind w:firstLine="4800" w:firstLineChars="1500"/>
        <w:jc w:val="both"/>
        <w:textAlignment w:val="baseline"/>
        <w:rPr>
          <w:rFonts w:hint="default" w:ascii="仿宋_GB2312" w:eastAsia="仿宋_GB2312" w:cs="Times New Roman" w:hAnsiTheme="minorEastAsia"/>
          <w:sz w:val="32"/>
          <w:szCs w:val="32"/>
          <w:highlight w:val="none"/>
          <w:u w:color="000000"/>
          <w:lang w:val="en-US" w:eastAsia="zh-CN"/>
        </w:rPr>
      </w:pPr>
      <w:r>
        <w:rPr>
          <w:rFonts w:hint="default" w:ascii="仿宋_GB2312" w:eastAsia="仿宋_GB2312" w:cs="Times New Roman" w:hAnsiTheme="minorEastAsia"/>
          <w:sz w:val="32"/>
          <w:szCs w:val="32"/>
          <w:highlight w:val="none"/>
          <w:u w:color="000000"/>
          <w:lang w:val="en-US" w:eastAsia="zh-CN"/>
        </w:rPr>
        <w:t>2023年8月15日</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24C1B"/>
    <w:multiLevelType w:val="singleLevel"/>
    <w:tmpl w:val="76124C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ODcxMjA3NDE4MTEzOTg0NjExNWM4NGQyZjliMmUifQ=="/>
    <w:docVar w:name="KSO_WPS_MARK_KEY" w:val="e4a1d437-eff7-442a-a086-89abda4834ae"/>
  </w:docVars>
  <w:rsids>
    <w:rsidRoot w:val="00D31D50"/>
    <w:rsid w:val="00004179"/>
    <w:rsid w:val="0000439F"/>
    <w:rsid w:val="00007CA0"/>
    <w:rsid w:val="00014741"/>
    <w:rsid w:val="00015C39"/>
    <w:rsid w:val="000174D3"/>
    <w:rsid w:val="0002415F"/>
    <w:rsid w:val="00025620"/>
    <w:rsid w:val="00026F83"/>
    <w:rsid w:val="0002705B"/>
    <w:rsid w:val="000317D7"/>
    <w:rsid w:val="00032B03"/>
    <w:rsid w:val="000334C2"/>
    <w:rsid w:val="0003450B"/>
    <w:rsid w:val="0003465E"/>
    <w:rsid w:val="00034910"/>
    <w:rsid w:val="0003506D"/>
    <w:rsid w:val="000371F6"/>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4B4A"/>
    <w:rsid w:val="000C52FB"/>
    <w:rsid w:val="000C55E6"/>
    <w:rsid w:val="000C6D5A"/>
    <w:rsid w:val="000D09B2"/>
    <w:rsid w:val="000D7C38"/>
    <w:rsid w:val="000E0902"/>
    <w:rsid w:val="000E1188"/>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05A0"/>
    <w:rsid w:val="002715FC"/>
    <w:rsid w:val="002736FD"/>
    <w:rsid w:val="00274CFA"/>
    <w:rsid w:val="00275677"/>
    <w:rsid w:val="00275A3F"/>
    <w:rsid w:val="0028068C"/>
    <w:rsid w:val="00280F6C"/>
    <w:rsid w:val="00282A89"/>
    <w:rsid w:val="00283F8F"/>
    <w:rsid w:val="002869F9"/>
    <w:rsid w:val="002913B1"/>
    <w:rsid w:val="00292F98"/>
    <w:rsid w:val="002939A0"/>
    <w:rsid w:val="002959A3"/>
    <w:rsid w:val="0029626E"/>
    <w:rsid w:val="00296E59"/>
    <w:rsid w:val="002979E3"/>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370E2"/>
    <w:rsid w:val="00343662"/>
    <w:rsid w:val="00352D87"/>
    <w:rsid w:val="0035365E"/>
    <w:rsid w:val="00355403"/>
    <w:rsid w:val="003569A8"/>
    <w:rsid w:val="00361FFF"/>
    <w:rsid w:val="00362340"/>
    <w:rsid w:val="003653A5"/>
    <w:rsid w:val="00366971"/>
    <w:rsid w:val="00367DF7"/>
    <w:rsid w:val="003705F4"/>
    <w:rsid w:val="00370AFA"/>
    <w:rsid w:val="0037120F"/>
    <w:rsid w:val="0037242E"/>
    <w:rsid w:val="003743E9"/>
    <w:rsid w:val="0038005F"/>
    <w:rsid w:val="003803CC"/>
    <w:rsid w:val="00382949"/>
    <w:rsid w:val="00391AE3"/>
    <w:rsid w:val="00396D4C"/>
    <w:rsid w:val="00397471"/>
    <w:rsid w:val="003A02BE"/>
    <w:rsid w:val="003A1765"/>
    <w:rsid w:val="003A3C32"/>
    <w:rsid w:val="003A4D02"/>
    <w:rsid w:val="003A4D52"/>
    <w:rsid w:val="003A536E"/>
    <w:rsid w:val="003B6DEC"/>
    <w:rsid w:val="003B79D3"/>
    <w:rsid w:val="003C2B92"/>
    <w:rsid w:val="003C7136"/>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234E"/>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96B3F"/>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24A2"/>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5C8B"/>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0E28"/>
    <w:rsid w:val="006215A2"/>
    <w:rsid w:val="00621F7D"/>
    <w:rsid w:val="00622AD1"/>
    <w:rsid w:val="00623267"/>
    <w:rsid w:val="00625428"/>
    <w:rsid w:val="0062670B"/>
    <w:rsid w:val="00630B86"/>
    <w:rsid w:val="00630F5B"/>
    <w:rsid w:val="00634C66"/>
    <w:rsid w:val="006352D1"/>
    <w:rsid w:val="00636E1A"/>
    <w:rsid w:val="00642BA5"/>
    <w:rsid w:val="006434E0"/>
    <w:rsid w:val="00647F85"/>
    <w:rsid w:val="00650C90"/>
    <w:rsid w:val="0065172D"/>
    <w:rsid w:val="0065287D"/>
    <w:rsid w:val="00655C13"/>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59D"/>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674EE"/>
    <w:rsid w:val="008677F9"/>
    <w:rsid w:val="00871B0D"/>
    <w:rsid w:val="00871B14"/>
    <w:rsid w:val="008735A1"/>
    <w:rsid w:val="00875962"/>
    <w:rsid w:val="00880325"/>
    <w:rsid w:val="00880E18"/>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2BB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36634"/>
    <w:rsid w:val="00A36E98"/>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84BD0"/>
    <w:rsid w:val="00A96E79"/>
    <w:rsid w:val="00AA2033"/>
    <w:rsid w:val="00AA4A07"/>
    <w:rsid w:val="00AA6230"/>
    <w:rsid w:val="00AB632D"/>
    <w:rsid w:val="00AC5444"/>
    <w:rsid w:val="00AC70E1"/>
    <w:rsid w:val="00AD1D29"/>
    <w:rsid w:val="00AD328E"/>
    <w:rsid w:val="00AD5147"/>
    <w:rsid w:val="00AE0837"/>
    <w:rsid w:val="00AE11C8"/>
    <w:rsid w:val="00AE167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1726"/>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46DCA"/>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171F"/>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5C8"/>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04C"/>
    <w:rsid w:val="00E5519B"/>
    <w:rsid w:val="00E55FEE"/>
    <w:rsid w:val="00E57BD3"/>
    <w:rsid w:val="00E57D38"/>
    <w:rsid w:val="00E65332"/>
    <w:rsid w:val="00E65F77"/>
    <w:rsid w:val="00E670CD"/>
    <w:rsid w:val="00E67EA9"/>
    <w:rsid w:val="00E75834"/>
    <w:rsid w:val="00E7727F"/>
    <w:rsid w:val="00E83519"/>
    <w:rsid w:val="00E91889"/>
    <w:rsid w:val="00E91F0F"/>
    <w:rsid w:val="00E944E2"/>
    <w:rsid w:val="00E95C54"/>
    <w:rsid w:val="00E960E8"/>
    <w:rsid w:val="00E96103"/>
    <w:rsid w:val="00EA027D"/>
    <w:rsid w:val="00EB0CDB"/>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2FD4"/>
    <w:rsid w:val="00F24A9A"/>
    <w:rsid w:val="00F2592D"/>
    <w:rsid w:val="00F25C5F"/>
    <w:rsid w:val="00F3182D"/>
    <w:rsid w:val="00F34EF2"/>
    <w:rsid w:val="00F3580F"/>
    <w:rsid w:val="00F36BBE"/>
    <w:rsid w:val="00F406BB"/>
    <w:rsid w:val="00F44AD0"/>
    <w:rsid w:val="00F50379"/>
    <w:rsid w:val="00F55102"/>
    <w:rsid w:val="00F57115"/>
    <w:rsid w:val="00F6298B"/>
    <w:rsid w:val="00F63B02"/>
    <w:rsid w:val="00F64F4C"/>
    <w:rsid w:val="00F65350"/>
    <w:rsid w:val="00F65C21"/>
    <w:rsid w:val="00F700A6"/>
    <w:rsid w:val="00F760D1"/>
    <w:rsid w:val="00F8151A"/>
    <w:rsid w:val="00F83788"/>
    <w:rsid w:val="00F84D69"/>
    <w:rsid w:val="00F85054"/>
    <w:rsid w:val="00F86F0D"/>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5E68"/>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DFE7425"/>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3E0A4F"/>
    <w:rsid w:val="159F345A"/>
    <w:rsid w:val="15E43EF8"/>
    <w:rsid w:val="16A81136"/>
    <w:rsid w:val="16AC4207"/>
    <w:rsid w:val="178A56FB"/>
    <w:rsid w:val="17A8647B"/>
    <w:rsid w:val="18253B4C"/>
    <w:rsid w:val="190F1674"/>
    <w:rsid w:val="19132D2F"/>
    <w:rsid w:val="19210747"/>
    <w:rsid w:val="196E7CB2"/>
    <w:rsid w:val="198759D2"/>
    <w:rsid w:val="19D72BB5"/>
    <w:rsid w:val="1AD212BF"/>
    <w:rsid w:val="1AD540E3"/>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3F5555"/>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2E6048D"/>
    <w:rsid w:val="431F105C"/>
    <w:rsid w:val="43D24D90"/>
    <w:rsid w:val="43F003B4"/>
    <w:rsid w:val="446458DA"/>
    <w:rsid w:val="446645C4"/>
    <w:rsid w:val="44E00C2F"/>
    <w:rsid w:val="44F12828"/>
    <w:rsid w:val="453F4EE8"/>
    <w:rsid w:val="457E0C0E"/>
    <w:rsid w:val="45A27895"/>
    <w:rsid w:val="4654463C"/>
    <w:rsid w:val="469D1E1F"/>
    <w:rsid w:val="4703453A"/>
    <w:rsid w:val="47401AE3"/>
    <w:rsid w:val="47847F9B"/>
    <w:rsid w:val="47B206D5"/>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345F70"/>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7B1CF0"/>
    <w:rsid w:val="57E7750E"/>
    <w:rsid w:val="582C3304"/>
    <w:rsid w:val="583E683E"/>
    <w:rsid w:val="584263FC"/>
    <w:rsid w:val="587D49B7"/>
    <w:rsid w:val="58AA248A"/>
    <w:rsid w:val="592757C1"/>
    <w:rsid w:val="5A097D45"/>
    <w:rsid w:val="5A232744"/>
    <w:rsid w:val="5A8E433F"/>
    <w:rsid w:val="5ACC5639"/>
    <w:rsid w:val="5AFE0937"/>
    <w:rsid w:val="5B022AFF"/>
    <w:rsid w:val="5B04316E"/>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1A3723C"/>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32772"/>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370719A"/>
    <w:rsid w:val="740F0E4D"/>
    <w:rsid w:val="7469799F"/>
    <w:rsid w:val="747E12E2"/>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C3F4D3A"/>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总体目标文件"/>
    <w:basedOn w:val="1"/>
    <w:qFormat/>
    <w:uiPriority w:val="0"/>
    <w:pPr>
      <w:widowControl w:val="0"/>
      <w:adjustRightInd/>
      <w:snapToGrid/>
      <w:spacing w:after="0" w:line="500" w:lineRule="exact"/>
      <w:ind w:firstLine="560"/>
    </w:pPr>
    <w:rPr>
      <w:rFonts w:ascii="Times New Roman" w:hAnsi="Times New Roman" w:eastAsia="方正仿宋_GBK" w:cs="Times New Roman"/>
      <w:kern w:val="2"/>
      <w:sz w:val="28"/>
    </w:rPr>
  </w:style>
  <w:style w:type="paragraph" w:customStyle="1" w:styleId="75">
    <w:name w:val="插入文本样式-插入职责分类绩效目标文件"/>
    <w:basedOn w:val="1"/>
    <w:qFormat/>
    <w:uiPriority w:val="0"/>
    <w:pPr>
      <w:widowControl w:val="0"/>
      <w:adjustRightInd/>
      <w:snapToGrid/>
      <w:spacing w:after="0" w:line="500" w:lineRule="exact"/>
      <w:ind w:firstLine="560"/>
    </w:pPr>
    <w:rPr>
      <w:rFonts w:ascii="Times New Roman" w:hAnsi="Times New Roman" w:eastAsia="方正仿宋_GBK" w:cs="Times New Roman"/>
      <w:kern w:val="2"/>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年决算收入结构图</a:t>
            </a:r>
            <a:endParaRPr sz="1400" b="0" i="0" u="none" strike="noStrike" baseline="0">
              <a:solidFill>
                <a:srgbClr val="595959">
                  <a:alpha val="100000"/>
                </a:srgbClr>
              </a:solidFill>
              <a:latin typeface="等线" panose="02010600030101010101" charset="-122"/>
              <a:ea typeface="等线" panose="02010600030101010101" charset="-122"/>
              <a:cs typeface="等线" panose="02010600030101010101" charset="-122"/>
            </a:endParaRPr>
          </a:p>
        </c:rich>
      </c:tx>
      <c:layout>
        <c:manualLayout>
          <c:xMode val="edge"/>
          <c:yMode val="edge"/>
          <c:x val="0.300307219662059"/>
          <c:y val="0.0203581917231298"/>
        </c:manualLayout>
      </c:layout>
      <c:overlay val="0"/>
      <c:spPr>
        <a:noFill/>
        <a:ln>
          <a:noFill/>
        </a:ln>
        <a:effectLst/>
      </c:sp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431.15, </a:t>
                    </a:r>
                    <a:r>
                      <a:rPr lang="en-US" altLang="en-US"/>
                      <a:t>0.67</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91.76 , 0</a:t>
                    </a:r>
                    <a:r>
                      <a:rPr lang="en-US" altLang="en-US"/>
                      <a:t>.14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250.00 , </a:t>
                    </a:r>
                    <a:r>
                      <a:rPr lang="en-US" altLang="en-US"/>
                      <a:t>0.39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26071.70 , 4</a:t>
                    </a:r>
                    <a:r>
                      <a:rPr lang="en-US" altLang="en-US"/>
                      <a:t>0.79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2074.13 , 3</a:t>
                    </a:r>
                    <a:r>
                      <a:rPr lang="en-US" altLang="en-US"/>
                      <a:t>.24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35000.00 , 5</a:t>
                    </a:r>
                    <a:r>
                      <a:rPr lang="en-US" altLang="en-US"/>
                      <a:t>4.76</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Sheet3!$D$5:$D$10</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Sheet3!$E$5:$E$10</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delete val="1"/>
          </c:dLbls>
          <c:cat>
            <c:strRef>
              <c:f>Sheet3!$D$5:$D$10</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Sheet3!$F$5:$F$10</c:f>
              <c:numCache>
                <c:formatCode>0.00%</c:formatCode>
                <c:ptCount val="6"/>
                <c:pt idx="0">
                  <c:v>0.00674528315170168</c:v>
                </c:pt>
                <c:pt idx="1">
                  <c:v>0.00143557272874903</c:v>
                </c:pt>
                <c:pt idx="2">
                  <c:v>0.00391121602209305</c:v>
                </c:pt>
                <c:pt idx="3">
                  <c:v>0.407888203052814</c:v>
                </c:pt>
                <c:pt idx="4">
                  <c:v>0.0324494819516154</c:v>
                </c:pt>
                <c:pt idx="5">
                  <c:v>0.547570243093027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520737327189"/>
          <c:y val="0.44104016477857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年预算收入与决算收入对比图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03657971909245"/>
          <c:y val="0.00625823451910408"/>
        </c:manualLayout>
      </c:layout>
      <c:overlay val="0"/>
      <c:spPr>
        <a:noFill/>
        <a:ln>
          <a:noFill/>
        </a:ln>
        <a:effectLst/>
      </c:spPr>
    </c:title>
    <c:autoTitleDeleted val="0"/>
    <c:plotArea>
      <c:layout/>
      <c:barChart>
        <c:barDir val="col"/>
        <c:grouping val="clustered"/>
        <c:varyColors val="0"/>
        <c:ser>
          <c:idx val="0"/>
          <c:order val="0"/>
          <c:tx>
            <c:strRef>
              <c:f>Sheet3!$E$13</c:f>
              <c:strCache>
                <c:ptCount val="1"/>
                <c:pt idx="0">
                  <c:v>预算</c:v>
                </c:pt>
              </c:strCache>
            </c:strRef>
          </c:tx>
          <c:invertIfNegative val="0"/>
          <c:dLbls>
            <c:dLbl>
              <c:idx val="2"/>
              <c:layout>
                <c:manualLayout>
                  <c:x val="-0.0149499177754522"/>
                  <c:y val="-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Sheet3!$D$14:$D$19</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Sheet3!$E$14:$E$19</c:f>
              <c:numCache>
                <c:formatCode>General</c:formatCode>
                <c:ptCount val="6"/>
                <c:pt idx="0">
                  <c:v>408.23</c:v>
                </c:pt>
                <c:pt idx="2" c:formatCode="0.00_ ">
                  <c:v>119.62</c:v>
                </c:pt>
                <c:pt idx="3" c:formatCode="0.00_ ">
                  <c:v>3324.63</c:v>
                </c:pt>
                <c:pt idx="4" c:formatCode="0.00_ ">
                  <c:v>223.51</c:v>
                </c:pt>
              </c:numCache>
            </c:numRef>
          </c:val>
        </c:ser>
        <c:ser>
          <c:idx val="1"/>
          <c:order val="1"/>
          <c:tx>
            <c:strRef>
              <c:f>Sheet3!$F$13</c:f>
              <c:strCache>
                <c:ptCount val="1"/>
                <c:pt idx="0">
                  <c:v>决算</c:v>
                </c:pt>
              </c:strCache>
            </c:strRef>
          </c:tx>
          <c:invertIfNegative val="0"/>
          <c:dLbls>
            <c:dLbl>
              <c:idx val="0"/>
              <c:layout>
                <c:manualLayout>
                  <c:x val="0.0388697862161758"/>
                  <c:y val="0.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96995066527135"/>
                  <c:y val="0.02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98998355509045"/>
                  <c:y val="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8798026610854"/>
                  <c:y val="0.01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88697862161758"/>
                  <c:y val="0.07333333333333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68096875467186"/>
                  <c:y val="0.01666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Sheet3!$D$14:$D$19</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Sheet3!$F$14:$F$19</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dLbls>
          <c:showLegendKey val="0"/>
          <c:showVal val="1"/>
          <c:showCatName val="0"/>
          <c:showSerName val="0"/>
          <c:showPercent val="0"/>
          <c:showBubbleSize val="0"/>
        </c:dLbls>
        <c:gapWidth val="219"/>
        <c:overlap val="-27"/>
        <c:axId val="84789888"/>
        <c:axId val="84798080"/>
      </c:barChart>
      <c:catAx>
        <c:axId val="847898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8080"/>
        <c:crosses val="autoZero"/>
        <c:auto val="1"/>
        <c:lblAlgn val="ctr"/>
        <c:lblOffset val="100"/>
        <c:noMultiLvlLbl val="0"/>
      </c:catAx>
      <c:valAx>
        <c:axId val="84798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8988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年度决算支出结构图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93151642208246"/>
          <c:y val="0.00706547338671691"/>
        </c:manualLayout>
      </c:layout>
      <c:overlay val="0"/>
      <c:spPr>
        <a:noFill/>
        <a:ln>
          <a:noFill/>
        </a:ln>
        <a:effectLst/>
      </c:sp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431.15, </a:t>
                    </a:r>
                    <a:r>
                      <a:rPr lang="en-US" altLang="en-US"/>
                      <a:t>0.67</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91.76 , 0</a:t>
                    </a:r>
                    <a:r>
                      <a:rPr lang="en-US" altLang="en-US"/>
                      <a:t>.14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250.00 , 0</a:t>
                    </a:r>
                    <a:r>
                      <a:rPr lang="en-US" altLang="en-US"/>
                      <a:t>.39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26071.70 , 4</a:t>
                    </a:r>
                    <a:r>
                      <a:rPr lang="en-US" altLang="en-US"/>
                      <a:t>0.79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2074.13 , 3</a:t>
                    </a:r>
                    <a:r>
                      <a:rPr lang="en-US" altLang="en-US"/>
                      <a:t>.24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35000.00 , 5</a:t>
                    </a:r>
                    <a:r>
                      <a:rPr lang="en-US" altLang="en-US"/>
                      <a:t>4.76</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Sheet3!$D$22:$D$27</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Sheet3!$E$22:$E$27</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delete val="1"/>
          </c:dLbls>
          <c:cat>
            <c:strRef>
              <c:f>Sheet3!$D$22:$D$27</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Sheet3!$F$22:$F$27</c:f>
              <c:numCache>
                <c:formatCode>0.00%</c:formatCode>
                <c:ptCount val="6"/>
                <c:pt idx="0">
                  <c:v>0.00674528315170168</c:v>
                </c:pt>
                <c:pt idx="1">
                  <c:v>0.00143557272874903</c:v>
                </c:pt>
                <c:pt idx="2">
                  <c:v>0.00391121602209305</c:v>
                </c:pt>
                <c:pt idx="3">
                  <c:v>0.407888203052814</c:v>
                </c:pt>
                <c:pt idx="4">
                  <c:v>0.0324494819516154</c:v>
                </c:pt>
                <c:pt idx="5">
                  <c:v>0.547570243093027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年预算支出与决算支出对比图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15463917525773"/>
          <c:y val="0.0255536626916525"/>
        </c:manualLayout>
      </c:layout>
      <c:overlay val="0"/>
      <c:spPr>
        <a:noFill/>
        <a:ln>
          <a:noFill/>
        </a:ln>
        <a:effectLst/>
      </c:spPr>
    </c:title>
    <c:autoTitleDeleted val="0"/>
    <c:plotArea>
      <c:layout>
        <c:manualLayout>
          <c:layoutTarget val="inner"/>
          <c:xMode val="edge"/>
          <c:yMode val="edge"/>
          <c:x val="0.140858151966399"/>
          <c:y val="0.218086851741557"/>
          <c:w val="0.73564814814815"/>
          <c:h val="0.454259259259259"/>
        </c:manualLayout>
      </c:layout>
      <c:barChart>
        <c:barDir val="col"/>
        <c:grouping val="clustered"/>
        <c:varyColors val="0"/>
        <c:ser>
          <c:idx val="0"/>
          <c:order val="0"/>
          <c:tx>
            <c:strRef>
              <c:f>Sheet3!$E$30</c:f>
              <c:strCache>
                <c:ptCount val="1"/>
                <c:pt idx="0">
                  <c:v>预算</c:v>
                </c:pt>
              </c:strCache>
            </c:strRef>
          </c:tx>
          <c:invertIfNegative val="0"/>
          <c:dLbls>
            <c:dLbl>
              <c:idx val="2"/>
              <c:layout>
                <c:manualLayout>
                  <c:x val="5.39368094955836e-17"/>
                  <c:y val="0.02534854245880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Sheet3!$D$31:$D$36</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Sheet3!$E$31:$E$36</c:f>
              <c:numCache>
                <c:formatCode>General</c:formatCode>
                <c:ptCount val="6"/>
                <c:pt idx="0">
                  <c:v>408.23</c:v>
                </c:pt>
                <c:pt idx="2" c:formatCode="0.00_ ">
                  <c:v>119.62</c:v>
                </c:pt>
                <c:pt idx="3" c:formatCode="0.00_ ">
                  <c:v>3324.63</c:v>
                </c:pt>
                <c:pt idx="4" c:formatCode="0.00_ ">
                  <c:v>223.51</c:v>
                </c:pt>
              </c:numCache>
            </c:numRef>
          </c:val>
        </c:ser>
        <c:ser>
          <c:idx val="1"/>
          <c:order val="1"/>
          <c:tx>
            <c:strRef>
              <c:f>Sheet3!$F$30</c:f>
              <c:strCache>
                <c:ptCount val="1"/>
                <c:pt idx="0">
                  <c:v>决算</c:v>
                </c:pt>
              </c:strCache>
            </c:strRef>
          </c:tx>
          <c:invertIfNegative val="0"/>
          <c:dLbls>
            <c:dLbl>
              <c:idx val="0"/>
              <c:layout>
                <c:manualLayout>
                  <c:x val="0.038246543100912"/>
                  <c:y val="0.07966684772768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88408355398647"/>
                  <c:y val="0.05069708491761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8261253309797"/>
                  <c:y val="-0.01086366105377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3045013239188"/>
                  <c:y val="-0.0217276072430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35363342159459"/>
                  <c:y val="0.08328806807894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94204177699323"/>
                  <c:y val="0.003621220351258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Sheet3!$D$31:$D$36</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Sheet3!$F$31:$F$36</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dLbls>
          <c:showLegendKey val="0"/>
          <c:showVal val="1"/>
          <c:showCatName val="0"/>
          <c:showSerName val="0"/>
          <c:showPercent val="0"/>
          <c:showBubbleSize val="0"/>
        </c:dLbls>
        <c:gapWidth val="219"/>
        <c:overlap val="-27"/>
        <c:axId val="86663168"/>
        <c:axId val="86665088"/>
      </c:barChart>
      <c:catAx>
        <c:axId val="86663168"/>
        <c:scaling>
          <c:orientation val="minMax"/>
        </c:scaling>
        <c:delete val="0"/>
        <c:axPos val="b"/>
        <c:majorTickMark val="none"/>
        <c:minorTickMark val="none"/>
        <c:tickLblPos val="nextTo"/>
        <c:spPr>
          <a:noFill/>
          <a:ln w="317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5088"/>
        <c:crosses val="autoZero"/>
        <c:auto val="1"/>
        <c:lblAlgn val="ctr"/>
        <c:lblOffset val="100"/>
        <c:noMultiLvlLbl val="0"/>
      </c:catAx>
      <c:valAx>
        <c:axId val="86665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316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2394</Words>
  <Characters>13647</Characters>
  <Lines>113</Lines>
  <Paragraphs>32</Paragraphs>
  <TotalTime>20</TotalTime>
  <ScaleCrop>false</ScaleCrop>
  <LinksUpToDate>false</LinksUpToDate>
  <CharactersWithSpaces>16009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dell</cp:lastModifiedBy>
  <cp:lastPrinted>2023-08-15T07:58:00Z</cp:lastPrinted>
  <dcterms:modified xsi:type="dcterms:W3CDTF">2024-06-04T02:23:18Z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86FADBE4751F43B8B9533EF4B1C473E9_13</vt:lpwstr>
  </property>
</Properties>
</file>