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保定市徐水区科协</w:t>
      </w:r>
    </w:p>
    <w:p>
      <w:pPr>
        <w:jc w:val="center"/>
        <w:rPr>
          <w:rFonts w:ascii="宋体" w:hAnsi="宋体"/>
          <w:b/>
          <w:sz w:val="44"/>
          <w:szCs w:val="44"/>
        </w:rPr>
      </w:pPr>
      <w:r>
        <w:rPr>
          <w:rFonts w:hint="eastAsia" w:ascii="宋体" w:hAnsi="宋体"/>
          <w:b/>
          <w:sz w:val="44"/>
          <w:szCs w:val="44"/>
        </w:rPr>
        <w:t>2018年部门预算信息公开</w:t>
      </w:r>
    </w:p>
    <w:p>
      <w:pPr>
        <w:spacing w:line="520" w:lineRule="exact"/>
        <w:ind w:firstLine="640" w:firstLineChars="200"/>
        <w:jc w:val="left"/>
        <w:rPr>
          <w:rFonts w:hint="eastAsia" w:ascii="Times New Roman" w:hAnsi="Times New Roman" w:eastAsia="方正仿宋_GBK"/>
          <w:sz w:val="32"/>
          <w:szCs w:val="32"/>
        </w:rPr>
      </w:pPr>
    </w:p>
    <w:p>
      <w:pPr>
        <w:spacing w:line="52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按照《中华人民共和国预算法》、</w:t>
      </w:r>
      <w:r>
        <w:rPr>
          <w:rFonts w:hint="eastAsia" w:ascii="仿宋" w:hAnsi="仿宋" w:eastAsia="仿宋"/>
          <w:sz w:val="32"/>
          <w:szCs w:val="32"/>
        </w:rPr>
        <w:t>《地方预决算公开操作规程》等</w:t>
      </w:r>
      <w:r>
        <w:rPr>
          <w:rFonts w:ascii="仿宋" w:hAnsi="仿宋" w:eastAsia="仿宋"/>
          <w:sz w:val="32"/>
          <w:szCs w:val="32"/>
        </w:rPr>
        <w:t>有关文件的</w:t>
      </w:r>
      <w:r>
        <w:rPr>
          <w:rFonts w:hint="eastAsia" w:ascii="仿宋" w:hAnsi="仿宋" w:eastAsia="仿宋" w:cs="仿宋_GB2312"/>
          <w:sz w:val="32"/>
          <w:szCs w:val="32"/>
        </w:rPr>
        <w:t>规定，现将保定市徐水区科协2018年部门预算公开如下：</w:t>
      </w: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第一部分:部门职责及机构设置情况</w:t>
      </w:r>
    </w:p>
    <w:p>
      <w:pPr>
        <w:spacing w:line="520" w:lineRule="exact"/>
        <w:ind w:firstLine="640" w:firstLineChars="200"/>
        <w:jc w:val="center"/>
        <w:rPr>
          <w:rFonts w:hint="eastAsia" w:ascii="黑体" w:hAnsi="黑体" w:eastAsia="黑体"/>
          <w:sz w:val="32"/>
          <w:szCs w:val="32"/>
        </w:rPr>
      </w:pP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一、部门职责</w:t>
      </w:r>
    </w:p>
    <w:p>
      <w:pPr>
        <w:spacing w:line="360" w:lineRule="auto"/>
        <w:ind w:firstLine="640" w:firstLineChars="200"/>
        <w:rPr>
          <w:rFonts w:ascii="仿宋" w:hAnsi="仿宋" w:eastAsia="仿宋"/>
          <w:sz w:val="32"/>
          <w:szCs w:val="28"/>
        </w:rPr>
      </w:pPr>
      <w:r>
        <w:rPr>
          <w:rFonts w:hint="eastAsia" w:ascii="仿宋" w:hAnsi="仿宋" w:eastAsia="仿宋"/>
          <w:sz w:val="32"/>
          <w:szCs w:val="28"/>
        </w:rPr>
        <w:t>1、开展学术交流，活跃学术思想，促进学科发展和知识创新。</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2、普及科学知识，传播科学思想和科学方法，推广先进技术，开展青少年科学技术教育普及活动。</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3、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4、表彰奖励优秀科学技术工作者，举荐人才。</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5、开展科学论证、科技咨询服务工作，提出政策建议，促进科学技术成果的转化和技术创新。</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6、开展科技交流活动，发展科学技术团体和科学技术工作者的友好交往。</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7、开展科技工作者的继续教育和培训工作。</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8、负责指导本区各乡镇科协，企业科协及所主管的有关学会和科技类社会团体工作。</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9、参与指导全区的反邪教工作，积极组织全区科协系统开展反对伪科学、反科学活动。</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10、承担区委、区政府交办的有关事宜。</w:t>
      </w:r>
    </w:p>
    <w:p>
      <w:pPr>
        <w:pStyle w:val="15"/>
        <w:spacing w:line="520" w:lineRule="exact"/>
        <w:ind w:firstLine="736" w:firstLineChars="230"/>
        <w:rPr>
          <w:rFonts w:hint="eastAsia"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tbl>
      <w:tblPr>
        <w:tblStyle w:val="8"/>
        <w:tblW w:w="0" w:type="auto"/>
        <w:jc w:val="center"/>
        <w:tblLayout w:type="fixed"/>
        <w:tblCellMar>
          <w:top w:w="0" w:type="dxa"/>
          <w:left w:w="108" w:type="dxa"/>
          <w:bottom w:w="0" w:type="dxa"/>
          <w:right w:w="108" w:type="dxa"/>
        </w:tblCellMar>
      </w:tblPr>
      <w:tblGrid>
        <w:gridCol w:w="1080"/>
        <w:gridCol w:w="2320"/>
        <w:gridCol w:w="2120"/>
        <w:gridCol w:w="1900"/>
        <w:gridCol w:w="2376"/>
      </w:tblGrid>
      <w:tr>
        <w:tblPrEx>
          <w:tblCellMar>
            <w:top w:w="0" w:type="dxa"/>
            <w:left w:w="108" w:type="dxa"/>
            <w:bottom w:w="0" w:type="dxa"/>
            <w:right w:w="108" w:type="dxa"/>
          </w:tblCellMar>
        </w:tblPrEx>
        <w:trPr>
          <w:trHeight w:val="810" w:hRule="atLeast"/>
          <w:jc w:val="center"/>
        </w:trPr>
        <w:tc>
          <w:tcPr>
            <w:tcW w:w="9796" w:type="dxa"/>
            <w:gridSpan w:val="5"/>
            <w:tcBorders>
              <w:top w:val="nil"/>
              <w:left w:val="nil"/>
              <w:bottom w:val="single" w:color="auto" w:sz="4" w:space="0"/>
              <w:right w:val="nil"/>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tblPrEx>
          <w:tblCellMar>
            <w:top w:w="0" w:type="dxa"/>
            <w:left w:w="108" w:type="dxa"/>
            <w:bottom w:w="0" w:type="dxa"/>
            <w:right w:w="108" w:type="dxa"/>
          </w:tblCellMar>
        </w:tblPrEx>
        <w:trPr>
          <w:trHeight w:val="7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3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19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单位规格</w:t>
            </w:r>
          </w:p>
        </w:tc>
        <w:tc>
          <w:tcPr>
            <w:tcW w:w="23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经费保障形式</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3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1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3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保定市徐水区科学技术协会</w:t>
            </w:r>
          </w:p>
        </w:tc>
        <w:tc>
          <w:tcPr>
            <w:tcW w:w="21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事业单位</w:t>
            </w:r>
          </w:p>
        </w:tc>
        <w:tc>
          <w:tcPr>
            <w:tcW w:w="19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正科级</w:t>
            </w:r>
          </w:p>
        </w:tc>
        <w:tc>
          <w:tcPr>
            <w:tcW w:w="23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w:t>
            </w:r>
          </w:p>
        </w:tc>
      </w:tr>
    </w:tbl>
    <w:p>
      <w:pPr>
        <w:spacing w:line="600" w:lineRule="exact"/>
        <w:ind w:firstLine="660"/>
        <w:rPr>
          <w:rFonts w:hint="eastAsia" w:ascii="仿宋_GB2312" w:eastAsia="仿宋_GB2312"/>
          <w:sz w:val="32"/>
          <w:szCs w:val="21"/>
        </w:rPr>
      </w:pPr>
    </w:p>
    <w:p>
      <w:pPr>
        <w:spacing w:line="520" w:lineRule="exact"/>
        <w:ind w:firstLine="560"/>
        <w:rPr>
          <w:rFonts w:hint="eastAsia" w:ascii="仿宋_GB2312" w:hAnsi="黑体" w:eastAsia="仿宋_GB2312"/>
          <w:kern w:val="0"/>
          <w:sz w:val="32"/>
          <w:szCs w:val="32"/>
        </w:rPr>
      </w:pPr>
    </w:p>
    <w:p>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pPr>
        <w:spacing w:line="520" w:lineRule="exact"/>
        <w:ind w:left="1713"/>
        <w:rPr>
          <w:rFonts w:hint="eastAsia" w:ascii="黑体" w:hAnsi="黑体" w:eastAsia="黑体"/>
          <w:sz w:val="32"/>
          <w:szCs w:val="32"/>
        </w:rPr>
      </w:pP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1、收入说明</w:t>
      </w:r>
    </w:p>
    <w:p>
      <w:pPr>
        <w:ind w:firstLine="640" w:firstLineChars="200"/>
        <w:rPr>
          <w:rFonts w:hint="eastAsia" w:ascii="宋体" w:hAnsi="宋体"/>
          <w:sz w:val="32"/>
          <w:szCs w:val="32"/>
        </w:rPr>
      </w:pPr>
      <w:r>
        <w:rPr>
          <w:rFonts w:hint="eastAsia" w:ascii="宋体" w:hAnsi="宋体"/>
          <w:sz w:val="32"/>
          <w:szCs w:val="32"/>
        </w:rPr>
        <w:t>2018年保定市徐水区科协年初部门收入预算总额为137.66万元。其中：一般公共预算收入137.66万元。</w:t>
      </w:r>
    </w:p>
    <w:p>
      <w:pPr>
        <w:spacing w:line="52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2、支出说明</w:t>
      </w:r>
    </w:p>
    <w:p>
      <w:pPr>
        <w:ind w:firstLine="640" w:firstLineChars="200"/>
        <w:rPr>
          <w:rFonts w:ascii="宋体" w:hAnsi="宋体"/>
          <w:sz w:val="32"/>
          <w:szCs w:val="32"/>
        </w:rPr>
      </w:pPr>
      <w:r>
        <w:rPr>
          <w:rFonts w:hint="eastAsia" w:ascii="宋体" w:hAnsi="宋体"/>
          <w:sz w:val="32"/>
          <w:szCs w:val="32"/>
        </w:rPr>
        <w:t>2017年部门支出安排预算总额：137.66万元</w:t>
      </w:r>
    </w:p>
    <w:p>
      <w:pPr>
        <w:ind w:firstLine="640" w:firstLineChars="200"/>
        <w:rPr>
          <w:rFonts w:hint="eastAsia" w:ascii="宋体" w:hAnsi="宋体"/>
          <w:sz w:val="32"/>
          <w:szCs w:val="32"/>
        </w:rPr>
      </w:pPr>
      <w:r>
        <w:rPr>
          <w:rFonts w:hint="eastAsia" w:ascii="宋体" w:hAnsi="宋体"/>
          <w:sz w:val="32"/>
          <w:szCs w:val="32"/>
        </w:rPr>
        <w:t xml:space="preserve">  1、基本支出   133.66万元</w:t>
      </w:r>
    </w:p>
    <w:p>
      <w:pPr>
        <w:ind w:firstLine="640" w:firstLineChars="200"/>
        <w:rPr>
          <w:rFonts w:hint="eastAsia" w:ascii="宋体" w:hAnsi="宋体"/>
          <w:sz w:val="32"/>
          <w:szCs w:val="32"/>
        </w:rPr>
      </w:pPr>
      <w:r>
        <w:rPr>
          <w:rFonts w:hint="eastAsia" w:ascii="宋体" w:hAnsi="宋体"/>
          <w:sz w:val="32"/>
          <w:szCs w:val="32"/>
        </w:rPr>
        <w:t xml:space="preserve">     其中： 人员经费  116.12万元</w:t>
      </w:r>
    </w:p>
    <w:p>
      <w:pPr>
        <w:ind w:firstLine="640" w:firstLineChars="200"/>
        <w:rPr>
          <w:rFonts w:hint="eastAsia" w:ascii="宋体" w:hAnsi="宋体"/>
          <w:sz w:val="32"/>
          <w:szCs w:val="32"/>
        </w:rPr>
      </w:pPr>
      <w:r>
        <w:rPr>
          <w:rFonts w:hint="eastAsia" w:ascii="宋体" w:hAnsi="宋体"/>
          <w:sz w:val="32"/>
          <w:szCs w:val="32"/>
        </w:rPr>
        <w:t xml:space="preserve">            日常公用经费 17.54万元</w:t>
      </w:r>
    </w:p>
    <w:p>
      <w:pPr>
        <w:ind w:firstLine="960" w:firstLineChars="300"/>
        <w:rPr>
          <w:rFonts w:hint="eastAsia" w:ascii="宋体" w:hAnsi="宋体"/>
          <w:sz w:val="32"/>
          <w:szCs w:val="32"/>
        </w:rPr>
      </w:pPr>
      <w:r>
        <w:rPr>
          <w:rFonts w:hint="eastAsia" w:ascii="宋体" w:hAnsi="宋体"/>
          <w:sz w:val="32"/>
          <w:szCs w:val="32"/>
        </w:rPr>
        <w:t>2、项目支出    4万元</w:t>
      </w:r>
    </w:p>
    <w:p>
      <w:pPr>
        <w:ind w:firstLine="960" w:firstLineChars="300"/>
        <w:rPr>
          <w:rFonts w:hint="eastAsia" w:ascii="宋体" w:hAnsi="宋体"/>
          <w:sz w:val="32"/>
          <w:szCs w:val="32"/>
        </w:rPr>
      </w:pPr>
      <w:r>
        <w:rPr>
          <w:rFonts w:hint="eastAsia" w:ascii="宋体" w:hAnsi="宋体"/>
          <w:sz w:val="32"/>
          <w:szCs w:val="32"/>
        </w:rPr>
        <w:t>其中：本级支出  4万元</w:t>
      </w:r>
    </w:p>
    <w:p>
      <w:pPr>
        <w:tabs>
          <w:tab w:val="left" w:pos="916"/>
        </w:tabs>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3、比上年增减情况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本年度预算收支安排137.66万元，较上年减少21.57万元。其中:基本支出减少21.57万元，主要减少人员经费支出；项目支出4万元与去年持平。</w:t>
      </w:r>
    </w:p>
    <w:p>
      <w:pPr>
        <w:spacing w:line="520" w:lineRule="exact"/>
        <w:outlineLvl w:val="0"/>
        <w:rPr>
          <w:rFonts w:hint="eastAsia" w:ascii="黑体" w:hAnsi="黑体" w:eastAsia="黑体"/>
          <w:sz w:val="32"/>
          <w:szCs w:val="32"/>
        </w:rPr>
      </w:pPr>
    </w:p>
    <w:p>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pPr>
        <w:spacing w:line="520" w:lineRule="exact"/>
        <w:jc w:val="center"/>
        <w:outlineLvl w:val="0"/>
        <w:rPr>
          <w:rFonts w:hint="eastAsia" w:ascii="黑体" w:hAnsi="黑体" w:eastAsia="黑体"/>
          <w:sz w:val="32"/>
          <w:szCs w:val="32"/>
        </w:rPr>
      </w:pPr>
    </w:p>
    <w:p>
      <w:pPr>
        <w:spacing w:line="500" w:lineRule="exact"/>
        <w:ind w:firstLine="627" w:firstLineChars="196"/>
        <w:jc w:val="left"/>
        <w:outlineLvl w:val="0"/>
        <w:rPr>
          <w:rFonts w:hint="eastAsia" w:ascii="仿宋" w:hAnsi="仿宋" w:eastAsia="仿宋"/>
          <w:sz w:val="32"/>
          <w:szCs w:val="32"/>
        </w:rPr>
      </w:pPr>
      <w:r>
        <w:rPr>
          <w:rFonts w:hint="eastAsia" w:ascii="仿宋" w:hAnsi="仿宋" w:eastAsia="仿宋"/>
          <w:sz w:val="32"/>
          <w:szCs w:val="32"/>
        </w:rPr>
        <w:t>保定市徐水区科协机关运行经费安排17.54万元，其中办公费2.80万元，邮电费3.60万元，工会经费、福利费1.82万元，公务用车运行维护费3万元，其他支出6.32万元。</w:t>
      </w:r>
    </w:p>
    <w:p>
      <w:pPr>
        <w:spacing w:line="520" w:lineRule="exact"/>
        <w:jc w:val="center"/>
        <w:outlineLvl w:val="0"/>
        <w:rPr>
          <w:rFonts w:ascii="黑体" w:hAnsi="黑体" w:eastAsia="黑体"/>
          <w:sz w:val="32"/>
          <w:szCs w:val="32"/>
        </w:rPr>
      </w:pPr>
    </w:p>
    <w:p>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第四部分：财政拨款“三公”经费预算情况及增减变化原因</w:t>
      </w:r>
    </w:p>
    <w:p>
      <w:pPr>
        <w:spacing w:line="520" w:lineRule="exact"/>
        <w:jc w:val="center"/>
        <w:outlineLvl w:val="0"/>
        <w:rPr>
          <w:rFonts w:hint="eastAsia" w:ascii="黑体" w:hAnsi="黑体" w:eastAsia="黑体"/>
          <w:sz w:val="32"/>
          <w:szCs w:val="32"/>
        </w:rPr>
      </w:pPr>
    </w:p>
    <w:tbl>
      <w:tblPr>
        <w:tblStyle w:val="8"/>
        <w:tblW w:w="0" w:type="auto"/>
        <w:tblInd w:w="0" w:type="dxa"/>
        <w:tblLayout w:type="fixed"/>
        <w:tblCellMar>
          <w:top w:w="0" w:type="dxa"/>
          <w:left w:w="108" w:type="dxa"/>
          <w:bottom w:w="0" w:type="dxa"/>
          <w:right w:w="108" w:type="dxa"/>
        </w:tblCellMar>
      </w:tblPr>
      <w:tblGrid>
        <w:gridCol w:w="132"/>
        <w:gridCol w:w="2113"/>
        <w:gridCol w:w="1717"/>
        <w:gridCol w:w="1717"/>
        <w:gridCol w:w="1177"/>
        <w:gridCol w:w="5136"/>
      </w:tblGrid>
      <w:tr>
        <w:tblPrEx>
          <w:tblCellMar>
            <w:top w:w="0" w:type="dxa"/>
            <w:left w:w="108" w:type="dxa"/>
            <w:bottom w:w="0" w:type="dxa"/>
            <w:right w:w="108" w:type="dxa"/>
          </w:tblCellMar>
        </w:tblPrEx>
        <w:trPr>
          <w:gridBefore w:val="1"/>
          <w:wBefore w:w="55" w:type="pct"/>
          <w:trHeight w:val="405" w:hRule="atLeast"/>
        </w:trPr>
        <w:tc>
          <w:tcPr>
            <w:tcW w:w="9747" w:type="dxa"/>
            <w:gridSpan w:val="5"/>
            <w:tcBorders>
              <w:top w:val="nil"/>
              <w:left w:val="nil"/>
              <w:bottom w:val="nil"/>
              <w:right w:val="nil"/>
            </w:tcBorders>
            <w:noWrap w:val="0"/>
            <w:vAlign w:val="center"/>
          </w:tcPr>
          <w:p>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tblPrEx>
          <w:tblCellMar>
            <w:top w:w="0" w:type="dxa"/>
            <w:left w:w="108" w:type="dxa"/>
            <w:bottom w:w="0" w:type="dxa"/>
            <w:right w:w="108" w:type="dxa"/>
          </w:tblCellMar>
        </w:tblPrEx>
        <w:trPr>
          <w:trHeight w:val="285" w:hRule="atLeast"/>
        </w:trPr>
        <w:tc>
          <w:tcPr>
            <w:tcW w:w="213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trPr>
        <w:tc>
          <w:tcPr>
            <w:tcW w:w="21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2016年度预算</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2017年度预算</w:t>
            </w:r>
          </w:p>
        </w:tc>
        <w:tc>
          <w:tcPr>
            <w:tcW w:w="117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增减金额</w:t>
            </w:r>
          </w:p>
        </w:tc>
        <w:tc>
          <w:tcPr>
            <w:tcW w:w="31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变化原因</w:t>
            </w:r>
          </w:p>
        </w:tc>
      </w:tr>
      <w:tr>
        <w:tblPrEx>
          <w:tblCellMar>
            <w:top w:w="0" w:type="dxa"/>
            <w:left w:w="108" w:type="dxa"/>
            <w:bottom w:w="0" w:type="dxa"/>
            <w:right w:w="108" w:type="dxa"/>
          </w:tblCellMar>
        </w:tblPrEx>
        <w:trPr>
          <w:trHeight w:val="28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trHeight w:val="28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trHeight w:val="570"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85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trHeight w:val="1140"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2018年，我单位针对三公经费支出制定了严格的管理制度，认真执行中央八项规定</w:t>
            </w:r>
            <w:bookmarkStart w:id="1" w:name="_GoBack"/>
            <w:bookmarkEnd w:id="1"/>
            <w:r>
              <w:rPr>
                <w:rFonts w:hint="eastAsia" w:ascii="宋体" w:hAnsi="宋体" w:cs="宋体"/>
                <w:kern w:val="0"/>
                <w:sz w:val="24"/>
                <w:szCs w:val="24"/>
              </w:rPr>
              <w:t>，厉行节约，杜绝浪费。从总量来讲，我单位的三公经费与2017年持平</w:t>
            </w:r>
          </w:p>
        </w:tc>
      </w:tr>
    </w:tbl>
    <w:p>
      <w:pPr>
        <w:outlineLvl w:val="0"/>
        <w:rPr>
          <w:rFonts w:hint="eastAsia" w:ascii="黑体" w:hAnsi="黑体" w:eastAsia="黑体"/>
          <w:b/>
          <w:sz w:val="32"/>
        </w:rPr>
      </w:pPr>
    </w:p>
    <w:p>
      <w:pPr>
        <w:jc w:val="center"/>
        <w:outlineLvl w:val="0"/>
        <w:rPr>
          <w:rFonts w:hint="eastAsia" w:ascii="黑体" w:hAnsi="黑体" w:eastAsia="黑体"/>
          <w:sz w:val="32"/>
          <w:szCs w:val="32"/>
        </w:rPr>
      </w:pPr>
      <w:r>
        <w:rPr>
          <w:rFonts w:hint="eastAsia" w:ascii="黑体" w:hAnsi="黑体" w:eastAsia="黑体"/>
          <w:sz w:val="32"/>
          <w:szCs w:val="32"/>
        </w:rPr>
        <w:t>第五部分：绩效预算信息</w:t>
      </w:r>
    </w:p>
    <w:p>
      <w:pPr>
        <w:jc w:val="center"/>
        <w:outlineLvl w:val="0"/>
        <w:rPr>
          <w:rFonts w:ascii="宋体" w:hAnsi="宋体"/>
        </w:rPr>
      </w:pPr>
      <w:r>
        <w:rPr>
          <w:rFonts w:ascii="宋体" w:hAnsi="宋体"/>
        </w:rPr>
        <w:t xml:space="preserve"> </w:t>
      </w:r>
    </w:p>
    <w:p>
      <w:pPr>
        <w:spacing w:line="520" w:lineRule="exact"/>
        <w:ind w:firstLine="643" w:firstLineChars="200"/>
        <w:jc w:val="left"/>
        <w:rPr>
          <w:rFonts w:hint="eastAsia" w:ascii="黑体" w:hAnsi="黑体" w:eastAsia="黑体"/>
          <w:b/>
          <w:sz w:val="32"/>
          <w:szCs w:val="32"/>
        </w:rPr>
      </w:pPr>
    </w:p>
    <w:p>
      <w:pPr>
        <w:ind w:firstLine="560"/>
        <w:rPr>
          <w:rFonts w:hint="eastAsia"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总体绩效目标</w:t>
      </w:r>
      <w:r>
        <w:rPr>
          <w:rFonts w:hint="eastAsia" w:ascii="黑体" w:hAnsi="黑体" w:eastAsia="黑体"/>
          <w:b/>
          <w:sz w:val="32"/>
          <w:szCs w:val="32"/>
        </w:rPr>
        <w:t>：</w:t>
      </w:r>
    </w:p>
    <w:p>
      <w:pPr>
        <w:ind w:firstLine="560"/>
        <w:rPr>
          <w:rFonts w:ascii="仿宋" w:hAnsi="仿宋" w:eastAsia="仿宋"/>
          <w:sz w:val="32"/>
        </w:rPr>
      </w:pPr>
      <w:r>
        <w:rPr>
          <w:rFonts w:hint="eastAsia" w:ascii="仿宋" w:hAnsi="仿宋" w:eastAsia="仿宋"/>
          <w:sz w:val="32"/>
        </w:rPr>
        <w:t>1.</w:t>
      </w:r>
      <w:r>
        <w:rPr>
          <w:rFonts w:hint="eastAsia" w:ascii="仿宋" w:hAnsi="仿宋" w:eastAsia="仿宋" w:cs="宋体"/>
          <w:sz w:val="32"/>
        </w:rPr>
        <w:t>提升重点人群科学素质，包括农民、社区居民、公务员和领导干部、青少年等。</w:t>
      </w:r>
    </w:p>
    <w:p>
      <w:pPr>
        <w:ind w:firstLine="560"/>
        <w:rPr>
          <w:rFonts w:hint="eastAsia" w:ascii="仿宋" w:hAnsi="仿宋" w:eastAsia="仿宋"/>
          <w:sz w:val="32"/>
        </w:rPr>
      </w:pPr>
      <w:r>
        <w:rPr>
          <w:rFonts w:hint="eastAsia" w:ascii="仿宋" w:hAnsi="仿宋" w:eastAsia="仿宋"/>
          <w:sz w:val="32"/>
        </w:rPr>
        <w:t>2.</w:t>
      </w:r>
      <w:r>
        <w:rPr>
          <w:rFonts w:hint="eastAsia" w:ascii="仿宋" w:hAnsi="仿宋" w:eastAsia="仿宋" w:cs="宋体"/>
          <w:sz w:val="32"/>
        </w:rPr>
        <w:t>重点组织好全国科普日活动，组织参与科技周，食品安全宣传周、节水日，土地日等科普宣传周日和节能、环保等重点科普宣传活动。</w:t>
      </w:r>
    </w:p>
    <w:p>
      <w:pPr>
        <w:ind w:firstLine="560"/>
        <w:rPr>
          <w:rFonts w:hint="eastAsia" w:ascii="仿宋" w:hAnsi="仿宋" w:eastAsia="仿宋"/>
          <w:sz w:val="32"/>
        </w:rPr>
      </w:pPr>
      <w:r>
        <w:rPr>
          <w:rFonts w:hint="eastAsia" w:ascii="仿宋" w:hAnsi="仿宋" w:eastAsia="仿宋"/>
          <w:sz w:val="32"/>
        </w:rPr>
        <w:t>3.</w:t>
      </w:r>
      <w:r>
        <w:rPr>
          <w:rFonts w:hint="eastAsia" w:ascii="仿宋" w:hAnsi="仿宋" w:eastAsia="仿宋" w:cs="宋体"/>
          <w:sz w:val="32"/>
        </w:rPr>
        <w:t>加强乡镇</w:t>
      </w:r>
      <w:r>
        <w:rPr>
          <w:rFonts w:hint="eastAsia" w:ascii="仿宋" w:hAnsi="仿宋" w:eastAsia="仿宋"/>
          <w:sz w:val="32"/>
        </w:rPr>
        <w:t>(</w:t>
      </w:r>
      <w:r>
        <w:rPr>
          <w:rFonts w:hint="eastAsia" w:ascii="仿宋" w:hAnsi="仿宋" w:eastAsia="仿宋" w:cs="宋体"/>
          <w:sz w:val="32"/>
        </w:rPr>
        <w:t>街道）科协和园区科协等基层科协体系建设，提高基层科普服务能力。对于公众科学素质、助力全区经济社会发展具有重要意义。</w:t>
      </w:r>
    </w:p>
    <w:p>
      <w:pPr>
        <w:spacing w:line="520" w:lineRule="exact"/>
        <w:ind w:firstLine="723" w:firstLineChars="200"/>
        <w:jc w:val="left"/>
        <w:rPr>
          <w:rFonts w:hint="eastAsia" w:ascii="仿宋" w:hAnsi="仿宋" w:eastAsia="仿宋"/>
          <w:b/>
          <w:sz w:val="36"/>
          <w:szCs w:val="32"/>
        </w:rPr>
      </w:pPr>
    </w:p>
    <w:p>
      <w:pPr>
        <w:spacing w:line="520" w:lineRule="exact"/>
        <w:ind w:firstLine="560"/>
        <w:rPr>
          <w:rFonts w:ascii="仿宋_GB2312" w:hAnsi="仿宋" w:eastAsia="仿宋_GB2312"/>
          <w:kern w:val="0"/>
          <w:sz w:val="32"/>
          <w:szCs w:val="32"/>
        </w:rPr>
        <w:sectPr>
          <w:headerReference r:id="rId3" w:type="default"/>
          <w:pgSz w:w="16839" w:h="11907" w:orient="landscape"/>
          <w:pgMar w:top="1134" w:right="1531" w:bottom="1134" w:left="1474" w:header="851" w:footer="992" w:gutter="0"/>
          <w:cols w:space="720" w:num="1"/>
          <w:docGrid w:linePitch="312" w:charSpace="0"/>
        </w:sectPr>
      </w:pPr>
    </w:p>
    <w:p>
      <w:pPr>
        <w:jc w:val="center"/>
        <w:outlineLvl w:val="0"/>
        <w:rPr>
          <w:rFonts w:ascii="黑体" w:hAnsi="黑体" w:eastAsia="黑体"/>
          <w:b/>
          <w:sz w:val="32"/>
        </w:rPr>
      </w:pPr>
      <w:bookmarkStart w:id="0" w:name="_Toc441150763"/>
      <w:r>
        <w:rPr>
          <w:rFonts w:hint="eastAsia" w:ascii="黑体" w:hAnsi="黑体" w:eastAsia="黑体"/>
          <w:kern w:val="0"/>
          <w:sz w:val="32"/>
          <w:szCs w:val="32"/>
        </w:rPr>
        <w:t>二、</w:t>
      </w:r>
      <w:r>
        <w:rPr>
          <w:rFonts w:hint="eastAsia" w:ascii="黑体" w:hAnsi="黑体" w:eastAsia="黑体"/>
          <w:b/>
          <w:sz w:val="32"/>
        </w:rPr>
        <w:t>部门职责-工作活动绩效目标</w:t>
      </w:r>
    </w:p>
    <w:p>
      <w:pPr>
        <w:spacing w:line="300" w:lineRule="exact"/>
        <w:jc w:val="left"/>
        <w:outlineLvl w:val="0"/>
        <w:rPr>
          <w:rFonts w:hint="eastAsia"/>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731</w:t>
            </w:r>
            <w:r>
              <w:rPr>
                <w:rFonts w:hint="eastAsia" w:ascii="方正小标宋_GBK" w:eastAsia="方正小标宋_GBK"/>
                <w:sz w:val="24"/>
              </w:rPr>
              <w:t>保定市徐水区科学技术协会</w:t>
            </w:r>
          </w:p>
        </w:tc>
        <w:tc>
          <w:tcPr>
            <w:tcW w:w="2948"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pPr>
              <w:spacing w:line="300" w:lineRule="exact"/>
              <w:jc w:val="left"/>
              <w:outlineLvl w:val="0"/>
            </w:pPr>
          </w:p>
        </w:tc>
        <w:tc>
          <w:tcPr>
            <w:tcW w:w="1276" w:type="dxa"/>
            <w:vMerge w:val="continue"/>
            <w:noWrap w:val="0"/>
            <w:vAlign w:val="center"/>
          </w:tcPr>
          <w:p>
            <w:pPr>
              <w:spacing w:line="300" w:lineRule="exact"/>
              <w:jc w:val="left"/>
              <w:outlineLvl w:val="0"/>
            </w:pPr>
          </w:p>
        </w:tc>
        <w:tc>
          <w:tcPr>
            <w:tcW w:w="2976" w:type="dxa"/>
            <w:vMerge w:val="continue"/>
            <w:noWrap w:val="0"/>
            <w:vAlign w:val="center"/>
          </w:tcPr>
          <w:p>
            <w:pPr>
              <w:spacing w:line="300" w:lineRule="exact"/>
              <w:jc w:val="left"/>
              <w:outlineLvl w:val="0"/>
            </w:pPr>
          </w:p>
        </w:tc>
        <w:tc>
          <w:tcPr>
            <w:tcW w:w="2976" w:type="dxa"/>
            <w:vMerge w:val="continue"/>
            <w:noWrap w:val="0"/>
            <w:vAlign w:val="center"/>
          </w:tcPr>
          <w:p>
            <w:pPr>
              <w:spacing w:line="300" w:lineRule="exact"/>
              <w:jc w:val="left"/>
              <w:outlineLvl w:val="0"/>
            </w:pPr>
          </w:p>
        </w:tc>
        <w:tc>
          <w:tcPr>
            <w:tcW w:w="1417" w:type="dxa"/>
            <w:vMerge w:val="continue"/>
            <w:noWrap w:val="0"/>
            <w:vAlign w:val="center"/>
          </w:tcPr>
          <w:p>
            <w:pPr>
              <w:spacing w:line="300" w:lineRule="exact"/>
              <w:jc w:val="left"/>
              <w:outlineLvl w:val="0"/>
            </w:pP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pPr>
              <w:spacing w:line="300" w:lineRule="exact"/>
              <w:jc w:val="left"/>
              <w:rPr>
                <w:rFonts w:ascii="方正书宋_GBK" w:eastAsia="方正书宋_GBK"/>
                <w:b/>
              </w:rPr>
            </w:pPr>
            <w:r>
              <w:rPr>
                <w:rFonts w:hint="eastAsia" w:ascii="方正书宋_GBK" w:eastAsia="方正书宋_GBK"/>
                <w:b/>
              </w:rPr>
              <w:t>科学技术普及</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pPr>
              <w:spacing w:line="300" w:lineRule="exact"/>
              <w:jc w:val="left"/>
              <w:rPr>
                <w:rFonts w:ascii="方正书宋_GBK" w:eastAsia="方正书宋_GBK"/>
              </w:rPr>
            </w:pPr>
            <w:r>
              <w:rPr>
                <w:rFonts w:hint="eastAsia" w:ascii="方正书宋_GBK" w:eastAsia="方正书宋_GBK"/>
              </w:rPr>
              <w:t>实施《全民科学素质行动计划纲要》，提升科普能力，开展多种形式的科普活动。</w:t>
            </w:r>
          </w:p>
        </w:tc>
        <w:tc>
          <w:tcPr>
            <w:tcW w:w="2976" w:type="dxa"/>
            <w:noWrap w:val="0"/>
            <w:vAlign w:val="center"/>
          </w:tcPr>
          <w:p>
            <w:pPr>
              <w:spacing w:line="300" w:lineRule="exact"/>
              <w:jc w:val="left"/>
              <w:rPr>
                <w:rFonts w:ascii="方正书宋_GBK" w:eastAsia="方正书宋_GBK"/>
              </w:rPr>
            </w:pPr>
            <w:r>
              <w:rPr>
                <w:rFonts w:hint="eastAsia" w:ascii="方正书宋_GBK" w:eastAsia="方正书宋_GBK"/>
              </w:rPr>
              <w:t>开展科普活动，提升科普能力</w:t>
            </w:r>
          </w:p>
        </w:tc>
        <w:tc>
          <w:tcPr>
            <w:tcW w:w="1417" w:type="dxa"/>
            <w:noWrap w:val="0"/>
            <w:vAlign w:val="center"/>
          </w:tcPr>
          <w:p>
            <w:pPr>
              <w:spacing w:line="300" w:lineRule="exact"/>
              <w:jc w:val="left"/>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　　开展科普活动</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开展科普惠农、科普益民等重点科普活动；开展科普下乡等系列科普活动。</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通过开展各种科普活动，吸引各重点人群参与，普及科普知识</w:t>
            </w:r>
          </w:p>
        </w:tc>
        <w:tc>
          <w:tcPr>
            <w:tcW w:w="1417" w:type="dxa"/>
            <w:noWrap w:val="0"/>
            <w:vAlign w:val="center"/>
          </w:tcPr>
          <w:p>
            <w:pPr>
              <w:spacing w:line="300" w:lineRule="exact"/>
              <w:jc w:val="left"/>
              <w:rPr>
                <w:rFonts w:ascii="方正书宋_GBK" w:eastAsia="方正书宋_GBK"/>
              </w:rPr>
            </w:pPr>
            <w:r>
              <w:rPr>
                <w:rFonts w:hint="eastAsia" w:ascii="方正书宋_GBK" w:eastAsia="方正书宋_GBK"/>
              </w:rPr>
              <w:t>科普活动参与人次</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pPr>
              <w:spacing w:line="300" w:lineRule="exact"/>
              <w:jc w:val="left"/>
              <w:rPr>
                <w:rFonts w:hint="eastAsia" w:ascii="方正书宋_GBK" w:eastAsia="方正书宋_GBK"/>
                <w:b/>
              </w:rPr>
            </w:pPr>
            <w:r>
              <w:rPr>
                <w:rFonts w:hint="eastAsia" w:ascii="方正书宋_GBK" w:eastAsia="方正书宋_GBK"/>
                <w:b/>
              </w:rPr>
              <w:t>　　科普能力建设</w:t>
            </w:r>
          </w:p>
        </w:tc>
        <w:tc>
          <w:tcPr>
            <w:tcW w:w="1276" w:type="dxa"/>
            <w:vMerge w:val="restart"/>
            <w:noWrap w:val="0"/>
            <w:vAlign w:val="center"/>
          </w:tcPr>
          <w:p>
            <w:pPr>
              <w:spacing w:line="300" w:lineRule="exact"/>
              <w:jc w:val="left"/>
              <w:rPr>
                <w:rFonts w:ascii="方正书宋_GBK" w:eastAsia="方正书宋_GBK"/>
              </w:rPr>
            </w:pP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加强大众媒体科普传播能力建设</w:t>
            </w: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实现社会科普资源共享程度提高，科普传播能力不断增强。</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具备基本公民科学素质比例</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4.8%</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科普网络信息数据更新率</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96%</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创新性科普资源推广率</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助力创新驱动发展</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发挥科协组织独特优势，促进区域经济结构调整、产业转型升级。</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培育创建科技型中小企业，推动和引领传统产业转型和新兴产业发展。</w:t>
            </w:r>
          </w:p>
        </w:tc>
        <w:tc>
          <w:tcPr>
            <w:tcW w:w="1417" w:type="dxa"/>
            <w:noWrap w:val="0"/>
            <w:vAlign w:val="center"/>
          </w:tcPr>
          <w:p>
            <w:pPr>
              <w:spacing w:line="300" w:lineRule="exact"/>
              <w:jc w:val="left"/>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　　培育、扶持科技型中小企业</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利用科协和学会的人才优势，帮扶一批科技型中小企业，促进全区科技型中小企业发展。</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帮扶科技型中小企业</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帮扶科技型中小企业的数量</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5</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4</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政务管理</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负责系统综合业务管理和机关综合管理。</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加强科协机关自身建设，提高机关服务能力</w:t>
            </w:r>
          </w:p>
        </w:tc>
        <w:tc>
          <w:tcPr>
            <w:tcW w:w="1417" w:type="dxa"/>
            <w:noWrap w:val="0"/>
            <w:vAlign w:val="center"/>
          </w:tcPr>
          <w:p>
            <w:pPr>
              <w:spacing w:line="300" w:lineRule="exact"/>
              <w:jc w:val="left"/>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pPr>
              <w:spacing w:line="300" w:lineRule="exact"/>
              <w:jc w:val="left"/>
              <w:rPr>
                <w:rFonts w:hint="eastAsia" w:ascii="方正书宋_GBK" w:eastAsia="方正书宋_GBK"/>
                <w:b/>
              </w:rPr>
            </w:pPr>
            <w:r>
              <w:rPr>
                <w:rFonts w:hint="eastAsia" w:ascii="方正书宋_GBK" w:eastAsia="方正书宋_GBK"/>
                <w:b/>
              </w:rPr>
              <w:t>　　综合事务管理</w:t>
            </w:r>
          </w:p>
        </w:tc>
        <w:tc>
          <w:tcPr>
            <w:tcW w:w="1276" w:type="dxa"/>
            <w:vMerge w:val="restart"/>
            <w:noWrap w:val="0"/>
            <w:vAlign w:val="center"/>
          </w:tcPr>
          <w:p>
            <w:pPr>
              <w:spacing w:line="300" w:lineRule="exact"/>
              <w:jc w:val="left"/>
              <w:rPr>
                <w:rFonts w:ascii="方正书宋_GBK" w:eastAsia="方正书宋_GBK"/>
              </w:rPr>
            </w:pP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开展机关组织建设等保障类相关工作</w:t>
            </w: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各类科普业务工作谋划到位、开展有序，助推科普事业发展能力提升。</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各项综合事务工作完成率</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科科普管理业务工作保障率</w:t>
            </w:r>
          </w:p>
        </w:tc>
        <w:tc>
          <w:tcPr>
            <w:tcW w:w="737" w:type="dxa"/>
            <w:noWrap w:val="0"/>
            <w:vAlign w:val="center"/>
          </w:tcPr>
          <w:p>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bl>
    <w:p>
      <w:pPr>
        <w:spacing w:line="300" w:lineRule="exact"/>
        <w:jc w:val="left"/>
        <w:outlineLvl w:val="0"/>
        <w:sectPr>
          <w:pgSz w:w="16839" w:h="11907" w:orient="landscape"/>
          <w:pgMar w:top="1020" w:right="1361" w:bottom="1020" w:left="1361" w:header="851" w:footer="992" w:gutter="0"/>
          <w:cols w:space="720" w:num="1"/>
          <w:docGrid w:type="lines" w:linePitch="312" w:charSpace="0"/>
        </w:sectPr>
      </w:pPr>
    </w:p>
    <w:bookmarkEnd w:id="0"/>
    <w:p>
      <w:pPr>
        <w:jc w:val="center"/>
        <w:outlineLvl w:val="0"/>
        <w:rPr>
          <w:rFonts w:hint="eastAsia" w:ascii="黑体" w:hAnsi="黑体" w:eastAsia="黑体"/>
          <w:sz w:val="32"/>
          <w:szCs w:val="32"/>
        </w:rPr>
      </w:pPr>
      <w:r>
        <w:rPr>
          <w:rFonts w:hint="eastAsia" w:ascii="黑体" w:hAnsi="黑体" w:eastAsia="黑体"/>
          <w:sz w:val="32"/>
          <w:szCs w:val="32"/>
        </w:rPr>
        <w:t>第六部分：政府采购预算情况</w:t>
      </w:r>
    </w:p>
    <w:p>
      <w:pPr>
        <w:jc w:val="left"/>
        <w:outlineLvl w:val="0"/>
        <w:rPr>
          <w:rFonts w:hint="eastAsia" w:ascii="仿宋" w:hAnsi="仿宋" w:eastAsia="仿宋"/>
          <w:sz w:val="32"/>
          <w:szCs w:val="32"/>
        </w:rPr>
      </w:pPr>
      <w:r>
        <w:rPr>
          <w:rFonts w:hint="eastAsia" w:ascii="仿宋" w:hAnsi="仿宋" w:eastAsia="仿宋"/>
          <w:sz w:val="32"/>
          <w:szCs w:val="32"/>
        </w:rPr>
        <w:t>2018年，科协部门安排采购预算0.50万元。具体内容见下表：</w:t>
      </w:r>
    </w:p>
    <w:p>
      <w:pPr>
        <w:jc w:val="center"/>
        <w:outlineLvl w:val="0"/>
        <w:rPr>
          <w:rFonts w:hint="eastAsia" w:ascii="黑体" w:hAnsi="黑体" w:eastAsia="黑体"/>
          <w:sz w:val="32"/>
          <w:szCs w:val="32"/>
        </w:rPr>
      </w:pPr>
      <w:r>
        <w:rPr>
          <w:rFonts w:hint="eastAsia" w:ascii="黑体" w:hAnsi="黑体" w:eastAsia="黑体"/>
          <w:sz w:val="32"/>
          <w:szCs w:val="32"/>
        </w:rPr>
        <w:t>部门政府采购预算</w:t>
      </w:r>
    </w:p>
    <w:p>
      <w:pPr>
        <w:spacing w:line="300" w:lineRule="exact"/>
        <w:jc w:val="left"/>
        <w:outlineLvl w:val="0"/>
        <w:rPr>
          <w:rFonts w:hint="eastAsia"/>
        </w:rPr>
      </w:pPr>
    </w:p>
    <w:tbl>
      <w:tblPr>
        <w:tblStyle w:val="8"/>
        <w:tblW w:w="156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4"/>
        <w:gridCol w:w="1127"/>
        <w:gridCol w:w="968"/>
        <w:gridCol w:w="1371"/>
        <w:gridCol w:w="962"/>
        <w:gridCol w:w="962"/>
        <w:gridCol w:w="965"/>
        <w:gridCol w:w="958"/>
        <w:gridCol w:w="958"/>
        <w:gridCol w:w="959"/>
        <w:gridCol w:w="956"/>
        <w:gridCol w:w="956"/>
        <w:gridCol w:w="956"/>
        <w:gridCol w:w="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929"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731</w:t>
            </w:r>
            <w:r>
              <w:rPr>
                <w:rFonts w:hint="eastAsia" w:ascii="方正小标宋_GBK" w:eastAsia="方正小标宋_GBK"/>
                <w:sz w:val="24"/>
              </w:rPr>
              <w:t>保定市徐水区科学技术协会</w:t>
            </w:r>
          </w:p>
        </w:tc>
        <w:tc>
          <w:tcPr>
            <w:tcW w:w="6699" w:type="dxa"/>
            <w:gridSpan w:val="7"/>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0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6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37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2"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2"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65"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9" w:type="dxa"/>
            <w:gridSpan w:val="7"/>
            <w:noWrap w:val="0"/>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7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2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68" w:type="dxa"/>
            <w:vMerge w:val="continue"/>
            <w:noWrap w:val="0"/>
            <w:vAlign w:val="center"/>
          </w:tcPr>
          <w:p>
            <w:pPr>
              <w:spacing w:line="300" w:lineRule="exact"/>
              <w:jc w:val="left"/>
              <w:outlineLvl w:val="0"/>
            </w:pPr>
          </w:p>
        </w:tc>
        <w:tc>
          <w:tcPr>
            <w:tcW w:w="1371"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5" w:type="dxa"/>
            <w:vMerge w:val="continue"/>
            <w:noWrap w:val="0"/>
            <w:vAlign w:val="center"/>
          </w:tcPr>
          <w:p>
            <w:pPr>
              <w:spacing w:line="300" w:lineRule="exact"/>
              <w:jc w:val="left"/>
              <w:outlineLvl w:val="0"/>
            </w:pPr>
          </w:p>
        </w:tc>
        <w:tc>
          <w:tcPr>
            <w:tcW w:w="95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785"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5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74" w:type="dxa"/>
            <w:vMerge w:val="continue"/>
            <w:noWrap w:val="0"/>
            <w:vAlign w:val="center"/>
          </w:tcPr>
          <w:p>
            <w:pPr>
              <w:spacing w:line="300" w:lineRule="exact"/>
              <w:jc w:val="left"/>
              <w:outlineLvl w:val="0"/>
            </w:pPr>
          </w:p>
        </w:tc>
        <w:tc>
          <w:tcPr>
            <w:tcW w:w="1127" w:type="dxa"/>
            <w:vMerge w:val="continue"/>
            <w:noWrap w:val="0"/>
            <w:vAlign w:val="center"/>
          </w:tcPr>
          <w:p>
            <w:pPr>
              <w:spacing w:line="300" w:lineRule="exact"/>
              <w:jc w:val="left"/>
              <w:outlineLvl w:val="0"/>
            </w:pPr>
          </w:p>
        </w:tc>
        <w:tc>
          <w:tcPr>
            <w:tcW w:w="968" w:type="dxa"/>
            <w:vMerge w:val="continue"/>
            <w:noWrap w:val="0"/>
            <w:vAlign w:val="center"/>
          </w:tcPr>
          <w:p>
            <w:pPr>
              <w:spacing w:line="300" w:lineRule="exact"/>
              <w:jc w:val="left"/>
              <w:outlineLvl w:val="0"/>
            </w:pPr>
          </w:p>
        </w:tc>
        <w:tc>
          <w:tcPr>
            <w:tcW w:w="1371"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5" w:type="dxa"/>
            <w:vMerge w:val="continue"/>
            <w:noWrap w:val="0"/>
            <w:vAlign w:val="center"/>
          </w:tcPr>
          <w:p>
            <w:pPr>
              <w:spacing w:line="300" w:lineRule="exact"/>
              <w:jc w:val="left"/>
              <w:outlineLvl w:val="0"/>
            </w:pPr>
          </w:p>
        </w:tc>
        <w:tc>
          <w:tcPr>
            <w:tcW w:w="958" w:type="dxa"/>
            <w:vMerge w:val="continue"/>
            <w:noWrap w:val="0"/>
            <w:vAlign w:val="center"/>
          </w:tcPr>
          <w:p>
            <w:pPr>
              <w:spacing w:line="300" w:lineRule="exact"/>
              <w:jc w:val="left"/>
              <w:outlineLvl w:val="0"/>
            </w:pPr>
          </w:p>
        </w:tc>
        <w:tc>
          <w:tcPr>
            <w:tcW w:w="958"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59"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56" w:type="dxa"/>
            <w:vMerge w:val="continue"/>
            <w:noWrap w:val="0"/>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74" w:type="dxa"/>
            <w:noWrap w:val="0"/>
            <w:vAlign w:val="center"/>
          </w:tcPr>
          <w:p>
            <w:pPr>
              <w:spacing w:line="300" w:lineRule="exact"/>
              <w:jc w:val="center"/>
              <w:rPr>
                <w:rFonts w:ascii="方正书宋_GBK" w:eastAsia="方正书宋_GBK"/>
                <w:b/>
              </w:rPr>
            </w:pPr>
            <w:r>
              <w:rPr>
                <w:rFonts w:hint="eastAsia" w:ascii="方正书宋_GBK" w:eastAsia="方正书宋_GBK"/>
                <w:b/>
              </w:rPr>
              <w:t>科协（机关）小计</w:t>
            </w:r>
          </w:p>
        </w:tc>
        <w:tc>
          <w:tcPr>
            <w:tcW w:w="1127" w:type="dxa"/>
            <w:noWrap w:val="0"/>
            <w:vAlign w:val="center"/>
          </w:tcPr>
          <w:p>
            <w:pPr>
              <w:spacing w:line="300" w:lineRule="exact"/>
              <w:jc w:val="right"/>
              <w:rPr>
                <w:rFonts w:ascii="方正书宋_GBK" w:eastAsia="方正书宋_GBK"/>
                <w:b/>
              </w:rPr>
            </w:pPr>
          </w:p>
        </w:tc>
        <w:tc>
          <w:tcPr>
            <w:tcW w:w="968" w:type="dxa"/>
            <w:noWrap w:val="0"/>
            <w:vAlign w:val="center"/>
          </w:tcPr>
          <w:p>
            <w:pPr>
              <w:spacing w:line="300" w:lineRule="exact"/>
              <w:jc w:val="left"/>
              <w:rPr>
                <w:rFonts w:ascii="方正书宋_GBK" w:eastAsia="方正书宋_GBK"/>
                <w:b/>
              </w:rPr>
            </w:pPr>
          </w:p>
        </w:tc>
        <w:tc>
          <w:tcPr>
            <w:tcW w:w="1371" w:type="dxa"/>
            <w:noWrap w:val="0"/>
            <w:vAlign w:val="center"/>
          </w:tcPr>
          <w:p>
            <w:pPr>
              <w:spacing w:line="300" w:lineRule="exact"/>
              <w:jc w:val="left"/>
              <w:rPr>
                <w:rFonts w:ascii="方正书宋_GBK" w:eastAsia="方正书宋_GBK"/>
                <w:b/>
              </w:rPr>
            </w:pPr>
          </w:p>
        </w:tc>
        <w:tc>
          <w:tcPr>
            <w:tcW w:w="962" w:type="dxa"/>
            <w:noWrap w:val="0"/>
            <w:vAlign w:val="center"/>
          </w:tcPr>
          <w:p>
            <w:pPr>
              <w:spacing w:line="300" w:lineRule="exact"/>
              <w:jc w:val="left"/>
              <w:rPr>
                <w:rFonts w:ascii="方正书宋_GBK" w:eastAsia="方正书宋_GBK"/>
                <w:b/>
              </w:rPr>
            </w:pPr>
          </w:p>
        </w:tc>
        <w:tc>
          <w:tcPr>
            <w:tcW w:w="962" w:type="dxa"/>
            <w:noWrap w:val="0"/>
            <w:vAlign w:val="center"/>
          </w:tcPr>
          <w:p>
            <w:pPr>
              <w:spacing w:line="300" w:lineRule="exact"/>
              <w:jc w:val="right"/>
              <w:rPr>
                <w:rFonts w:ascii="方正书宋_GBK" w:eastAsia="方正书宋_GBK"/>
                <w:b/>
              </w:rPr>
            </w:pPr>
          </w:p>
        </w:tc>
        <w:tc>
          <w:tcPr>
            <w:tcW w:w="965" w:type="dxa"/>
            <w:noWrap w:val="0"/>
            <w:vAlign w:val="center"/>
          </w:tcPr>
          <w:p>
            <w:pPr>
              <w:spacing w:line="300" w:lineRule="exact"/>
              <w:jc w:val="right"/>
              <w:rPr>
                <w:rFonts w:ascii="方正书宋_GBK" w:eastAsia="方正书宋_GBK"/>
                <w:b/>
              </w:rPr>
            </w:pPr>
          </w:p>
        </w:tc>
        <w:tc>
          <w:tcPr>
            <w:tcW w:w="958" w:type="dxa"/>
            <w:noWrap w:val="0"/>
            <w:vAlign w:val="center"/>
          </w:tcPr>
          <w:p>
            <w:pPr>
              <w:spacing w:line="300" w:lineRule="exact"/>
              <w:jc w:val="right"/>
              <w:rPr>
                <w:rFonts w:ascii="方正书宋_GBK" w:eastAsia="方正书宋_GBK"/>
                <w:b/>
              </w:rPr>
            </w:pPr>
            <w:r>
              <w:rPr>
                <w:rFonts w:ascii="方正书宋_GBK" w:eastAsia="方正书宋_GBK"/>
                <w:b/>
              </w:rPr>
              <w:t>0.</w:t>
            </w:r>
            <w:r>
              <w:rPr>
                <w:rFonts w:hint="eastAsia" w:ascii="方正书宋_GBK" w:eastAsia="方正书宋_GBK"/>
                <w:b/>
              </w:rPr>
              <w:t>50</w:t>
            </w:r>
          </w:p>
        </w:tc>
        <w:tc>
          <w:tcPr>
            <w:tcW w:w="958" w:type="dxa"/>
            <w:noWrap w:val="0"/>
            <w:vAlign w:val="center"/>
          </w:tcPr>
          <w:p>
            <w:pPr>
              <w:spacing w:line="300" w:lineRule="exact"/>
              <w:jc w:val="right"/>
              <w:rPr>
                <w:rFonts w:ascii="方正书宋_GBK" w:eastAsia="方正书宋_GBK"/>
                <w:b/>
              </w:rPr>
            </w:pPr>
            <w:r>
              <w:rPr>
                <w:rFonts w:hint="eastAsia" w:ascii="方正书宋_GBK" w:eastAsia="方正书宋_GBK"/>
                <w:b/>
              </w:rPr>
              <w:t>0.50</w:t>
            </w:r>
          </w:p>
        </w:tc>
        <w:tc>
          <w:tcPr>
            <w:tcW w:w="959" w:type="dxa"/>
            <w:noWrap w:val="0"/>
            <w:vAlign w:val="center"/>
          </w:tcPr>
          <w:p>
            <w:pPr>
              <w:spacing w:line="300" w:lineRule="exact"/>
              <w:jc w:val="right"/>
              <w:rPr>
                <w:rFonts w:ascii="方正书宋_GBK" w:eastAsia="方正书宋_GBK"/>
                <w:b/>
              </w:rPr>
            </w:pPr>
            <w:r>
              <w:rPr>
                <w:rFonts w:hint="eastAsia" w:ascii="方正书宋_GBK" w:eastAsia="方正书宋_GBK"/>
                <w:b/>
              </w:rPr>
              <w:t>0.50</w:t>
            </w: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7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27" w:type="dxa"/>
            <w:noWrap w:val="0"/>
            <w:vAlign w:val="center"/>
          </w:tcPr>
          <w:p>
            <w:pPr>
              <w:spacing w:line="300" w:lineRule="exact"/>
              <w:jc w:val="right"/>
              <w:rPr>
                <w:rFonts w:ascii="方正书宋_GBK" w:eastAsia="方正书宋_GBK"/>
              </w:rPr>
            </w:pPr>
            <w:r>
              <w:rPr>
                <w:rFonts w:hint="eastAsia" w:ascii="方正书宋_GBK" w:eastAsia="方正书宋_GBK"/>
              </w:rPr>
              <w:t>17.54</w:t>
            </w:r>
          </w:p>
        </w:tc>
        <w:tc>
          <w:tcPr>
            <w:tcW w:w="968"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37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962" w:type="dxa"/>
            <w:noWrap w:val="0"/>
            <w:vAlign w:val="center"/>
          </w:tcPr>
          <w:p>
            <w:pPr>
              <w:spacing w:line="300" w:lineRule="exact"/>
              <w:jc w:val="left"/>
              <w:rPr>
                <w:rFonts w:hint="eastAsia" w:ascii="方正书宋_GBK" w:eastAsia="方正书宋_GBK"/>
              </w:rPr>
            </w:pPr>
            <w:r>
              <w:rPr>
                <w:rFonts w:hint="eastAsia" w:ascii="方正书宋_GBK" w:eastAsia="方正书宋_GBK"/>
              </w:rPr>
              <w:t>台</w:t>
            </w:r>
          </w:p>
        </w:tc>
        <w:tc>
          <w:tcPr>
            <w:tcW w:w="962" w:type="dxa"/>
            <w:noWrap w:val="0"/>
            <w:vAlign w:val="center"/>
          </w:tcPr>
          <w:p>
            <w:pPr>
              <w:spacing w:line="300" w:lineRule="exact"/>
              <w:jc w:val="right"/>
              <w:rPr>
                <w:rFonts w:ascii="方正书宋_GBK" w:eastAsia="方正书宋_GBK"/>
              </w:rPr>
            </w:pPr>
            <w:r>
              <w:rPr>
                <w:rFonts w:hint="eastAsia" w:ascii="方正书宋_GBK" w:eastAsia="方正书宋_GBK"/>
              </w:rPr>
              <w:t>2</w:t>
            </w:r>
          </w:p>
        </w:tc>
        <w:tc>
          <w:tcPr>
            <w:tcW w:w="965"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958" w:type="dxa"/>
            <w:noWrap w:val="0"/>
            <w:vAlign w:val="center"/>
          </w:tcPr>
          <w:p>
            <w:pPr>
              <w:spacing w:line="300" w:lineRule="exact"/>
              <w:jc w:val="right"/>
              <w:rPr>
                <w:rFonts w:ascii="方正书宋_GBK" w:eastAsia="方正书宋_GBK"/>
              </w:rPr>
            </w:pPr>
            <w:r>
              <w:rPr>
                <w:rFonts w:hint="eastAsia" w:ascii="方正书宋_GBK" w:eastAsia="方正书宋_GBK"/>
              </w:rPr>
              <w:t>0.50</w:t>
            </w:r>
          </w:p>
        </w:tc>
        <w:tc>
          <w:tcPr>
            <w:tcW w:w="958" w:type="dxa"/>
            <w:noWrap w:val="0"/>
            <w:vAlign w:val="center"/>
          </w:tcPr>
          <w:p>
            <w:pPr>
              <w:spacing w:line="300" w:lineRule="exact"/>
              <w:jc w:val="right"/>
              <w:rPr>
                <w:rFonts w:ascii="方正书宋_GBK" w:eastAsia="方正书宋_GBK"/>
              </w:rPr>
            </w:pPr>
            <w:r>
              <w:rPr>
                <w:rFonts w:hint="eastAsia" w:ascii="方正书宋_GBK" w:eastAsia="方正书宋_GBK"/>
              </w:rPr>
              <w:t>0.50</w:t>
            </w:r>
          </w:p>
        </w:tc>
        <w:tc>
          <w:tcPr>
            <w:tcW w:w="959" w:type="dxa"/>
            <w:noWrap w:val="0"/>
            <w:vAlign w:val="center"/>
          </w:tcPr>
          <w:p>
            <w:pPr>
              <w:spacing w:line="300" w:lineRule="exact"/>
              <w:jc w:val="right"/>
              <w:rPr>
                <w:rFonts w:ascii="方正书宋_GBK" w:eastAsia="方正书宋_GBK"/>
              </w:rPr>
            </w:pPr>
            <w:r>
              <w:rPr>
                <w:rFonts w:hint="eastAsia" w:ascii="方正书宋_GBK" w:eastAsia="方正书宋_GBK"/>
              </w:rPr>
              <w:t>0.50</w:t>
            </w: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pPr>
        <w:jc w:val="center"/>
        <w:rPr>
          <w:rFonts w:hint="eastAsia" w:ascii="黑体" w:hAnsi="黑体" w:eastAsia="黑体"/>
          <w:sz w:val="32"/>
          <w:szCs w:val="32"/>
        </w:rPr>
      </w:pPr>
      <w:r>
        <w:rPr>
          <w:rFonts w:hint="eastAsia" w:ascii="黑体" w:hAnsi="黑体" w:eastAsia="黑体"/>
          <w:sz w:val="32"/>
          <w:szCs w:val="32"/>
        </w:rPr>
        <w:t>第七部分：国有资产信息情况说明</w:t>
      </w:r>
    </w:p>
    <w:p>
      <w:pPr>
        <w:rPr>
          <w:rFonts w:hint="eastAsia" w:ascii="仿宋" w:hAnsi="仿宋" w:eastAsia="仿宋"/>
          <w:sz w:val="32"/>
          <w:szCs w:val="32"/>
        </w:rPr>
      </w:pPr>
      <w:r>
        <w:rPr>
          <w:rFonts w:hint="eastAsia" w:ascii="宋体" w:hAnsi="宋体"/>
          <w:sz w:val="32"/>
          <w:szCs w:val="32"/>
        </w:rPr>
        <w:t xml:space="preserve">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保定市徐水区科协</w:t>
      </w:r>
      <w:r>
        <w:rPr>
          <w:rFonts w:ascii="仿宋" w:hAnsi="仿宋" w:eastAsia="仿宋"/>
          <w:sz w:val="32"/>
          <w:szCs w:val="32"/>
        </w:rPr>
        <w:t>201</w:t>
      </w:r>
      <w:r>
        <w:rPr>
          <w:rFonts w:hint="eastAsia" w:ascii="仿宋" w:hAnsi="仿宋" w:eastAsia="仿宋"/>
          <w:sz w:val="32"/>
          <w:szCs w:val="32"/>
        </w:rPr>
        <w:t>7年末固定资产总值为18.22万元，占国有资产总值的</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t>,201</w:t>
      </w:r>
      <w:r>
        <w:rPr>
          <w:rFonts w:hint="eastAsia" w:ascii="仿宋" w:hAnsi="仿宋" w:eastAsia="仿宋"/>
          <w:b/>
          <w:sz w:val="32"/>
          <w:szCs w:val="32"/>
        </w:rPr>
        <w:t>8</w:t>
      </w:r>
      <w:r>
        <w:rPr>
          <w:rFonts w:hint="eastAsia" w:ascii="仿宋" w:hAnsi="仿宋" w:eastAsia="仿宋"/>
          <w:sz w:val="32"/>
          <w:szCs w:val="32"/>
        </w:rPr>
        <w:t>年度预计购置照相机1台，金额预计为1万元。</w:t>
      </w:r>
    </w:p>
    <w:p>
      <w:pPr>
        <w:rPr>
          <w:rFonts w:hint="eastAsia" w:ascii="宋体" w:hAnsi="宋体"/>
          <w:sz w:val="32"/>
          <w:szCs w:val="32"/>
        </w:rPr>
      </w:pPr>
    </w:p>
    <w:p>
      <w:pPr>
        <w:tabs>
          <w:tab w:val="left" w:pos="916"/>
        </w:tabs>
        <w:spacing w:line="560" w:lineRule="exact"/>
        <w:jc w:val="center"/>
        <w:rPr>
          <w:rFonts w:hint="eastAsia" w:ascii="仿宋_GB2312" w:hAnsi="仿宋_GB2312" w:eastAsia="仿宋_GB2312"/>
          <w:b/>
        </w:rPr>
      </w:pPr>
      <w:r>
        <w:rPr>
          <w:rFonts w:hint="eastAsia" w:ascii="方正小标宋简体" w:hAnsi="仿宋_GB2312" w:eastAsia="方正小标宋简体" w:cs="仿宋"/>
          <w:sz w:val="30"/>
          <w:szCs w:val="30"/>
        </w:rPr>
        <w:t xml:space="preserve">                                    </w:t>
      </w:r>
      <w:r>
        <w:rPr>
          <w:rFonts w:hint="eastAsia" w:ascii="仿宋_GB2312" w:hAnsi="仿宋_GB2312" w:eastAsia="仿宋_GB2312"/>
          <w:b/>
        </w:rPr>
        <w:t xml:space="preserve">  截止时间：2017年12月31日</w:t>
      </w:r>
    </w:p>
    <w:tbl>
      <w:tblPr>
        <w:tblStyle w:val="8"/>
        <w:tblpPr w:leftFromText="180" w:rightFromText="180" w:vertAnchor="text" w:horzAnchor="page" w:tblpX="1952" w:tblpY="8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5"/>
        <w:gridCol w:w="1230"/>
        <w:gridCol w:w="33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36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数量</w:t>
            </w:r>
          </w:p>
        </w:tc>
        <w:tc>
          <w:tcPr>
            <w:tcW w:w="3390"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价值（单位：万元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36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c>
          <w:tcPr>
            <w:tcW w:w="3390"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b/>
              </w:rPr>
              <w:t>18.22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1、房屋（平方米）</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2、车辆（台、辆）</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1</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4、其他固定资产</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9．21</w:t>
            </w:r>
          </w:p>
        </w:tc>
      </w:tr>
    </w:tbl>
    <w:p>
      <w:pPr>
        <w:spacing w:line="520" w:lineRule="exact"/>
        <w:jc w:val="center"/>
        <w:outlineLvl w:val="0"/>
        <w:rPr>
          <w:rFonts w:hint="eastAsia" w:ascii="仿宋_GB2312" w:hAnsi="黑体" w:eastAsia="仿宋_GB2312"/>
          <w:sz w:val="32"/>
          <w:szCs w:val="32"/>
        </w:rPr>
      </w:pPr>
    </w:p>
    <w:p>
      <w:pPr>
        <w:spacing w:line="520" w:lineRule="exact"/>
        <w:ind w:firstLine="640" w:firstLineChars="200"/>
        <w:jc w:val="left"/>
        <w:outlineLvl w:val="0"/>
        <w:rPr>
          <w:rFonts w:hint="eastAsia" w:ascii="仿宋_GB2312" w:hAnsi="仿宋" w:eastAsia="仿宋_GB2312"/>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pPr>
        <w:spacing w:line="500" w:lineRule="exact"/>
        <w:jc w:val="center"/>
        <w:outlineLvl w:val="0"/>
        <w:rPr>
          <w:rFonts w:hint="eastAsia" w:ascii="仿宋" w:hAnsi="仿宋" w:eastAsia="仿宋"/>
          <w:b/>
          <w:sz w:val="32"/>
          <w:szCs w:val="32"/>
        </w:rPr>
      </w:pP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27" w:firstLineChars="196"/>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pPr>
        <w:spacing w:line="500" w:lineRule="exact"/>
        <w:ind w:firstLine="1264" w:firstLineChars="395"/>
        <w:jc w:val="left"/>
        <w:outlineLvl w:val="0"/>
        <w:rPr>
          <w:rFonts w:hint="eastAsia" w:ascii="仿宋" w:hAnsi="仿宋" w:eastAsia="仿宋"/>
          <w:sz w:val="32"/>
          <w:szCs w:val="32"/>
        </w:rPr>
      </w:pPr>
    </w:p>
    <w:p>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无其他需说明的事项。</w:t>
      </w:r>
    </w:p>
    <w:p>
      <w:pPr>
        <w:ind w:firstLine="800" w:firstLineChars="250"/>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 xml:space="preserve">                                     </w:t>
      </w: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GRjNzdkYWEzZjNmOTdlZDU2N2QyOGY3MDMwODYifQ=="/>
  </w:docVars>
  <w:rsids>
    <w:rsidRoot w:val="00CB60A0"/>
    <w:rsid w:val="00000211"/>
    <w:rsid w:val="00012B0F"/>
    <w:rsid w:val="00027501"/>
    <w:rsid w:val="00041562"/>
    <w:rsid w:val="000509C6"/>
    <w:rsid w:val="00055D38"/>
    <w:rsid w:val="00060E04"/>
    <w:rsid w:val="0007278A"/>
    <w:rsid w:val="000A3FAE"/>
    <w:rsid w:val="000B34B9"/>
    <w:rsid w:val="000B4A3A"/>
    <w:rsid w:val="000C1F05"/>
    <w:rsid w:val="000C2085"/>
    <w:rsid w:val="000D7B39"/>
    <w:rsid w:val="000E0ED8"/>
    <w:rsid w:val="000E1C77"/>
    <w:rsid w:val="000E5258"/>
    <w:rsid w:val="000E70BD"/>
    <w:rsid w:val="000F0A9E"/>
    <w:rsid w:val="000F2552"/>
    <w:rsid w:val="000F517B"/>
    <w:rsid w:val="00101A80"/>
    <w:rsid w:val="00103B47"/>
    <w:rsid w:val="00103CBF"/>
    <w:rsid w:val="00107BFB"/>
    <w:rsid w:val="001157C4"/>
    <w:rsid w:val="00120CFD"/>
    <w:rsid w:val="0013407A"/>
    <w:rsid w:val="001476E3"/>
    <w:rsid w:val="00153E57"/>
    <w:rsid w:val="0015667A"/>
    <w:rsid w:val="00165822"/>
    <w:rsid w:val="001725FE"/>
    <w:rsid w:val="001859C6"/>
    <w:rsid w:val="00197010"/>
    <w:rsid w:val="001B23DF"/>
    <w:rsid w:val="001C2686"/>
    <w:rsid w:val="001E42EC"/>
    <w:rsid w:val="002042DF"/>
    <w:rsid w:val="002064A6"/>
    <w:rsid w:val="00245F9B"/>
    <w:rsid w:val="00277861"/>
    <w:rsid w:val="00280335"/>
    <w:rsid w:val="00280E47"/>
    <w:rsid w:val="002B5880"/>
    <w:rsid w:val="002C6748"/>
    <w:rsid w:val="002D4820"/>
    <w:rsid w:val="002D4851"/>
    <w:rsid w:val="002E7948"/>
    <w:rsid w:val="00326CE0"/>
    <w:rsid w:val="00332EED"/>
    <w:rsid w:val="0034678A"/>
    <w:rsid w:val="00364B26"/>
    <w:rsid w:val="0037153C"/>
    <w:rsid w:val="0037794C"/>
    <w:rsid w:val="003923FF"/>
    <w:rsid w:val="003B1792"/>
    <w:rsid w:val="003D524A"/>
    <w:rsid w:val="004152E7"/>
    <w:rsid w:val="0041797A"/>
    <w:rsid w:val="004226CB"/>
    <w:rsid w:val="00432126"/>
    <w:rsid w:val="00450606"/>
    <w:rsid w:val="00453B31"/>
    <w:rsid w:val="00462BFF"/>
    <w:rsid w:val="00474A00"/>
    <w:rsid w:val="00475055"/>
    <w:rsid w:val="004755DD"/>
    <w:rsid w:val="00485D64"/>
    <w:rsid w:val="00492084"/>
    <w:rsid w:val="0049258C"/>
    <w:rsid w:val="00493109"/>
    <w:rsid w:val="004B65CB"/>
    <w:rsid w:val="004D0FA7"/>
    <w:rsid w:val="004D7BFB"/>
    <w:rsid w:val="004D7FBB"/>
    <w:rsid w:val="004F0372"/>
    <w:rsid w:val="004F7499"/>
    <w:rsid w:val="00506EF7"/>
    <w:rsid w:val="005078A5"/>
    <w:rsid w:val="005217EF"/>
    <w:rsid w:val="005244FE"/>
    <w:rsid w:val="00546E02"/>
    <w:rsid w:val="005477A5"/>
    <w:rsid w:val="005620BB"/>
    <w:rsid w:val="00570168"/>
    <w:rsid w:val="005821CD"/>
    <w:rsid w:val="00583A3F"/>
    <w:rsid w:val="005875EB"/>
    <w:rsid w:val="00594ED3"/>
    <w:rsid w:val="005A590E"/>
    <w:rsid w:val="005B36CF"/>
    <w:rsid w:val="005C321B"/>
    <w:rsid w:val="005C4524"/>
    <w:rsid w:val="005C668C"/>
    <w:rsid w:val="00620BF9"/>
    <w:rsid w:val="006238F8"/>
    <w:rsid w:val="006267D4"/>
    <w:rsid w:val="00627D9E"/>
    <w:rsid w:val="0063487B"/>
    <w:rsid w:val="006366FA"/>
    <w:rsid w:val="0063740A"/>
    <w:rsid w:val="00664D70"/>
    <w:rsid w:val="006835FA"/>
    <w:rsid w:val="006C3105"/>
    <w:rsid w:val="006D20BD"/>
    <w:rsid w:val="006D6061"/>
    <w:rsid w:val="00700AF5"/>
    <w:rsid w:val="00710A06"/>
    <w:rsid w:val="007263E4"/>
    <w:rsid w:val="007304E6"/>
    <w:rsid w:val="00733E67"/>
    <w:rsid w:val="00742AF8"/>
    <w:rsid w:val="00747EA9"/>
    <w:rsid w:val="00760688"/>
    <w:rsid w:val="00761AA7"/>
    <w:rsid w:val="00761B0E"/>
    <w:rsid w:val="007746E7"/>
    <w:rsid w:val="007A18F2"/>
    <w:rsid w:val="007C3325"/>
    <w:rsid w:val="007D0633"/>
    <w:rsid w:val="007D06DD"/>
    <w:rsid w:val="007E09DA"/>
    <w:rsid w:val="007E3316"/>
    <w:rsid w:val="007E3323"/>
    <w:rsid w:val="007F50D2"/>
    <w:rsid w:val="00816DC4"/>
    <w:rsid w:val="00822F0E"/>
    <w:rsid w:val="00837790"/>
    <w:rsid w:val="008457E1"/>
    <w:rsid w:val="008472F5"/>
    <w:rsid w:val="00855707"/>
    <w:rsid w:val="00877B58"/>
    <w:rsid w:val="00881D86"/>
    <w:rsid w:val="00883EA2"/>
    <w:rsid w:val="008875A9"/>
    <w:rsid w:val="008D5125"/>
    <w:rsid w:val="008E42D3"/>
    <w:rsid w:val="008F54EE"/>
    <w:rsid w:val="00911344"/>
    <w:rsid w:val="00913BD0"/>
    <w:rsid w:val="0091479C"/>
    <w:rsid w:val="0093004D"/>
    <w:rsid w:val="00936ED9"/>
    <w:rsid w:val="009454AA"/>
    <w:rsid w:val="00952279"/>
    <w:rsid w:val="009546B2"/>
    <w:rsid w:val="00966566"/>
    <w:rsid w:val="00977DA6"/>
    <w:rsid w:val="00986A49"/>
    <w:rsid w:val="009910E0"/>
    <w:rsid w:val="009A2781"/>
    <w:rsid w:val="009B38ED"/>
    <w:rsid w:val="009C0521"/>
    <w:rsid w:val="009C699D"/>
    <w:rsid w:val="009D6ACA"/>
    <w:rsid w:val="009E16AC"/>
    <w:rsid w:val="009E5FAA"/>
    <w:rsid w:val="009F179E"/>
    <w:rsid w:val="009F4E7B"/>
    <w:rsid w:val="009F64EF"/>
    <w:rsid w:val="00A03B9F"/>
    <w:rsid w:val="00A06E3B"/>
    <w:rsid w:val="00A149E9"/>
    <w:rsid w:val="00A66840"/>
    <w:rsid w:val="00A7420E"/>
    <w:rsid w:val="00A81EEB"/>
    <w:rsid w:val="00A90339"/>
    <w:rsid w:val="00A94AC4"/>
    <w:rsid w:val="00AD2902"/>
    <w:rsid w:val="00AE6A72"/>
    <w:rsid w:val="00B16276"/>
    <w:rsid w:val="00B320A0"/>
    <w:rsid w:val="00B434D6"/>
    <w:rsid w:val="00B44AFA"/>
    <w:rsid w:val="00B45B2D"/>
    <w:rsid w:val="00B46537"/>
    <w:rsid w:val="00B7328C"/>
    <w:rsid w:val="00B745D4"/>
    <w:rsid w:val="00B84A64"/>
    <w:rsid w:val="00B8632B"/>
    <w:rsid w:val="00BA079F"/>
    <w:rsid w:val="00BA4AE4"/>
    <w:rsid w:val="00BD48FA"/>
    <w:rsid w:val="00BD641C"/>
    <w:rsid w:val="00BD77F4"/>
    <w:rsid w:val="00BF5162"/>
    <w:rsid w:val="00BF61B8"/>
    <w:rsid w:val="00C02023"/>
    <w:rsid w:val="00C17DE3"/>
    <w:rsid w:val="00C26A6C"/>
    <w:rsid w:val="00C3689C"/>
    <w:rsid w:val="00C43053"/>
    <w:rsid w:val="00C46F7D"/>
    <w:rsid w:val="00C51C06"/>
    <w:rsid w:val="00C67481"/>
    <w:rsid w:val="00C803F0"/>
    <w:rsid w:val="00C80434"/>
    <w:rsid w:val="00C853D3"/>
    <w:rsid w:val="00C86F43"/>
    <w:rsid w:val="00C97205"/>
    <w:rsid w:val="00CA742F"/>
    <w:rsid w:val="00CB60A0"/>
    <w:rsid w:val="00CC6EAD"/>
    <w:rsid w:val="00CC7C93"/>
    <w:rsid w:val="00CE1D8A"/>
    <w:rsid w:val="00CE6320"/>
    <w:rsid w:val="00CF12F5"/>
    <w:rsid w:val="00CF1C55"/>
    <w:rsid w:val="00D048A8"/>
    <w:rsid w:val="00D155C8"/>
    <w:rsid w:val="00D364CE"/>
    <w:rsid w:val="00D41703"/>
    <w:rsid w:val="00D500CD"/>
    <w:rsid w:val="00D520E9"/>
    <w:rsid w:val="00D55C67"/>
    <w:rsid w:val="00D62E41"/>
    <w:rsid w:val="00D64A8A"/>
    <w:rsid w:val="00D662D1"/>
    <w:rsid w:val="00D82A1A"/>
    <w:rsid w:val="00D92117"/>
    <w:rsid w:val="00DC36BC"/>
    <w:rsid w:val="00DD36BA"/>
    <w:rsid w:val="00DE6AF4"/>
    <w:rsid w:val="00DF08F9"/>
    <w:rsid w:val="00E121F9"/>
    <w:rsid w:val="00E214DE"/>
    <w:rsid w:val="00E263CE"/>
    <w:rsid w:val="00E54661"/>
    <w:rsid w:val="00E5699D"/>
    <w:rsid w:val="00E56CA4"/>
    <w:rsid w:val="00E6451C"/>
    <w:rsid w:val="00EB4F74"/>
    <w:rsid w:val="00ED2511"/>
    <w:rsid w:val="00ED3A41"/>
    <w:rsid w:val="00ED78F4"/>
    <w:rsid w:val="00EF1AFC"/>
    <w:rsid w:val="00F02138"/>
    <w:rsid w:val="00F529D8"/>
    <w:rsid w:val="00F65F33"/>
    <w:rsid w:val="00F66C9F"/>
    <w:rsid w:val="00F74519"/>
    <w:rsid w:val="00F841A4"/>
    <w:rsid w:val="00F92312"/>
    <w:rsid w:val="00FE6C6A"/>
    <w:rsid w:val="3803098A"/>
    <w:rsid w:val="51F212A0"/>
    <w:rsid w:val="532E2194"/>
    <w:rsid w:val="5D4142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20" w:lineRule="exact"/>
      <w:ind w:firstLine="630"/>
    </w:pPr>
    <w:rPr>
      <w:rFonts w:ascii="Times New Roman" w:hAnsi="Times New Roman" w:eastAsia="仿宋_GB2312"/>
      <w:sz w:val="32"/>
      <w:szCs w:val="24"/>
    </w:rPr>
  </w:style>
  <w:style w:type="paragraph" w:styleId="3">
    <w:name w:val="Balloon Text"/>
    <w:basedOn w:val="1"/>
    <w:link w:val="11"/>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kern w:val="0"/>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customStyle="1" w:styleId="10">
    <w:name w:val="页脚 Char"/>
    <w:link w:val="4"/>
    <w:uiPriority w:val="99"/>
    <w:rPr>
      <w:sz w:val="18"/>
      <w:szCs w:val="18"/>
    </w:rPr>
  </w:style>
  <w:style w:type="character" w:customStyle="1" w:styleId="11">
    <w:name w:val="批注框文本 Char"/>
    <w:link w:val="3"/>
    <w:semiHidden/>
    <w:uiPriority w:val="99"/>
    <w:rPr>
      <w:kern w:val="2"/>
      <w:sz w:val="18"/>
      <w:szCs w:val="18"/>
    </w:rPr>
  </w:style>
  <w:style w:type="character" w:customStyle="1" w:styleId="12">
    <w:name w:val="页眉 Char"/>
    <w:link w:val="5"/>
    <w:uiPriority w:val="99"/>
    <w:rPr>
      <w:sz w:val="18"/>
      <w:szCs w:val="18"/>
    </w:rPr>
  </w:style>
  <w:style w:type="character" w:customStyle="1" w:styleId="13">
    <w:name w:val="正文文本缩进 Char"/>
    <w:link w:val="2"/>
    <w:uiPriority w:val="0"/>
    <w:rPr>
      <w:rFonts w:ascii="Times New Roman" w:hAnsi="Times New Roman" w:eastAsia="仿宋_GB2312"/>
      <w:kern w:val="2"/>
      <w:sz w:val="32"/>
      <w:szCs w:val="24"/>
    </w:rPr>
  </w:style>
  <w:style w:type="paragraph" w:customStyle="1" w:styleId="14">
    <w:name w:val="[Normal]"/>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styleId="15">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499</Words>
  <Characters>2848</Characters>
  <Lines>23</Lines>
  <Paragraphs>6</Paragraphs>
  <TotalTime>0</TotalTime>
  <ScaleCrop>false</ScaleCrop>
  <LinksUpToDate>false</LinksUpToDate>
  <CharactersWithSpaces>3341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2018-08-14T02:23:00Z</dcterms:created>
  <dc:creator>suix</dc:creator>
  <cp:lastModifiedBy>唐小糖ok</cp:lastModifiedBy>
  <cp:lastPrinted>2017-06-21T08:26:00Z</cp:lastPrinted>
  <dcterms:modified xsi:type="dcterms:W3CDTF">2024-03-14T00:45:45Z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CAD82D5966A4482EAE3156FD76803B1E_13</vt:lpwstr>
  </property>
</Properties>
</file>