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保定市徐水区水利局</w:t>
      </w:r>
    </w:p>
    <w:p>
      <w:pPr>
        <w:widowControl/>
        <w:shd w:val="clear" w:color="auto" w:fill="FFFFFF"/>
        <w:spacing w:line="420" w:lineRule="atLeas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印发《</w:t>
      </w:r>
      <w:r>
        <w:rPr>
          <w:rFonts w:hint="eastAsia" w:cs="宋体" w:asciiTheme="minorEastAsia" w:hAnsiTheme="minorEastAsia"/>
          <w:b/>
          <w:kern w:val="0"/>
          <w:sz w:val="44"/>
          <w:szCs w:val="44"/>
        </w:rPr>
        <w:t>实施水行政执法责任制若干规定</w:t>
      </w:r>
      <w:r>
        <w:rPr>
          <w:rFonts w:hint="eastAsia" w:ascii="宋体" w:hAnsi="宋体" w:eastAsia="宋体" w:cs="宋体"/>
          <w:b/>
          <w:bCs/>
          <w:color w:val="auto"/>
          <w:sz w:val="44"/>
          <w:szCs w:val="44"/>
          <w:lang w:val="en-US" w:eastAsia="zh-CN"/>
        </w:rPr>
        <w:t>》的通知</w:t>
      </w:r>
    </w:p>
    <w:p>
      <w:pPr>
        <w:spacing w:beforeLines="0" w:afterLines="0" w:line="567" w:lineRule="exact"/>
        <w:ind w:left="622"/>
        <w:jc w:val="center"/>
        <w:rPr>
          <w:rFonts w:hint="eastAsia" w:ascii="宋体" w:hAnsi="宋体" w:eastAsia="宋体" w:cs="宋体"/>
          <w:b/>
          <w:bCs/>
          <w:color w:val="auto"/>
          <w:sz w:val="44"/>
          <w:szCs w:val="44"/>
        </w:rPr>
      </w:pPr>
    </w:p>
    <w:p>
      <w:pPr>
        <w:keepNext w:val="0"/>
        <w:keepLines w:val="0"/>
        <w:pageBreakBefore w:val="0"/>
        <w:widowControl w:val="0"/>
        <w:kinsoku w:val="0"/>
        <w:wordWrap/>
        <w:overflowPunct/>
        <w:topLinePunct w:val="0"/>
        <w:autoSpaceDE/>
        <w:autoSpaceDN/>
        <w:bidi w:val="0"/>
        <w:adjustRightInd/>
        <w:snapToGrid/>
        <w:spacing w:beforeLines="0" w:afterLines="0" w:line="560" w:lineRule="exact"/>
        <w:ind w:right="0"/>
        <w:textAlignment w:val="auto"/>
        <w:rPr>
          <w:rFonts w:hint="eastAsia" w:ascii="仿宋_GB2312" w:hAnsi="仿宋_GB2312" w:eastAsia="仿宋_GB2312" w:cs="仿宋_GB2312"/>
          <w:sz w:val="32"/>
          <w:lang w:eastAsia="zh-CN"/>
        </w:rPr>
      </w:pPr>
    </w:p>
    <w:p>
      <w:pPr>
        <w:keepNext w:val="0"/>
        <w:keepLines w:val="0"/>
        <w:pageBreakBefore w:val="0"/>
        <w:widowControl w:val="0"/>
        <w:kinsoku w:val="0"/>
        <w:wordWrap/>
        <w:overflowPunct/>
        <w:topLinePunct w:val="0"/>
        <w:autoSpaceDE/>
        <w:autoSpaceDN/>
        <w:bidi w:val="0"/>
        <w:adjustRightInd/>
        <w:snapToGrid/>
        <w:spacing w:beforeLines="0" w:afterLines="0" w:line="560" w:lineRule="exact"/>
        <w:ind w:right="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局属各单位：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《实施水行政执法责任制若干规定》已经局领导同意。现印发你们，请认真执行。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beforeLines="0" w:afterLines="0" w:line="560" w:lineRule="exact"/>
        <w:ind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beforeLines="0" w:afterLines="0" w:line="560" w:lineRule="exact"/>
        <w:ind w:right="0"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保定市徐水区水利局</w:t>
      </w:r>
    </w:p>
    <w:p>
      <w:pPr>
        <w:keepNext w:val="0"/>
        <w:keepLines w:val="0"/>
        <w:pageBreakBefore w:val="0"/>
        <w:widowControl w:val="0"/>
        <w:kinsoku w:val="0"/>
        <w:wordWrap/>
        <w:overflowPunct/>
        <w:topLinePunct w:val="0"/>
        <w:autoSpaceDE/>
        <w:autoSpaceDN/>
        <w:bidi w:val="0"/>
        <w:adjustRightInd/>
        <w:snapToGrid/>
        <w:spacing w:beforeLines="0" w:afterLines="0" w:line="560" w:lineRule="exact"/>
        <w:ind w:righ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hint="eastAsia" w:ascii="宋体" w:hAnsi="宋体" w:eastAsia="宋体" w:cs="宋体"/>
          <w:i w:val="0"/>
          <w:iCs w:val="0"/>
          <w:caps w:val="0"/>
          <w:color w:val="444444"/>
          <w:spacing w:val="0"/>
          <w:sz w:val="44"/>
          <w:szCs w:val="44"/>
          <w:lang w:eastAsia="zh-CN"/>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p>
    <w:p>
      <w:pPr>
        <w:widowControl/>
        <w:shd w:val="clear" w:color="auto" w:fill="FFFFFF"/>
        <w:spacing w:line="420" w:lineRule="atLeast"/>
        <w:jc w:val="cente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徐水区水利局</w:t>
      </w:r>
    </w:p>
    <w:p>
      <w:pPr>
        <w:widowControl/>
        <w:shd w:val="clear" w:color="auto" w:fill="FFFFFF"/>
        <w:spacing w:line="420" w:lineRule="atLeast"/>
        <w:jc w:val="center"/>
        <w:rPr>
          <w:rFonts w:cs="宋体" w:asciiTheme="minorEastAsia" w:hAnsiTheme="minorEastAsia"/>
          <w:kern w:val="0"/>
          <w:sz w:val="44"/>
          <w:szCs w:val="44"/>
        </w:rPr>
      </w:pPr>
      <w:r>
        <w:rPr>
          <w:rFonts w:hint="eastAsia" w:cs="宋体" w:asciiTheme="minorEastAsia" w:hAnsiTheme="minorEastAsia"/>
          <w:b/>
          <w:kern w:val="0"/>
          <w:sz w:val="44"/>
          <w:szCs w:val="44"/>
        </w:rPr>
        <w:t>实施水行政执法责任制若干规定</w:t>
      </w:r>
    </w:p>
    <w:p>
      <w:pPr>
        <w:widowControl/>
        <w:shd w:val="clear" w:color="auto" w:fill="FFFFFF"/>
        <w:spacing w:line="375" w:lineRule="atLeast"/>
        <w:jc w:val="left"/>
        <w:rPr>
          <w:rFonts w:hint="eastAsia" w:cs="宋体" w:asciiTheme="minorEastAsia" w:hAnsiTheme="minorEastAsia"/>
          <w:kern w:val="0"/>
          <w:sz w:val="30"/>
          <w:szCs w:val="30"/>
        </w:rPr>
      </w:pPr>
    </w:p>
    <w:p>
      <w:pPr>
        <w:widowControl/>
        <w:shd w:val="clear" w:color="auto" w:fill="FFFFFF"/>
        <w:spacing w:line="375" w:lineRule="atLeast"/>
        <w:ind w:firstLine="640" w:firstLineChars="200"/>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第一条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为实施依法治国的基本方略，认真贯彻落实各项水法规，推进依法治水和我局的水行政执法工作，特制定本规定。</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第二条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本局实施水行政执法责任制工作，适用本规定。</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第三条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水行政执法责任制是指局内有关处室及其工作人员在执法中的职责分工和应负法律责任的划分。</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第四条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局长对本局实施水行政执法责任制工作负总责；各处室一把手对本处室实施水行政执法责任制工作负责。</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第五条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局成立实施水行政执法责任制领导小组（以下简称领导小组），下设办公室，办公室设在水政监察大队。</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领导小组办公室负责组织实施水行政执法责任制工作。对实施中存在的问题，领导小组办公室应当及时向领导小组报告，由领导小组研究决定。</w:t>
      </w:r>
    </w:p>
    <w:p>
      <w:pPr>
        <w:widowControl/>
        <w:shd w:val="clear" w:color="auto" w:fill="FFFFFF"/>
        <w:spacing w:line="375" w:lineRule="atLeast"/>
        <w:ind w:firstLine="640" w:firstLineChars="200"/>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第六条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水行政执法的依据是现行的水法律、水行政法规、地方性水法规、水规章及其他水规范性文件。</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第七条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水行政执法应当做到事实清楚，证据确凿，定性准确，文书规范，处理恰当，程序合法。</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第八条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本局将执法责任分解到水政监察大队、</w:t>
      </w:r>
      <w:r>
        <w:rPr>
          <w:rFonts w:hint="eastAsia" w:ascii="仿宋" w:hAnsi="仿宋" w:eastAsia="仿宋" w:cs="仿宋"/>
          <w:color w:val="1E1E1E"/>
          <w:kern w:val="0"/>
          <w:sz w:val="32"/>
          <w:szCs w:val="32"/>
          <w:lang w:eastAsia="zh-CN"/>
        </w:rPr>
        <w:t>河湖建管与规计</w:t>
      </w:r>
      <w:r>
        <w:rPr>
          <w:rFonts w:hint="eastAsia" w:ascii="仿宋" w:hAnsi="仿宋" w:eastAsia="仿宋" w:cs="仿宋"/>
          <w:color w:val="1E1E1E"/>
          <w:kern w:val="0"/>
          <w:sz w:val="32"/>
          <w:szCs w:val="32"/>
        </w:rPr>
        <w:t>、</w:t>
      </w:r>
      <w:r>
        <w:rPr>
          <w:rFonts w:hint="eastAsia" w:ascii="仿宋" w:hAnsi="仿宋" w:eastAsia="仿宋" w:cs="仿宋"/>
          <w:color w:val="1E1E1E"/>
          <w:kern w:val="0"/>
          <w:sz w:val="32"/>
          <w:szCs w:val="32"/>
          <w:lang w:eastAsia="zh-CN"/>
        </w:rPr>
        <w:t>水资源管理、</w:t>
      </w:r>
      <w:r>
        <w:rPr>
          <w:rFonts w:hint="eastAsia" w:ascii="仿宋" w:hAnsi="仿宋" w:eastAsia="仿宋" w:cs="仿宋"/>
          <w:color w:val="1E1E1E"/>
          <w:kern w:val="0"/>
          <w:sz w:val="32"/>
          <w:szCs w:val="32"/>
        </w:rPr>
        <w:t>水</w:t>
      </w:r>
      <w:r>
        <w:rPr>
          <w:rFonts w:hint="eastAsia" w:ascii="仿宋" w:hAnsi="仿宋" w:eastAsia="仿宋" w:cs="仿宋"/>
          <w:color w:val="1E1E1E"/>
          <w:kern w:val="0"/>
          <w:sz w:val="32"/>
          <w:szCs w:val="32"/>
          <w:lang w:eastAsia="zh-CN"/>
        </w:rPr>
        <w:t>土</w:t>
      </w:r>
      <w:r>
        <w:rPr>
          <w:rFonts w:hint="eastAsia" w:ascii="仿宋" w:hAnsi="仿宋" w:eastAsia="仿宋" w:cs="仿宋"/>
          <w:color w:val="1E1E1E"/>
          <w:kern w:val="0"/>
          <w:sz w:val="32"/>
          <w:szCs w:val="32"/>
        </w:rPr>
        <w:t>保</w:t>
      </w:r>
      <w:r>
        <w:rPr>
          <w:rFonts w:hint="eastAsia" w:ascii="仿宋" w:hAnsi="仿宋" w:eastAsia="仿宋" w:cs="仿宋"/>
          <w:color w:val="1E1E1E"/>
          <w:kern w:val="0"/>
          <w:sz w:val="32"/>
          <w:szCs w:val="32"/>
          <w:lang w:eastAsia="zh-CN"/>
        </w:rPr>
        <w:t>持</w:t>
      </w:r>
      <w:r>
        <w:rPr>
          <w:rFonts w:hint="eastAsia" w:ascii="仿宋" w:hAnsi="仿宋" w:eastAsia="仿宋" w:cs="仿宋"/>
          <w:color w:val="1E1E1E"/>
          <w:kern w:val="0"/>
          <w:sz w:val="32"/>
          <w:szCs w:val="32"/>
        </w:rPr>
        <w:t>、</w:t>
      </w:r>
      <w:r>
        <w:rPr>
          <w:rFonts w:hint="eastAsia" w:ascii="仿宋" w:hAnsi="仿宋" w:eastAsia="仿宋" w:cs="仿宋"/>
          <w:color w:val="1E1E1E"/>
          <w:kern w:val="0"/>
          <w:sz w:val="32"/>
          <w:szCs w:val="32"/>
          <w:lang w:eastAsia="zh-CN"/>
        </w:rPr>
        <w:t>农村供水保障、水旱灾害防御与安全生产建管</w:t>
      </w:r>
      <w:r>
        <w:rPr>
          <w:rFonts w:hint="eastAsia" w:ascii="仿宋" w:hAnsi="仿宋" w:eastAsia="仿宋" w:cs="仿宋"/>
          <w:color w:val="1E1E1E"/>
          <w:kern w:val="0"/>
          <w:sz w:val="32"/>
          <w:szCs w:val="32"/>
        </w:rPr>
        <w:t>等处室。</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各处室的执法职责划分依据有关水法规并结合《徐水区水利局职能配置、内设机构和人员编制规定》确定。</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第九条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水政监察大队负责组织、指导、协调局执法管理工作。</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其他各有关处室负责有关水法规和本处室职责范围内的具体执法工作。</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执法工作涉及几个处室职责范围的，由相关处室联合办理。</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本局在执法过程中，需要其他部门配合的，由领导小组办公室安排有关处室组织协调。</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其他部门在执法过程中，需要本局配合执行的，由领导小组办公室安排有关处室按照法定的权限予以配合执行。</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第十一条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建立水行政执法情况报告制度。各有关处室要定期向领导小组办公室通报查处水事案件、调处水事纠纷情况，由领导小组办公室汇总后，向领导小组报告。</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第十二条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建立水行政执法法制审核制度。对影响较大的水事纠纷、水事案件，各有关处室在拟作出行政处理决定之前，应当与其他有关处室进行审核，充分听取其他处室的意见。</w:t>
      </w:r>
    </w:p>
    <w:p>
      <w:pPr>
        <w:widowControl/>
        <w:shd w:val="clear" w:color="auto" w:fill="FFFFFF"/>
        <w:spacing w:line="375" w:lineRule="atLeast"/>
        <w:ind w:firstLine="600"/>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第十三条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作出行政许可、行政处罚、行政强制措施和行政事业性收费等具体行政行为，实行主办处室负责制，主办处室在执法范围内履行执法职责。</w:t>
      </w:r>
    </w:p>
    <w:p>
      <w:pPr>
        <w:widowControl/>
        <w:shd w:val="clear" w:color="auto" w:fill="FFFFFF"/>
        <w:spacing w:line="375" w:lineRule="atLeast"/>
        <w:ind w:firstLine="600"/>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第十四条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作出核发取水许可证等行政许可的具体行政行为，应当严格执行法律、法规规定的受理、审查、核准程序。</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第十五条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查处水事案件应当严格遵守《</w:t>
      </w:r>
      <w:r>
        <w:rPr>
          <w:rFonts w:hint="eastAsia" w:ascii="仿宋" w:hAnsi="仿宋" w:eastAsia="仿宋" w:cs="仿宋"/>
          <w:color w:val="1E1E1E"/>
          <w:kern w:val="0"/>
          <w:sz w:val="32"/>
          <w:szCs w:val="32"/>
          <w:lang w:eastAsia="zh-CN"/>
        </w:rPr>
        <w:t>中华人民共和国</w:t>
      </w:r>
      <w:r>
        <w:rPr>
          <w:rFonts w:hint="eastAsia" w:ascii="仿宋" w:hAnsi="仿宋" w:eastAsia="仿宋" w:cs="仿宋"/>
          <w:color w:val="1E1E1E"/>
          <w:kern w:val="0"/>
          <w:sz w:val="32"/>
          <w:szCs w:val="32"/>
        </w:rPr>
        <w:t>行政处罚法》和《</w:t>
      </w:r>
      <w:r>
        <w:rPr>
          <w:rFonts w:hint="eastAsia" w:ascii="仿宋" w:hAnsi="仿宋" w:eastAsia="仿宋" w:cs="仿宋"/>
          <w:color w:val="1E1E1E"/>
          <w:kern w:val="0"/>
          <w:sz w:val="32"/>
          <w:szCs w:val="32"/>
          <w:lang w:eastAsia="zh-CN"/>
        </w:rPr>
        <w:t>河北省</w:t>
      </w:r>
      <w:bookmarkStart w:id="0" w:name="_GoBack"/>
      <w:bookmarkEnd w:id="0"/>
      <w:r>
        <w:rPr>
          <w:rFonts w:hint="eastAsia" w:ascii="仿宋" w:hAnsi="仿宋" w:eastAsia="仿宋" w:cs="仿宋"/>
          <w:color w:val="1E1E1E"/>
          <w:kern w:val="0"/>
          <w:sz w:val="32"/>
          <w:szCs w:val="32"/>
        </w:rPr>
        <w:t>水行政处罚实施办法》</w:t>
      </w:r>
      <w:r>
        <w:rPr>
          <w:rFonts w:hint="eastAsia" w:ascii="仿宋" w:hAnsi="仿宋" w:eastAsia="仿宋" w:cs="仿宋"/>
          <w:color w:val="1E1E1E"/>
          <w:kern w:val="0"/>
          <w:sz w:val="32"/>
          <w:szCs w:val="32"/>
          <w:lang w:eastAsia="zh-CN"/>
        </w:rPr>
        <w:t>《河北省水行政处罚裁量权执行标准》</w:t>
      </w:r>
      <w:r>
        <w:rPr>
          <w:rFonts w:hint="eastAsia" w:ascii="仿宋" w:hAnsi="仿宋" w:eastAsia="仿宋" w:cs="仿宋"/>
          <w:color w:val="1E1E1E"/>
          <w:kern w:val="0"/>
          <w:sz w:val="32"/>
          <w:szCs w:val="32"/>
        </w:rPr>
        <w:t>的规定。</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第十六条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水政监察大队查处的适用一般程序的行政处罚案件，在案件调查终结后，进行书面审核，而后报局长决定。</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第十七条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水行政执法人员在执法活动中有下列情形之一的，应当追究责任：</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（一）超越法定权限的；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（二）所办案件认定事实不清的；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（三）适用法律错误的；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（四）违反法定程序和期限的；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（五）处理结果显失公正的；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（六）依法应当作为而不作为的；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（七）滥用职权、贪赃枉法的；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（八）未依法及时受理群众举报或对正在进行的水事违法行为不予制止而造成严重后果的；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（九）超范围、超幅度、超权限进行罚没款物的；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（十）其他违法行为。</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第十八条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水行政执法人员凡有第十八条所列情形之一的，视情节轻重，给予以下处理：</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（一）批评教育；</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（二）责令检查；</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（三）通报批评；</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（四）行政处分；</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（五）构成犯罪的，移送司法机关依法追究刑事责任；</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（六）按照法律、法规的规定应当给予的其他处理。</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第十九条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对违法行政的水行政执法人员追究法律责任，按照《河北省水利错案和执法过错责任追究暂行办法》的规定执行。</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第二十条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局将各有关处室实施水行政执法责任制情况纳入年度工作考核的内容。</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第二十一条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本规定由水政监察大队负责解释。</w:t>
      </w:r>
    </w:p>
    <w:p>
      <w:pPr>
        <w:widowControl/>
        <w:shd w:val="clear" w:color="auto" w:fill="FFFFFF"/>
        <w:spacing w:line="375" w:lineRule="atLeast"/>
        <w:jc w:val="left"/>
        <w:rPr>
          <w:rFonts w:hint="eastAsia" w:ascii="仿宋" w:hAnsi="仿宋" w:eastAsia="仿宋" w:cs="仿宋"/>
          <w:color w:val="1E1E1E"/>
          <w:kern w:val="0"/>
          <w:sz w:val="32"/>
          <w:szCs w:val="32"/>
        </w:rPr>
      </w:pPr>
      <w:r>
        <w:rPr>
          <w:rFonts w:hint="eastAsia" w:ascii="仿宋" w:hAnsi="仿宋" w:eastAsia="仿宋" w:cs="仿宋"/>
          <w:color w:val="1E1E1E"/>
          <w:kern w:val="0"/>
          <w:sz w:val="32"/>
          <w:szCs w:val="32"/>
        </w:rPr>
        <w:t>　　第二十二条</w:t>
      </w:r>
      <w:r>
        <w:rPr>
          <w:rFonts w:hint="eastAsia" w:ascii="仿宋" w:hAnsi="仿宋" w:eastAsia="仿宋" w:cs="仿宋"/>
          <w:color w:val="333333"/>
          <w:kern w:val="0"/>
          <w:sz w:val="32"/>
          <w:szCs w:val="32"/>
        </w:rPr>
        <w:t> </w:t>
      </w:r>
      <w:r>
        <w:rPr>
          <w:rFonts w:hint="eastAsia" w:ascii="仿宋" w:hAnsi="仿宋" w:eastAsia="仿宋" w:cs="仿宋"/>
          <w:color w:val="1E1E1E"/>
          <w:kern w:val="0"/>
          <w:sz w:val="32"/>
          <w:szCs w:val="32"/>
        </w:rPr>
        <w:t>本规定自发布之日起施行。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rPr>
          <w:rFonts w:hint="default"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0NjY1OTliNzg2YWVjNGYwNmRkYTQyOGIxMDgzMmEifQ=="/>
  </w:docVars>
  <w:rsids>
    <w:rsidRoot w:val="00D36251"/>
    <w:rsid w:val="00170F30"/>
    <w:rsid w:val="008D3A91"/>
    <w:rsid w:val="008F4B9E"/>
    <w:rsid w:val="00B85A90"/>
    <w:rsid w:val="00D36251"/>
    <w:rsid w:val="00DA705B"/>
    <w:rsid w:val="01FC007F"/>
    <w:rsid w:val="078B1598"/>
    <w:rsid w:val="60E15319"/>
    <w:rsid w:val="76B4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apple-converted-spac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1494</Words>
  <Characters>1499</Characters>
  <Lines>11</Lines>
  <Paragraphs>3</Paragraphs>
  <TotalTime>0</TotalTime>
  <ScaleCrop>false</ScaleCrop>
  <LinksUpToDate>false</LinksUpToDate>
  <CharactersWithSpaces>1633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2020-10-25T02:07:00Z</dcterms:created>
  <dc:creator>Administrator</dc:creator>
  <cp:lastModifiedBy>Administrator</cp:lastModifiedBy>
  <dcterms:modified xsi:type="dcterms:W3CDTF">2024-01-25T06:03:49Z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5CF059EB05F5408488B0A6E5BA01B561_12</vt:lpwstr>
  </property>
</Properties>
</file>