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保定市徐水区农业农村局</w:t>
      </w:r>
    </w:p>
    <w:p>
      <w:pPr>
        <w:spacing w:line="360" w:lineRule="auto"/>
        <w:jc w:val="center"/>
        <w:rPr>
          <w:rFonts w:ascii="宋体" w:hAnsi="宋体" w:eastAsia="宋体"/>
          <w:b/>
          <w:sz w:val="44"/>
          <w:szCs w:val="44"/>
        </w:rPr>
      </w:pPr>
      <w:r>
        <w:rPr>
          <w:rFonts w:ascii="宋体" w:hAnsi="宋体" w:eastAsia="宋体"/>
          <w:b/>
          <w:sz w:val="44"/>
          <w:szCs w:val="44"/>
        </w:rPr>
        <w:t>2022年单位预算公开说明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预算法》、《地方预决算公开操作规程》等文件规定，现将我单位预算信息公开如下：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:单位职责及机构设置情况</w:t>
      </w:r>
    </w:p>
    <w:p>
      <w:pPr>
        <w:jc w:val="center"/>
        <w:outlineLvl w:val="0"/>
        <w:rPr>
          <w:rFonts w:ascii="方正小标宋_GBK" w:eastAsia="方正小标宋_GBK"/>
          <w:sz w:val="44"/>
        </w:rPr>
      </w:pPr>
    </w:p>
    <w:p>
      <w:pPr>
        <w:numPr>
          <w:ilvl w:val="0"/>
          <w:numId w:val="1"/>
        </w:numPr>
        <w:spacing w:line="360" w:lineRule="auto"/>
        <w:ind w:firstLine="643" w:firstLineChars="200"/>
        <w:rPr>
          <w:rFonts w:ascii="仿宋" w:hAnsi="仿宋" w:eastAsia="仿宋"/>
          <w:b/>
          <w:sz w:val="32"/>
          <w:szCs w:val="32"/>
        </w:rPr>
      </w:pPr>
      <w:r>
        <w:rPr>
          <w:rFonts w:hint="eastAsia" w:ascii="仿宋" w:hAnsi="仿宋" w:eastAsia="仿宋"/>
          <w:b/>
          <w:sz w:val="32"/>
          <w:szCs w:val="32"/>
        </w:rPr>
        <w:t>单位职责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根据《保定市徐水区农业农村局职能配置、内设机构和人员编制规定》，保定市徐水区农业农村局的主要职责是：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组织开展“三农”重大问题的政策研究，协调督促有关方面落实中央、省、市、区关于“三农”工作的方针政策和重大决策部署，统筹研究和组织实施全区“三农”工作的发展战略、中长期发展规划,指导农业综合执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拟定和组织实施全区农业和农村经济发展战略、规划、年度计划；谋划和组织实施全区农业产业化经营、农产品加工发展等工作；指导农产品加工业结构调整、技术创新、品牌创建和服务体系建设；指导农村一二三产业融合发展，推进现代农业示范区、现代农业园区和休闲农业建设。</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（3）统筹推动发展农村社会事业、农村公共服务、农村文化、农村基础设施和乡村治理。牵头组织改善农村人居环境。指导农村精神文化和优秀农耕文化建设。指导农业行业安全生产工作。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贯彻落实深化农村经济体制改革和巩固完善农村基本经营制度的政策。负责农民承包地、农村宅基地改革和管理有关工作。负责农村集体产权制度改革和管理有关工作。负责农村集体产权制度改革，指导农村集体经济组织发展和集体资产管理工作，指导农民合作经济组织、农业社会化服务体系、新型农业经营主体建设与发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指导乡村特色产业、农产品加工业、休闲农业发展工作。提出促进大宗农产品流通的建议，培育、保护农业品牌。发布农业农村经济信息，监测分析农业农村经济运行。承担农业统计和农业农村信息化有关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（6）负责种植业、畜牧业、渔业、农业机械化等农业各产业的监督管理。指导粮食等农产品生产。组织构建现代农业产业体系、生产体系、经营体系，指导农业标准化生产。负责渔业管理。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7）负责农产品质量安全监测管理。组织开展农产品（包括种植业产品、畜禽产品、水产品）质量安全监测、追溯、风险评估；指导农业检验检测体系建设和机构考核；依法对复合安全标准的农产品实施监督管理；负责食用农产品从种植养殖环节到进入批发、零售市场或生产加工企业前的质量安全监督管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（8）组织农业资源区划工作。指导农用地、渔业水域以及农业生物物种资源的保护与管理，负</w:t>
      </w:r>
      <w:r>
        <w:rPr>
          <w:rFonts w:hint="eastAsia" w:ascii="仿宋" w:hAnsi="仿宋" w:eastAsia="仿宋"/>
          <w:sz w:val="32"/>
          <w:szCs w:val="32"/>
          <w:lang w:eastAsia="zh-CN"/>
        </w:rPr>
        <w:t>责</w:t>
      </w:r>
      <w:r>
        <w:rPr>
          <w:rFonts w:hint="eastAsia" w:ascii="仿宋" w:hAnsi="仿宋" w:eastAsia="仿宋"/>
          <w:sz w:val="32"/>
          <w:szCs w:val="32"/>
        </w:rPr>
        <w:t>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9）负责有关农业生产资料和农业投入品的监督管理。组织农业生产资料市场体系建设，依法开展农作物种子（种苗）、种畜禽、水产苗种、农药、肥料、兽药、饲料、饲料添加剂的监督管理；组织兽医医政、兽药药政药检工作，负责执业兽医和畜禽屠宰行业管理。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（10）负责农业防灾减灾、农作物重大病虫害防治工作。指导动植物防疫检疫体系建设，会同有关单位制定动植物防疫检疫政策措施并指导实施，组织动植物防疫和检疫体系建设</w:t>
      </w:r>
      <w:r>
        <w:rPr>
          <w:rFonts w:ascii="仿宋" w:hAnsi="仿宋" w:eastAsia="仿宋"/>
          <w:sz w:val="32"/>
          <w:szCs w:val="32"/>
        </w:rPr>
        <w:t>;组织监督全区动植物防疫检疫工作，发布疫情并组织扑灭;负责畜禽屠宰的监督管理工作;组织植物检疫性有害生物普查;指导引进农作物种子(种苗)检疫工作</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（11）负责全区农田建设和综合开发管理。提出全区农田建设和综合开发项目投资规模和方向，负责农业综合开发土地治理和产业化发展项目的组织实施、竣工验收</w:t>
      </w:r>
      <w:r>
        <w:rPr>
          <w:rFonts w:ascii="仿宋" w:hAnsi="仿宋" w:eastAsia="仿宋"/>
          <w:sz w:val="32"/>
          <w:szCs w:val="32"/>
        </w:rPr>
        <w:t>;负责农业综合开发项目的监督管理和绩效评价</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12）负责农业投资管理。提出农业投融资体制机制改革建议。编制全区投资安排的农业投资项目建设规划，提出农业投资规模和方向、扶持农业农村发展财政项目的建议，按区政府规定权限审批农业投资项目，负责农业投资项目资金安排和监督管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（13）负责农业科技创新和技术推广。制定相关农业科研、农技推广的规划、计划，会同有关单位组织全区农业科技创新体系和农业产业技术体系建设，实施科教兴农战略</w:t>
      </w:r>
      <w:r>
        <w:rPr>
          <w:rFonts w:ascii="仿宋" w:hAnsi="仿宋" w:eastAsia="仿宋"/>
          <w:sz w:val="32"/>
          <w:szCs w:val="32"/>
        </w:rPr>
        <w:t>;指导农业领域的高新技术和应用技术研究，组织实施相关农业科研专项、农业科技成果转化和技术推广工作;组织引进农业先进技术，指导农技推广体系改革与建设;负责农业转基因生物安全监督管理和农业植物新品种保护</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（14）指导农业农村人才工作。拟订农业农村人才队伍建设规划并组织实施，指导农业教育和农业职业技能开发，指导新型职业农民培育、农业科技人才培养和农村实用人才培训工作。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（15）拟订农业机械化和设施农业的规划、计划并组织实施。提出农业生产机械装备的技术要求和发展要求，引导农民使用新型农机产品和农作物秸秆综合利用</w:t>
      </w:r>
      <w:r>
        <w:rPr>
          <w:rFonts w:ascii="仿宋" w:hAnsi="仿宋" w:eastAsia="仿宋"/>
          <w:sz w:val="32"/>
          <w:szCs w:val="32"/>
        </w:rPr>
        <w:t>;承担拟订农机作业规范和技术标准工作;依法组织对在用的特定种类农业机械产品进行调查;指导农机作业安全和维修管理，指导农机教育培训管理;组织实施国家农机惠农政策;指导农业机械化发展和农机安全监理</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6</w:t>
      </w:r>
      <w:r>
        <w:rPr>
          <w:rFonts w:hint="eastAsia" w:ascii="仿宋" w:hAnsi="仿宋" w:eastAsia="仿宋"/>
          <w:sz w:val="32"/>
          <w:szCs w:val="32"/>
        </w:rPr>
        <w:t>）完成区委、区政府和区农村工作领导小组交办的其他任务。</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637" w:type="dxa"/>
        <w:jc w:val="center"/>
        <w:tblLayout w:type="autofit"/>
        <w:tblCellMar>
          <w:top w:w="0" w:type="dxa"/>
          <w:left w:w="108" w:type="dxa"/>
          <w:bottom w:w="0" w:type="dxa"/>
          <w:right w:w="108" w:type="dxa"/>
        </w:tblCellMar>
      </w:tblPr>
      <w:tblGrid>
        <w:gridCol w:w="846"/>
        <w:gridCol w:w="3827"/>
        <w:gridCol w:w="1418"/>
        <w:gridCol w:w="1417"/>
        <w:gridCol w:w="3129"/>
      </w:tblGrid>
      <w:tr>
        <w:tblPrEx>
          <w:tblCellMar>
            <w:top w:w="0" w:type="dxa"/>
            <w:left w:w="108" w:type="dxa"/>
            <w:bottom w:w="0" w:type="dxa"/>
            <w:right w:w="108" w:type="dxa"/>
          </w:tblCellMar>
        </w:tblPrEx>
        <w:trPr>
          <w:trHeight w:val="322"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3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单位名称</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单位性质</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单位规格</w:t>
            </w:r>
          </w:p>
        </w:tc>
        <w:tc>
          <w:tcPr>
            <w:tcW w:w="3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经费保障形式</w:t>
            </w:r>
          </w:p>
        </w:tc>
      </w:tr>
      <w:tr>
        <w:tblPrEx>
          <w:tblCellMar>
            <w:top w:w="0" w:type="dxa"/>
            <w:left w:w="108" w:type="dxa"/>
            <w:bottom w:w="0" w:type="dxa"/>
            <w:right w:w="108" w:type="dxa"/>
          </w:tblCellMar>
        </w:tblPrEx>
        <w:trPr>
          <w:trHeight w:val="367"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3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3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64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保定市徐水区农业农村局（事业）</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事业</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股级</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财政性</w:t>
            </w:r>
            <w:r>
              <w:rPr>
                <w:rFonts w:ascii="仿宋" w:hAnsi="仿宋" w:eastAsia="仿宋" w:cs="仿宋"/>
                <w:color w:val="000000"/>
                <w:kern w:val="0"/>
                <w:sz w:val="24"/>
                <w:szCs w:val="24"/>
                <w:lang w:bidi="ar"/>
              </w:rPr>
              <w:t>资金基本保障</w:t>
            </w:r>
          </w:p>
        </w:tc>
      </w:tr>
    </w:tbl>
    <w:p>
      <w:pPr>
        <w:spacing w:line="360" w:lineRule="auto"/>
        <w:rPr>
          <w:rFonts w:ascii="仿宋" w:hAnsi="仿宋" w:eastAsia="仿宋"/>
          <w:b/>
          <w:sz w:val="32"/>
          <w:szCs w:val="32"/>
        </w:rPr>
      </w:pPr>
    </w:p>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pPr>
        <w:jc w:val="center"/>
        <w:outlineLvl w:val="0"/>
        <w:rPr>
          <w:rFonts w:ascii="方正小标宋_GBK" w:eastAsia="方正小标宋_GBK"/>
          <w:sz w:val="44"/>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2022年预算收入为12772.21万元,其中：一般公共预算收入7687.93万元，</w:t>
      </w:r>
      <w:r>
        <w:rPr>
          <w:rFonts w:hint="eastAsia" w:ascii="仿宋" w:hAnsi="仿宋" w:eastAsia="仿宋"/>
          <w:sz w:val="32"/>
          <w:szCs w:val="32"/>
        </w:rPr>
        <w:t>政府性</w:t>
      </w:r>
      <w:r>
        <w:rPr>
          <w:rFonts w:ascii="仿宋" w:hAnsi="仿宋" w:eastAsia="仿宋"/>
          <w:sz w:val="32"/>
          <w:szCs w:val="32"/>
        </w:rPr>
        <w:t>基金预算收入62.40万元，财政专户收入0万元，其他来源收入1.20万元</w:t>
      </w:r>
      <w:r>
        <w:rPr>
          <w:rFonts w:hint="eastAsia" w:ascii="仿宋" w:hAnsi="仿宋" w:eastAsia="仿宋"/>
          <w:sz w:val="32"/>
          <w:szCs w:val="32"/>
        </w:rPr>
        <w:t>，上年结转结余</w:t>
      </w:r>
      <w:r>
        <w:rPr>
          <w:rFonts w:ascii="仿宋" w:hAnsi="仿宋" w:eastAsia="仿宋"/>
          <w:sz w:val="32"/>
          <w:szCs w:val="32"/>
        </w:rPr>
        <w:t>5020.69</w:t>
      </w:r>
      <w:r>
        <w:rPr>
          <w:rFonts w:hint="eastAsia" w:ascii="仿宋" w:hAnsi="仿宋" w:eastAsia="仿宋"/>
          <w:sz w:val="32"/>
          <w:szCs w:val="32"/>
        </w:rPr>
        <w:t>万元</w:t>
      </w:r>
      <w:r>
        <w:rPr>
          <w:rFonts w:ascii="仿宋" w:hAnsi="仿宋" w:eastAsia="仿宋"/>
          <w:sz w:val="32"/>
          <w:szCs w:val="32"/>
        </w:rPr>
        <w:t>。</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2022年单位支出预算：</w:t>
      </w:r>
      <w:r>
        <w:rPr>
          <w:rFonts w:hint="eastAsia" w:ascii="仿宋" w:hAnsi="仿宋" w:eastAsia="仿宋"/>
          <w:sz w:val="32"/>
          <w:szCs w:val="32"/>
        </w:rPr>
        <w:t>3372.66</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基本支出3372.66万元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3277.14</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95.52</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本年度预算收支安排3372.66万元，较</w:t>
      </w:r>
      <w:r>
        <w:rPr>
          <w:rFonts w:ascii="仿宋" w:hAnsi="仿宋" w:eastAsia="仿宋"/>
          <w:sz w:val="32"/>
          <w:szCs w:val="32"/>
        </w:rPr>
        <w:t>上</w:t>
      </w:r>
      <w:r>
        <w:rPr>
          <w:rFonts w:hint="eastAsia" w:ascii="仿宋" w:hAnsi="仿宋" w:eastAsia="仿宋"/>
          <w:sz w:val="32"/>
          <w:szCs w:val="32"/>
        </w:rPr>
        <w:t>年增加</w:t>
      </w:r>
      <w:r>
        <w:rPr>
          <w:rFonts w:ascii="仿宋" w:hAnsi="仿宋" w:eastAsia="仿宋"/>
          <w:sz w:val="32"/>
          <w:szCs w:val="32"/>
        </w:rPr>
        <w:t>了</w:t>
      </w:r>
      <w:r>
        <w:rPr>
          <w:rFonts w:hint="eastAsia" w:ascii="仿宋" w:hAnsi="仿宋" w:eastAsia="仿宋"/>
          <w:sz w:val="32"/>
          <w:szCs w:val="32"/>
        </w:rPr>
        <w:t>776.69万元</w:t>
      </w:r>
      <w:r>
        <w:rPr>
          <w:rFonts w:ascii="仿宋" w:hAnsi="仿宋" w:eastAsia="仿宋"/>
          <w:sz w:val="32"/>
          <w:szCs w:val="32"/>
        </w:rPr>
        <w:t>。其中:基本支出增加</w:t>
      </w:r>
      <w:r>
        <w:rPr>
          <w:rFonts w:hint="eastAsia" w:ascii="仿宋" w:hAnsi="仿宋" w:eastAsia="仿宋"/>
          <w:sz w:val="32"/>
          <w:szCs w:val="32"/>
        </w:rPr>
        <w:t>776.69</w:t>
      </w:r>
      <w:r>
        <w:rPr>
          <w:rFonts w:ascii="仿宋" w:hAnsi="仿宋" w:eastAsia="仿宋"/>
          <w:sz w:val="32"/>
          <w:szCs w:val="32"/>
        </w:rPr>
        <w:t>万元，主要原因是</w:t>
      </w:r>
      <w:r>
        <w:rPr>
          <w:rFonts w:hint="eastAsia" w:ascii="仿宋" w:hAnsi="仿宋" w:eastAsia="仿宋"/>
          <w:sz w:val="32"/>
          <w:szCs w:val="32"/>
        </w:rPr>
        <w:t>人员经费变动影响</w:t>
      </w:r>
      <w:r>
        <w:rPr>
          <w:rFonts w:ascii="仿宋" w:hAnsi="仿宋" w:eastAsia="仿宋"/>
          <w:sz w:val="32"/>
          <w:szCs w:val="32"/>
        </w:rPr>
        <w:t>。</w:t>
      </w: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jc w:val="center"/>
        <w:outlineLvl w:val="0"/>
        <w:rPr>
          <w:rFonts w:ascii="方正小标宋_GBK" w:eastAsia="方正小标宋_GBK"/>
          <w:sz w:val="44"/>
        </w:rPr>
      </w:pPr>
    </w:p>
    <w:p>
      <w:pPr>
        <w:spacing w:line="360" w:lineRule="auto"/>
        <w:ind w:firstLine="640" w:firstLineChars="200"/>
        <w:rPr>
          <w:rFonts w:ascii="仿宋" w:hAnsi="仿宋" w:eastAsia="仿宋"/>
          <w:b/>
          <w:sz w:val="32"/>
          <w:szCs w:val="32"/>
        </w:rPr>
      </w:pPr>
      <w:r>
        <w:rPr>
          <w:rFonts w:ascii="仿宋" w:hAnsi="仿宋" w:eastAsia="仿宋"/>
          <w:sz w:val="32"/>
          <w:szCs w:val="32"/>
        </w:rPr>
        <w:t>2022年我单位机关运行经费安排</w:t>
      </w:r>
      <w:r>
        <w:rPr>
          <w:rFonts w:hint="eastAsia" w:ascii="仿宋" w:hAnsi="仿宋" w:eastAsia="仿宋"/>
          <w:sz w:val="32"/>
          <w:szCs w:val="32"/>
        </w:rPr>
        <w:t>95.52</w:t>
      </w:r>
      <w:r>
        <w:rPr>
          <w:rFonts w:ascii="仿宋" w:hAnsi="仿宋" w:eastAsia="仿宋"/>
          <w:sz w:val="32"/>
          <w:szCs w:val="32"/>
        </w:rPr>
        <w:t>万元，其中办公费45.</w:t>
      </w:r>
      <w:r>
        <w:rPr>
          <w:rFonts w:hint="eastAsia" w:ascii="仿宋" w:hAnsi="仿宋" w:eastAsia="仿宋"/>
          <w:sz w:val="32"/>
          <w:szCs w:val="32"/>
        </w:rPr>
        <w:t>36</w:t>
      </w:r>
      <w:r>
        <w:rPr>
          <w:rFonts w:ascii="仿宋" w:hAnsi="仿宋" w:eastAsia="仿宋"/>
          <w:sz w:val="32"/>
          <w:szCs w:val="32"/>
        </w:rPr>
        <w:t>万元，邮电费2</w:t>
      </w:r>
      <w:r>
        <w:rPr>
          <w:rFonts w:hint="eastAsia" w:ascii="仿宋" w:hAnsi="仿宋" w:eastAsia="仿宋"/>
          <w:sz w:val="32"/>
          <w:szCs w:val="32"/>
        </w:rPr>
        <w:t>.02</w:t>
      </w:r>
      <w:r>
        <w:rPr>
          <w:rFonts w:ascii="仿宋" w:hAnsi="仿宋" w:eastAsia="仿宋"/>
          <w:sz w:val="32"/>
          <w:szCs w:val="32"/>
        </w:rPr>
        <w:t>万元，公务接待费</w:t>
      </w:r>
      <w:r>
        <w:rPr>
          <w:rFonts w:hint="eastAsia" w:ascii="仿宋" w:hAnsi="仿宋" w:eastAsia="仿宋"/>
          <w:sz w:val="32"/>
          <w:szCs w:val="32"/>
        </w:rPr>
        <w:t>2.56万元</w:t>
      </w:r>
      <w:r>
        <w:rPr>
          <w:rFonts w:ascii="仿宋" w:hAnsi="仿宋" w:eastAsia="仿宋"/>
          <w:sz w:val="32"/>
          <w:szCs w:val="32"/>
        </w:rPr>
        <w:t>，离退休</w:t>
      </w:r>
      <w:r>
        <w:rPr>
          <w:rFonts w:hint="eastAsia" w:ascii="仿宋" w:hAnsi="仿宋" w:eastAsia="仿宋"/>
          <w:sz w:val="32"/>
          <w:szCs w:val="32"/>
        </w:rPr>
        <w:t>干部</w:t>
      </w:r>
      <w:r>
        <w:rPr>
          <w:rFonts w:ascii="仿宋" w:hAnsi="仿宋" w:eastAsia="仿宋"/>
          <w:sz w:val="32"/>
          <w:szCs w:val="32"/>
        </w:rPr>
        <w:t>经费</w:t>
      </w:r>
      <w:r>
        <w:rPr>
          <w:rFonts w:hint="eastAsia" w:ascii="仿宋" w:hAnsi="仿宋" w:eastAsia="仿宋"/>
          <w:sz w:val="32"/>
          <w:szCs w:val="32"/>
        </w:rPr>
        <w:t>10.68万元</w:t>
      </w:r>
      <w:r>
        <w:rPr>
          <w:rFonts w:ascii="仿宋" w:hAnsi="仿宋" w:eastAsia="仿宋"/>
          <w:sz w:val="32"/>
          <w:szCs w:val="32"/>
        </w:rPr>
        <w:t>，工会经费</w:t>
      </w:r>
      <w:r>
        <w:rPr>
          <w:rFonts w:hint="eastAsia" w:ascii="仿宋" w:hAnsi="仿宋" w:eastAsia="仿宋"/>
          <w:sz w:val="32"/>
          <w:szCs w:val="32"/>
        </w:rPr>
        <w:t>21.52万元，</w:t>
      </w:r>
      <w:r>
        <w:rPr>
          <w:rFonts w:ascii="仿宋" w:hAnsi="仿宋" w:eastAsia="仿宋"/>
          <w:sz w:val="32"/>
          <w:szCs w:val="32"/>
        </w:rPr>
        <w:t>福利费1</w:t>
      </w:r>
      <w:r>
        <w:rPr>
          <w:rFonts w:hint="eastAsia" w:ascii="仿宋" w:hAnsi="仿宋" w:eastAsia="仿宋"/>
          <w:sz w:val="32"/>
          <w:szCs w:val="32"/>
        </w:rPr>
        <w:t>5.04</w:t>
      </w:r>
      <w:r>
        <w:rPr>
          <w:rFonts w:ascii="仿宋" w:hAnsi="仿宋" w:eastAsia="仿宋"/>
          <w:sz w:val="32"/>
          <w:szCs w:val="32"/>
        </w:rPr>
        <w:t>万元</w:t>
      </w:r>
      <w:r>
        <w:rPr>
          <w:rFonts w:hint="eastAsia" w:ascii="仿宋" w:hAnsi="仿宋" w:eastAsia="仿宋"/>
          <w:sz w:val="32"/>
          <w:szCs w:val="32"/>
        </w:rPr>
        <w:t>，党组织活动</w:t>
      </w:r>
      <w:r>
        <w:rPr>
          <w:rFonts w:ascii="仿宋" w:hAnsi="仿宋" w:eastAsia="仿宋"/>
          <w:sz w:val="32"/>
          <w:szCs w:val="32"/>
        </w:rPr>
        <w:t>经费</w:t>
      </w:r>
      <w:r>
        <w:rPr>
          <w:rFonts w:hint="eastAsia" w:ascii="仿宋" w:hAnsi="仿宋" w:eastAsia="仿宋"/>
          <w:sz w:val="32"/>
          <w:szCs w:val="32"/>
        </w:rPr>
        <w:t>0.91万元</w:t>
      </w:r>
      <w:r>
        <w:rPr>
          <w:rFonts w:ascii="仿宋" w:hAnsi="仿宋" w:eastAsia="仿宋"/>
          <w:sz w:val="32"/>
          <w:szCs w:val="32"/>
        </w:rPr>
        <w:t>。</w:t>
      </w: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pPr w:leftFromText="180" w:rightFromText="180" w:vertAnchor="text" w:horzAnchor="margin" w:tblpY="147"/>
        <w:tblW w:w="5000" w:type="pct"/>
        <w:tblInd w:w="0" w:type="dxa"/>
        <w:tblLayout w:type="autofit"/>
        <w:tblCellMar>
          <w:top w:w="0" w:type="dxa"/>
          <w:left w:w="108" w:type="dxa"/>
          <w:bottom w:w="0" w:type="dxa"/>
          <w:right w:w="108" w:type="dxa"/>
        </w:tblCellMar>
      </w:tblPr>
      <w:tblGrid>
        <w:gridCol w:w="9508"/>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p>
            <w:pPr>
              <w:widowControl/>
              <w:spacing w:line="520" w:lineRule="exact"/>
              <w:ind w:right="600"/>
              <w:jc w:val="right"/>
              <w:rPr>
                <w:rFonts w:ascii="仿宋" w:hAnsi="仿宋" w:eastAsia="仿宋" w:cs="宋体"/>
                <w:b/>
                <w:kern w:val="0"/>
                <w:sz w:val="24"/>
                <w:szCs w:val="24"/>
              </w:rPr>
            </w:pPr>
            <w:r>
              <w:rPr>
                <w:rFonts w:hint="eastAsia" w:ascii="仿宋" w:hAnsi="仿宋" w:eastAsia="仿宋" w:cs="仿宋"/>
                <w:color w:val="000000"/>
                <w:kern w:val="0"/>
                <w:sz w:val="24"/>
                <w:szCs w:val="24"/>
                <w:lang w:bidi="ar"/>
              </w:rPr>
              <w:t>单位</w:t>
            </w:r>
            <w:r>
              <w:rPr>
                <w:rFonts w:ascii="仿宋" w:hAnsi="仿宋" w:eastAsia="仿宋" w:cs="仿宋"/>
                <w:color w:val="000000"/>
                <w:kern w:val="0"/>
                <w:sz w:val="24"/>
                <w:szCs w:val="24"/>
                <w:lang w:bidi="ar"/>
              </w:rPr>
              <w:t>：万元</w:t>
            </w:r>
          </w:p>
        </w:tc>
      </w:tr>
    </w:tbl>
    <w:tbl>
      <w:tblPr>
        <w:tblStyle w:val="5"/>
        <w:tblW w:w="10637" w:type="dxa"/>
        <w:jc w:val="center"/>
        <w:tblLayout w:type="autofit"/>
        <w:tblCellMar>
          <w:top w:w="0" w:type="dxa"/>
          <w:left w:w="108" w:type="dxa"/>
          <w:bottom w:w="0" w:type="dxa"/>
          <w:right w:w="108" w:type="dxa"/>
        </w:tblCellMar>
      </w:tblPr>
      <w:tblGrid>
        <w:gridCol w:w="2263"/>
        <w:gridCol w:w="1843"/>
        <w:gridCol w:w="1985"/>
        <w:gridCol w:w="1559"/>
        <w:gridCol w:w="2987"/>
      </w:tblGrid>
      <w:tr>
        <w:tblPrEx>
          <w:tblCellMar>
            <w:top w:w="0" w:type="dxa"/>
            <w:left w:w="108" w:type="dxa"/>
            <w:bottom w:w="0" w:type="dxa"/>
            <w:right w:w="108" w:type="dxa"/>
          </w:tblCellMar>
        </w:tblPrEx>
        <w:trPr>
          <w:trHeight w:val="322" w:hRule="atLeast"/>
          <w:jc w:val="center"/>
        </w:trPr>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项目名称</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2021</w:t>
            </w:r>
            <w:r>
              <w:rPr>
                <w:rFonts w:hint="eastAsia" w:ascii="仿宋" w:hAnsi="仿宋" w:eastAsia="仿宋" w:cs="仿宋"/>
                <w:color w:val="000000"/>
                <w:kern w:val="0"/>
                <w:sz w:val="24"/>
                <w:szCs w:val="24"/>
                <w:lang w:bidi="ar"/>
              </w:rPr>
              <w:t>年度预算</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2022</w:t>
            </w:r>
            <w:r>
              <w:rPr>
                <w:rFonts w:hint="eastAsia" w:ascii="仿宋" w:hAnsi="仿宋" w:eastAsia="仿宋" w:cs="仿宋"/>
                <w:color w:val="000000"/>
                <w:kern w:val="0"/>
                <w:sz w:val="24"/>
                <w:szCs w:val="24"/>
                <w:lang w:bidi="ar"/>
              </w:rPr>
              <w:t>年度预算</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增减金额</w:t>
            </w:r>
          </w:p>
        </w:tc>
        <w:tc>
          <w:tcPr>
            <w:tcW w:w="2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变化原因</w:t>
            </w:r>
          </w:p>
        </w:tc>
      </w:tr>
      <w:tr>
        <w:tblPrEx>
          <w:tblCellMar>
            <w:top w:w="0" w:type="dxa"/>
            <w:left w:w="108" w:type="dxa"/>
            <w:bottom w:w="0" w:type="dxa"/>
            <w:right w:w="108" w:type="dxa"/>
          </w:tblCellMar>
        </w:tblPrEx>
        <w:trPr>
          <w:trHeight w:val="367" w:hRule="atLeast"/>
          <w:jc w:val="center"/>
        </w:trPr>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2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649"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_GB2312" w:hAnsi="宋体" w:eastAsia="仿宋_GB2312" w:cs="宋体"/>
                <w:kern w:val="0"/>
                <w:sz w:val="24"/>
                <w:szCs w:val="24"/>
              </w:rPr>
              <w:t>公务用车购置经费</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p>
        </w:tc>
      </w:tr>
      <w:tr>
        <w:tblPrEx>
          <w:tblCellMar>
            <w:top w:w="0" w:type="dxa"/>
            <w:left w:w="108" w:type="dxa"/>
            <w:bottom w:w="0" w:type="dxa"/>
            <w:right w:w="108" w:type="dxa"/>
          </w:tblCellMar>
        </w:tblPrEx>
        <w:trPr>
          <w:trHeight w:val="649"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649"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649"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bl>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pPr>
        <w:jc w:val="center"/>
        <w:outlineLvl w:val="0"/>
        <w:rPr>
          <w:rFonts w:ascii="方正小标宋_GBK" w:eastAsia="方正小标宋_GBK"/>
          <w:sz w:val="44"/>
        </w:rPr>
      </w:pP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spacing w:before="100" w:beforeAutospacing="1" w:after="10" w:line="360" w:lineRule="auto"/>
        <w:ind w:firstLine="560" w:firstLineChars="200"/>
        <w:outlineLvl w:val="1"/>
        <w:rPr>
          <w:rFonts w:ascii="宋体" w:hAnsi="宋体" w:eastAsia="宋体" w:cs="Times New Roman"/>
          <w:sz w:val="28"/>
        </w:rPr>
      </w:pPr>
      <w:bookmarkStart w:id="1" w:name="_Toc_2_2_0000000002"/>
      <w:r>
        <w:rPr>
          <w:rFonts w:hint="eastAsia" w:ascii="宋体" w:hAnsi="宋体" w:eastAsia="宋体" w:cs="Times New Roman"/>
          <w:sz w:val="28"/>
        </w:rPr>
        <w:t>坚持以习近平新时代中国特色社会主义思想为指导，以乡村振兴战略为统领，以深化农业供给侧结构性改革为主线，以促进农业增效、农民增收为目标，深入推进农业结构调整，大力发展现代都市型农业和特色高效农业，加快科技农业、绿色农业、品牌农业和质量农业发展步伐。粮食产能稳定在</w:t>
      </w:r>
      <w:r>
        <w:rPr>
          <w:rFonts w:ascii="宋体" w:hAnsi="宋体" w:eastAsia="宋体" w:cs="Times New Roman"/>
          <w:sz w:val="28"/>
        </w:rPr>
        <w:t>35万吨以上，蔬菜产量预计达到30万吨、肉类总产达到3.8万吨；提高乳粉用奶源基地建设水平和奶源质量；实现农作物秸秆的高效能源化利用，减少了大气污染排放，改善农村环境;农村居民人均可支配收入增幅高于城镇居民人均可支配收入增幅；推进农村生活垃圾治理、生活</w:t>
      </w:r>
      <w:r>
        <w:rPr>
          <w:rFonts w:hint="eastAsia" w:ascii="宋体" w:hAnsi="宋体" w:eastAsia="宋体" w:cs="Times New Roman"/>
          <w:sz w:val="28"/>
        </w:rPr>
        <w:t>污水治理、厕所改造、村容村貌提升四项重点任务，全面完成农村人居环境整治三年计划任务。</w:t>
      </w:r>
    </w:p>
    <w:p>
      <w:pPr>
        <w:spacing w:before="10" w:after="10"/>
        <w:ind w:firstLine="560"/>
        <w:jc w:val="left"/>
        <w:outlineLvl w:val="1"/>
        <w:rPr>
          <w:rFonts w:ascii="方正黑体_GBK" w:hAnsi="方正黑体_GBK" w:eastAsia="方正黑体_GBK" w:cs="方正黑体_GBK"/>
          <w:color w:val="000000"/>
          <w:sz w:val="28"/>
        </w:rPr>
      </w:pPr>
      <w:r>
        <w:rPr>
          <w:rFonts w:ascii="方正黑体_GBK" w:hAnsi="方正黑体_GBK" w:eastAsia="方正黑体_GBK" w:cs="方正黑体_GBK"/>
          <w:color w:val="000000"/>
          <w:sz w:val="28"/>
        </w:rPr>
        <w:t>二、分项绩效目标</w:t>
      </w:r>
      <w:bookmarkEnd w:id="1"/>
    </w:p>
    <w:p>
      <w:pPr>
        <w:spacing w:before="10" w:after="10"/>
        <w:ind w:firstLine="560"/>
        <w:jc w:val="left"/>
        <w:outlineLvl w:val="1"/>
      </w:pPr>
    </w:p>
    <w:p>
      <w:pPr>
        <w:spacing w:line="360" w:lineRule="auto"/>
        <w:ind w:firstLine="560" w:firstLineChars="200"/>
        <w:outlineLvl w:val="1"/>
        <w:rPr>
          <w:rFonts w:ascii="宋体" w:hAnsi="宋体" w:eastAsia="宋体" w:cs="Times New Roman"/>
          <w:sz w:val="28"/>
        </w:rPr>
      </w:pPr>
      <w:bookmarkStart w:id="2" w:name="_Toc_2_2_0000000003"/>
      <w:r>
        <w:rPr>
          <w:rFonts w:hint="eastAsia" w:ascii="宋体" w:hAnsi="宋体" w:eastAsia="宋体" w:cs="Times New Roman"/>
          <w:sz w:val="28"/>
        </w:rPr>
        <w:t>（一）农业资源保护和生态建设</w:t>
      </w:r>
    </w:p>
    <w:p>
      <w:pPr>
        <w:spacing w:line="360" w:lineRule="auto"/>
        <w:ind w:firstLine="560" w:firstLineChars="200"/>
        <w:outlineLvl w:val="1"/>
        <w:rPr>
          <w:rFonts w:ascii="宋体" w:hAnsi="宋体" w:eastAsia="宋体" w:cs="Times New Roman"/>
          <w:sz w:val="28"/>
        </w:rPr>
      </w:pPr>
      <w:r>
        <w:rPr>
          <w:rFonts w:hint="eastAsia" w:ascii="宋体" w:hAnsi="宋体" w:eastAsia="宋体" w:cs="Times New Roman"/>
          <w:sz w:val="28"/>
        </w:rPr>
        <w:t>农业污染治理：开展耕地质量保护监测与提升保护工作，根据监测结果编制农产品产地安全情况分析报告，开展农产品产地重金属污染修复示范。安全利用类耕地继续保持安全利用，全面提升区域土壤环境安全水平。喷叶面阻控剂</w:t>
      </w:r>
      <w:r>
        <w:rPr>
          <w:rFonts w:ascii="宋体" w:hAnsi="宋体" w:eastAsia="宋体" w:cs="Times New Roman"/>
          <w:sz w:val="28"/>
        </w:rPr>
        <w:t>382.6亩，安全利用类耕地安全利用率达到100%。</w:t>
      </w:r>
    </w:p>
    <w:p>
      <w:pPr>
        <w:spacing w:line="360" w:lineRule="auto"/>
        <w:ind w:firstLine="560" w:firstLineChars="200"/>
        <w:outlineLvl w:val="1"/>
        <w:rPr>
          <w:rFonts w:ascii="宋体" w:hAnsi="宋体" w:eastAsia="宋体" w:cs="Times New Roman"/>
          <w:sz w:val="28"/>
        </w:rPr>
      </w:pPr>
      <w:r>
        <w:rPr>
          <w:rFonts w:hint="eastAsia" w:ascii="宋体" w:hAnsi="宋体" w:eastAsia="宋体" w:cs="Times New Roman"/>
          <w:sz w:val="28"/>
        </w:rPr>
        <w:t>（二）农业科技支撑和公共服务</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1、农作物全程机械化及农机作业补贴：开展农作物全程机械化及农机作业补贴工作。计划在我区开展农机购置补贴项目、农机深松项目。优化我区农机装备结构、提升农机化作业能力和水平，推进农业发展方式转变；提高我区农作物机械化水平，达到90%以上。</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2、农作物种子鉴定与推广：开展农作物种子、饲料鉴定与执法工作。我局承担农药、种子、化肥、饲料、兽药、兽医等法律法规贯彻落实及监督管理工作，确保农畜产品质量安全。有利于提高养殖、兽医、兽药从业者的食品安全意识，并改善执法手段，提高办案质量。滥用抗生素、违法添加违法行为明显下降。</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3、动植物疫病防控：落实动植物防疫检疫政策，建立完善动植物防疫和检疫体系。组织开展动植物的防疫检疫工作，发布疫情并组织扑灭。建立完善动物防疫和检疫体系。组织开展动物的春、秋、冬三季防疫工作，发布疫情并组织扑灭；养殖环节病死猪无害化处理项目的实施。应免动物疫病强制免疫率达到95%。有效减少动物疫情危害,促进农业健康发展。</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4、农产品质量安全监管：开展农产品质量安全监管工作。提高农产品质量安全水平，确保人民群众消费安全，对调运出省和屠宰环节的动物进行“瘦肉精”抽检，确保重大农产品质量安全事件发生率为0%，及时掌握全市畜农产品及投入品质量安全总体状况，保障农产品质量安全</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5、农业信息服务：加强农产品质量安全体系建设,提高监管能力,确保农产品质量安全。组织开展农业统计，监测分析农业和农村经济运行，发布农业和农村经济信息，建设农业信息管理体系，指导农业信息服务。农产品抽检及农产品投入率达到100%，重大农产品安全事件发生率为0%。</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6、农业技术推广与研究：开展农业新技术推广、示范，提高农业技术水平。支持农业生产补贴，按规定发放补贴资金。已补助人数占应补助人群比例达到100%。基层农技推广人员知识得到提升。大力培育高素质农民和新型农业经营主体，发展适度规模经营，健全农业生产社会化服务体系，扶持带动小农户发展，直线产业价值联动，加快农业转型升级。</w:t>
      </w:r>
    </w:p>
    <w:p>
      <w:pPr>
        <w:spacing w:line="360" w:lineRule="auto"/>
        <w:ind w:firstLine="560" w:firstLineChars="200"/>
        <w:outlineLvl w:val="1"/>
        <w:rPr>
          <w:rFonts w:ascii="宋体" w:hAnsi="宋体" w:eastAsia="宋体" w:cs="Times New Roman"/>
          <w:sz w:val="28"/>
        </w:rPr>
      </w:pPr>
      <w:r>
        <w:rPr>
          <w:rFonts w:hint="eastAsia" w:ascii="宋体" w:hAnsi="宋体" w:eastAsia="宋体" w:cs="Times New Roman"/>
          <w:sz w:val="28"/>
        </w:rPr>
        <w:t>（三）农业政务管理</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1、2022年产业扶贫项目。确保贫困群众稳定收入来源,防止脱贫后返贫。资产股权年收益率达到8%；产业扶贫项目全覆盖；及时发放资产收益和到户补贴资金；资产收益入股资金达到1243万元；种、养殖到户补贴资金达到15.5万元；单季作物补贴不超5000元，养殖补贴不超3000元。增加建档立卡脱贫人口收入，资产股权年收益74.58万元，到户补贴发放15.5万元。建档立卡脱贫户数达到1000户,脱贫人口数达到2066人。</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2、综合事务管理工作，加强机关事务性管理，开展机关自身能力建设。我单位聘请1名保洁人员、4名保安人员，维修办公楼，种子公司人员经费、</w:t>
      </w:r>
      <w:bookmarkStart w:id="4" w:name="_GoBack"/>
      <w:bookmarkEnd w:id="4"/>
      <w:r>
        <w:rPr>
          <w:rFonts w:ascii="宋体" w:hAnsi="宋体" w:eastAsia="宋体" w:cs="Times New Roman"/>
          <w:sz w:val="28"/>
        </w:rPr>
        <w:t>公用经费，高效保障机关日常运转。妥善解决原乡镇(公社)农机员、农技员、基层兽医老有所养问题，促进全区社会稳定。</w:t>
      </w:r>
    </w:p>
    <w:p>
      <w:pPr>
        <w:spacing w:line="360" w:lineRule="auto"/>
        <w:ind w:firstLine="560" w:firstLineChars="200"/>
        <w:outlineLvl w:val="1"/>
        <w:rPr>
          <w:rFonts w:ascii="宋体" w:hAnsi="宋体" w:eastAsia="宋体" w:cs="Times New Roman"/>
          <w:sz w:val="28"/>
        </w:rPr>
      </w:pPr>
      <w:r>
        <w:rPr>
          <w:rFonts w:hint="eastAsia" w:ascii="宋体" w:hAnsi="宋体" w:eastAsia="宋体" w:cs="Times New Roman"/>
          <w:sz w:val="28"/>
        </w:rPr>
        <w:t>（四）农田建设和综合开发管理</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1、确保我区粮食产量稳定生长，保证我区农田工程设施的正常使用。机井维修数量达到10眼以上，农田水利设施维修质量良好，有效改善农田水利生态环境。</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2、有效改善农业生产条件、粮食综合生产能力提高。按时完成年度所有建设内容；通过灌溉排水与节水措施，解决浇水过程中水肥渗透严重，脚底时间长，费工时、费水电、成本高、水资源利用低的问题；通过田间道路建设，解决农忙时农业生产和农副产品运输不便问题；通过正式有机肥，降低化肥使用，提高作物产量、质量。</w:t>
      </w:r>
    </w:p>
    <w:p>
      <w:pPr>
        <w:spacing w:line="360" w:lineRule="auto"/>
        <w:ind w:firstLine="560" w:firstLineChars="200"/>
        <w:outlineLvl w:val="1"/>
        <w:rPr>
          <w:rFonts w:ascii="宋体" w:hAnsi="宋体" w:eastAsia="宋体" w:cs="Times New Roman"/>
          <w:sz w:val="28"/>
        </w:rPr>
      </w:pPr>
      <w:r>
        <w:rPr>
          <w:rFonts w:hint="eastAsia" w:ascii="宋体" w:hAnsi="宋体" w:eastAsia="宋体" w:cs="Times New Roman"/>
          <w:sz w:val="28"/>
        </w:rPr>
        <w:t>（五）健全农村宅基地管理制度和闲置宅基地利用</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1、健全农村宅基地制度。</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2、闲置住宅基地盘活利用，摸清全区14个乡镇宅基地现状，规模、布局、权属、利用状况等信息率达95%以上。</w:t>
      </w:r>
    </w:p>
    <w:p>
      <w:pPr>
        <w:spacing w:line="360" w:lineRule="auto"/>
        <w:ind w:firstLine="560" w:firstLineChars="200"/>
        <w:outlineLvl w:val="1"/>
        <w:rPr>
          <w:rFonts w:ascii="宋体" w:hAnsi="宋体" w:eastAsia="宋体" w:cs="Times New Roman"/>
          <w:sz w:val="28"/>
        </w:rPr>
      </w:pPr>
      <w:r>
        <w:rPr>
          <w:rFonts w:hint="eastAsia" w:ascii="宋体" w:hAnsi="宋体" w:eastAsia="宋体" w:cs="Times New Roman"/>
          <w:sz w:val="28"/>
        </w:rPr>
        <w:t>（六）建设生态宜居美丽乡村</w:t>
      </w:r>
    </w:p>
    <w:p>
      <w:pPr>
        <w:spacing w:line="360" w:lineRule="auto"/>
        <w:ind w:firstLine="560" w:firstLineChars="200"/>
        <w:outlineLvl w:val="1"/>
        <w:rPr>
          <w:rFonts w:ascii="宋体" w:hAnsi="宋体" w:eastAsia="宋体" w:cs="Times New Roman"/>
          <w:sz w:val="28"/>
        </w:rPr>
      </w:pPr>
      <w:r>
        <w:rPr>
          <w:rFonts w:ascii="宋体" w:hAnsi="宋体" w:eastAsia="宋体" w:cs="Times New Roman"/>
          <w:sz w:val="28"/>
        </w:rPr>
        <w:t>1、全面建成小康社会相适应的农村垃圾污水、卫生厕所、村容村貌治理体系，村庄环境干净整洁有序，人居环境明显得到改观。平原地区及城市近郊区等实现生活垃圾处置体系全覆盖；山区、丘陵区有一定基础和条件的农村，力争实现90%左右的村庄生活垃圾得到治理；深度贫困地区农村，实现人居环境干净整洁的基本要求，村庄生活垃圾得到全面清理，生活污水乱排乱放得到有效管控。村容村貌治理等方面，平原地区、城市近郊区等村庄绿化率达到30%以上，村内道路全部硬化，村容村貌显著提升，长效管护机制有效运行，打造人居环境整治升级版，率先建成一批美</w:t>
      </w:r>
      <w:r>
        <w:rPr>
          <w:rFonts w:hint="eastAsia" w:ascii="宋体" w:hAnsi="宋体" w:eastAsia="宋体" w:cs="Times New Roman"/>
          <w:sz w:val="28"/>
        </w:rPr>
        <w:t>丽宜居村庄；山区、丘陵区有一定基础和条件的农村，村庄绿化覆盖率达到</w:t>
      </w:r>
      <w:r>
        <w:rPr>
          <w:rFonts w:ascii="宋体" w:hAnsi="宋体" w:eastAsia="宋体" w:cs="Times New Roman"/>
          <w:sz w:val="28"/>
        </w:rPr>
        <w:t>35%以上，村容村貌明显改观。</w:t>
      </w:r>
    </w:p>
    <w:p>
      <w:pPr>
        <w:spacing w:line="360" w:lineRule="auto"/>
        <w:ind w:firstLine="560" w:firstLineChars="200"/>
        <w:outlineLvl w:val="1"/>
        <w:rPr>
          <w:rFonts w:ascii="宋体" w:hAnsi="宋体" w:eastAsia="宋体"/>
        </w:rPr>
      </w:pPr>
      <w:r>
        <w:rPr>
          <w:rFonts w:ascii="宋体" w:hAnsi="宋体" w:eastAsia="宋体" w:cs="方正黑体_GBK"/>
          <w:color w:val="000000"/>
          <w:sz w:val="28"/>
        </w:rPr>
        <w:t>三、工作保障措施</w:t>
      </w:r>
      <w:bookmarkEnd w:id="2"/>
    </w:p>
    <w:p>
      <w:pPr>
        <w:spacing w:line="360" w:lineRule="auto"/>
        <w:ind w:firstLine="560" w:firstLineChars="200"/>
        <w:rPr>
          <w:rFonts w:ascii="宋体" w:hAnsi="宋体" w:eastAsia="宋体" w:cs="Times New Roman"/>
          <w:sz w:val="28"/>
        </w:rPr>
      </w:pPr>
      <w:r>
        <w:rPr>
          <w:rFonts w:hint="eastAsia" w:ascii="宋体" w:hAnsi="宋体" w:eastAsia="宋体" w:cs="Times New Roman"/>
          <w:sz w:val="28"/>
        </w:rPr>
        <w:t>（一）</w:t>
      </w:r>
      <w:r>
        <w:rPr>
          <w:rFonts w:ascii="宋体" w:hAnsi="宋体" w:eastAsia="宋体" w:cs="Times New Roman"/>
          <w:sz w:val="28"/>
        </w:rPr>
        <w:t>完善财务制度建设。为切实发挥资金效益，坚持制度先行、规范管理，及时修订完善项目资金管理制度。出台《农业投资项目监督管理办法》，进一步优化农业项目和资金监管流程，明晰项目申报、审批、实施监管、竣工验收等各环节省市县管理职责，规范管理行为，堵塞管理漏洞，防范化解风险隐患。</w:t>
      </w:r>
    </w:p>
    <w:p>
      <w:pPr>
        <w:spacing w:line="360" w:lineRule="auto"/>
        <w:ind w:firstLine="560" w:firstLineChars="200"/>
        <w:rPr>
          <w:rFonts w:ascii="宋体" w:hAnsi="宋体" w:eastAsia="宋体" w:cs="Times New Roman"/>
          <w:sz w:val="28"/>
        </w:rPr>
      </w:pPr>
      <w:r>
        <w:rPr>
          <w:rFonts w:hint="eastAsia" w:ascii="宋体" w:hAnsi="宋体" w:eastAsia="宋体" w:cs="Times New Roman"/>
          <w:sz w:val="28"/>
        </w:rPr>
        <w:t>（二）</w:t>
      </w:r>
      <w:r>
        <w:rPr>
          <w:rFonts w:ascii="宋体" w:hAnsi="宋体" w:eastAsia="宋体" w:cs="Times New Roman"/>
          <w:sz w:val="28"/>
        </w:rPr>
        <w:t>切实加强项目管理。充分发挥农业农村系统内部审计、项目主管单位和社会中介组织的力量，全面参与专项资金事前、事中和事后全过程的监管。在监督的范围和内容上，把专项资金的执行、拨付、管理作为监督的重点。在项目资金分配上，引入竞争答辩的遴选机制，实行公开竞争答辩，按照择优录取原则，最终确定项目实施单位。在监督环节上，实行关口前移，从事后监督管理转向事前审核，事中监督和事后检查稽核相结合的监督制度上来，形成多环节全过程的监督管理格局，尽量早发现问题，早解决问题，避免和减少损失，提高专项资金使用效益。</w:t>
      </w:r>
    </w:p>
    <w:p>
      <w:pPr>
        <w:spacing w:line="360" w:lineRule="auto"/>
        <w:ind w:firstLine="560" w:firstLineChars="200"/>
        <w:rPr>
          <w:rFonts w:ascii="宋体" w:hAnsi="宋体" w:eastAsia="宋体" w:cs="Times New Roman"/>
          <w:sz w:val="28"/>
        </w:rPr>
      </w:pPr>
      <w:r>
        <w:rPr>
          <w:rFonts w:hint="eastAsia" w:ascii="宋体" w:hAnsi="宋体" w:eastAsia="宋体" w:cs="Times New Roman"/>
          <w:sz w:val="28"/>
        </w:rPr>
        <w:t>（三）</w:t>
      </w:r>
      <w:r>
        <w:rPr>
          <w:rFonts w:ascii="宋体" w:hAnsi="宋体" w:eastAsia="宋体" w:cs="Times New Roman"/>
          <w:sz w:val="28"/>
        </w:rPr>
        <w:t>加强绩效运行监控。多措并举，齐抓共管，加大涉农资金的监管力度。一是创新完善农业项目监管体制机制，建立资金分配、规划执行、监督评价三权分置，项目决策“三上三下”、闭环式“分权制衡”监管体系，确保项目决策科学、执行有力、考核严格、防范风险。二是开发建设“纵向管到底，横向全覆盖，运行能分析，即时能监控”的农业项目信息化监管平台，将全部农业项目无论大小，其申报审批、实施调度、报账支出全部通过平台在网上进行，信息化管理，省市县三级信息共享，实现对全省农业项目全过程实时动态监管。三是切实加强预算绩效管理，依据国家和</w:t>
      </w:r>
      <w:r>
        <w:rPr>
          <w:rFonts w:hint="eastAsia" w:ascii="宋体" w:hAnsi="宋体" w:eastAsia="宋体" w:cs="Times New Roman"/>
          <w:sz w:val="28"/>
        </w:rPr>
        <w:t>省有关政策规定，印发《单位预算目标绩效评价管理办法》，对纳入单位预算管理的财政项目年度完成情况及资金产出和结果的经济性、效率性和效益性进行评价，保证项目执行有结果，资金使用有效益，同时，根据项目评价结果应用于当年的预算动态调整和第二年度的预算编制，形成滚动闭环预算管理。</w:t>
      </w:r>
    </w:p>
    <w:p>
      <w:pPr>
        <w:spacing w:line="360" w:lineRule="auto"/>
        <w:ind w:firstLine="560" w:firstLineChars="200"/>
        <w:rPr>
          <w:rFonts w:ascii="宋体" w:hAnsi="宋体" w:eastAsia="宋体" w:cs="Times New Roman"/>
          <w:sz w:val="28"/>
        </w:rPr>
      </w:pPr>
      <w:r>
        <w:rPr>
          <w:rFonts w:hint="eastAsia" w:ascii="宋体" w:hAnsi="宋体" w:eastAsia="宋体" w:cs="Times New Roman"/>
          <w:sz w:val="28"/>
        </w:rPr>
        <w:t>（四）</w:t>
      </w:r>
      <w:r>
        <w:rPr>
          <w:rFonts w:ascii="宋体" w:hAnsi="宋体" w:eastAsia="宋体" w:cs="Times New Roman"/>
          <w:sz w:val="28"/>
        </w:rPr>
        <w:t>加强宣传培训调研等。一是加强培训，组织开展全区农业系统财务人员会计培训，提高农业系统职工业务水平；二是加强调研，研究提出优化财政资金配置、提高资金使用效益的意见建议；三是加大宣传力度，强化预算绩效管理意识，促进预算绩效管理水平进一步提升。</w:t>
      </w:r>
    </w:p>
    <w:p>
      <w:pPr>
        <w:spacing w:line="360" w:lineRule="auto"/>
        <w:ind w:firstLine="560" w:firstLineChars="200"/>
        <w:rPr>
          <w:rFonts w:ascii="宋体" w:hAnsi="宋体" w:eastAsia="宋体" w:cs="Times New Roman"/>
          <w:sz w:val="28"/>
        </w:rPr>
      </w:pPr>
    </w:p>
    <w:p>
      <w:pPr>
        <w:spacing w:line="360" w:lineRule="auto"/>
        <w:ind w:firstLine="560" w:firstLineChars="200"/>
        <w:rPr>
          <w:rFonts w:ascii="宋体" w:hAnsi="宋体" w:eastAsia="宋体" w:cs="Times New Roman"/>
          <w:sz w:val="28"/>
        </w:rPr>
      </w:pPr>
    </w:p>
    <w:p>
      <w:pPr>
        <w:spacing w:line="360" w:lineRule="auto"/>
        <w:ind w:firstLine="560" w:firstLineChars="200"/>
        <w:rPr>
          <w:rFonts w:ascii="宋体" w:hAnsi="宋体" w:eastAsia="宋体" w:cs="Times New Roman"/>
          <w:sz w:val="28"/>
        </w:rPr>
      </w:pPr>
    </w:p>
    <w:p>
      <w:pPr>
        <w:spacing w:line="360" w:lineRule="auto"/>
        <w:ind w:firstLine="560" w:firstLineChars="200"/>
        <w:rPr>
          <w:rFonts w:ascii="宋体" w:hAnsi="宋体" w:eastAsia="宋体" w:cs="Times New Roman"/>
          <w:sz w:val="28"/>
        </w:rPr>
      </w:pPr>
    </w:p>
    <w:p>
      <w:pPr>
        <w:spacing w:line="360" w:lineRule="auto"/>
        <w:ind w:firstLine="560" w:firstLineChars="200"/>
        <w:rPr>
          <w:rFonts w:ascii="宋体" w:hAnsi="宋体" w:eastAsia="宋体" w:cs="Times New Roman"/>
          <w:sz w:val="28"/>
        </w:rPr>
      </w:pPr>
    </w:p>
    <w:p>
      <w:pPr>
        <w:spacing w:line="360" w:lineRule="auto"/>
        <w:ind w:firstLine="560" w:firstLineChars="200"/>
        <w:rPr>
          <w:rFonts w:ascii="宋体" w:hAnsi="宋体" w:eastAsia="宋体" w:cs="Times New Roman"/>
          <w:sz w:val="28"/>
        </w:rPr>
      </w:pPr>
    </w:p>
    <w:p>
      <w:pPr>
        <w:spacing w:line="360" w:lineRule="auto"/>
        <w:ind w:firstLine="560" w:firstLineChars="200"/>
        <w:rPr>
          <w:rFonts w:ascii="宋体" w:hAnsi="宋体" w:eastAsia="宋体" w:cs="Times New Roman"/>
          <w:sz w:val="28"/>
        </w:rPr>
      </w:pPr>
    </w:p>
    <w:p>
      <w:pPr>
        <w:spacing w:line="360" w:lineRule="auto"/>
        <w:ind w:firstLine="560" w:firstLineChars="200"/>
        <w:rPr>
          <w:rFonts w:ascii="宋体" w:hAnsi="宋体" w:eastAsia="宋体" w:cs="Times New Roman"/>
          <w:sz w:val="28"/>
        </w:rPr>
      </w:pPr>
    </w:p>
    <w:p>
      <w:pPr>
        <w:sectPr>
          <w:pgSz w:w="11900" w:h="16840"/>
          <w:pgMar w:top="1984" w:right="1304" w:bottom="1134" w:left="1304" w:header="720" w:footer="720" w:gutter="0"/>
          <w:cols w:space="720" w:num="1"/>
        </w:sect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jc w:val="center"/>
        <w:outlineLvl w:val="0"/>
        <w:rPr>
          <w:rFonts w:ascii="方正小标宋_GBK" w:eastAsia="方正小标宋_GBK"/>
          <w:sz w:val="44"/>
        </w:rPr>
      </w:pPr>
    </w:p>
    <w:p>
      <w:pPr>
        <w:jc w:val="center"/>
        <w:outlineLvl w:val="1"/>
      </w:pPr>
      <w:bookmarkStart w:id="3" w:name="_Toc_2_2_0000000007"/>
      <w:r>
        <w:rPr>
          <w:rFonts w:ascii="方正小标宋_GBK" w:hAnsi="方正小标宋_GBK" w:eastAsia="方正小标宋_GBK" w:cs="方正小标宋_GBK"/>
          <w:color w:val="000000"/>
          <w:sz w:val="32"/>
        </w:rPr>
        <w:t>单位政府采购预算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21"/>
            </w:pPr>
            <w:r>
              <w:t>326保定市徐水区农业农村局</w:t>
            </w:r>
          </w:p>
        </w:tc>
        <w:tc>
          <w:tcPr>
            <w:tcW w:w="8674" w:type="dxa"/>
            <w:gridSpan w:val="9"/>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0" w:type="dxa"/>
            <w:gridSpan w:val="8"/>
            <w:vAlign w:val="center"/>
          </w:tcPr>
          <w:p>
            <w:pPr>
              <w:pStyle w:val="16"/>
            </w:pPr>
            <w:r>
              <w:t>政府采购金额（当年单位预算安排资金）</w:t>
            </w:r>
          </w:p>
        </w:tc>
        <w:tc>
          <w:tcPr>
            <w:tcW w:w="964" w:type="dxa"/>
            <w:vMerge w:val="restart"/>
            <w:vAlign w:val="center"/>
          </w:tcPr>
          <w:p>
            <w:pPr>
              <w:pStyle w:val="1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22"/>
            </w:pPr>
            <w:r>
              <w:t>合  计</w:t>
            </w:r>
          </w:p>
        </w:tc>
        <w:tc>
          <w:tcPr>
            <w:tcW w:w="964" w:type="dxa"/>
            <w:vAlign w:val="center"/>
          </w:tcPr>
          <w:p>
            <w:pPr>
              <w:pStyle w:val="23"/>
            </w:pPr>
          </w:p>
        </w:tc>
        <w:tc>
          <w:tcPr>
            <w:tcW w:w="1134" w:type="dxa"/>
            <w:vAlign w:val="center"/>
          </w:tcPr>
          <w:p>
            <w:pPr>
              <w:pStyle w:val="14"/>
            </w:pPr>
          </w:p>
        </w:tc>
        <w:tc>
          <w:tcPr>
            <w:tcW w:w="1134" w:type="dxa"/>
            <w:vAlign w:val="center"/>
          </w:tcPr>
          <w:p>
            <w:pPr>
              <w:pStyle w:val="14"/>
            </w:pPr>
          </w:p>
        </w:tc>
        <w:tc>
          <w:tcPr>
            <w:tcW w:w="709" w:type="dxa"/>
            <w:vAlign w:val="center"/>
          </w:tcPr>
          <w:p>
            <w:pPr>
              <w:pStyle w:val="22"/>
            </w:pPr>
          </w:p>
        </w:tc>
        <w:tc>
          <w:tcPr>
            <w:tcW w:w="850" w:type="dxa"/>
            <w:vAlign w:val="center"/>
          </w:tcPr>
          <w:p>
            <w:pPr>
              <w:pStyle w:val="23"/>
            </w:pPr>
          </w:p>
        </w:tc>
        <w:tc>
          <w:tcPr>
            <w:tcW w:w="850" w:type="dxa"/>
            <w:vAlign w:val="center"/>
          </w:tcPr>
          <w:p>
            <w:pPr>
              <w:pStyle w:val="23"/>
            </w:pPr>
          </w:p>
        </w:tc>
        <w:tc>
          <w:tcPr>
            <w:tcW w:w="964" w:type="dxa"/>
            <w:vAlign w:val="center"/>
          </w:tcPr>
          <w:p>
            <w:pPr>
              <w:pStyle w:val="23"/>
            </w:pPr>
            <w:r>
              <w:t>112.40</w:t>
            </w:r>
          </w:p>
        </w:tc>
        <w:tc>
          <w:tcPr>
            <w:tcW w:w="964" w:type="dxa"/>
            <w:vAlign w:val="center"/>
          </w:tcPr>
          <w:p>
            <w:pPr>
              <w:pStyle w:val="23"/>
            </w:pPr>
            <w:r>
              <w:t>50.00</w:t>
            </w:r>
          </w:p>
        </w:tc>
        <w:tc>
          <w:tcPr>
            <w:tcW w:w="964" w:type="dxa"/>
            <w:vAlign w:val="center"/>
          </w:tcPr>
          <w:p>
            <w:pPr>
              <w:pStyle w:val="23"/>
            </w:pPr>
            <w:r>
              <w:t>62.40</w:t>
            </w: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r>
              <w:t>112.40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22"/>
            </w:pPr>
            <w:r>
              <w:t>保定市徐水区农业农村局本级小计</w:t>
            </w:r>
          </w:p>
        </w:tc>
        <w:tc>
          <w:tcPr>
            <w:tcW w:w="964" w:type="dxa"/>
            <w:vAlign w:val="center"/>
          </w:tcPr>
          <w:p>
            <w:pPr>
              <w:pStyle w:val="23"/>
            </w:pPr>
          </w:p>
        </w:tc>
        <w:tc>
          <w:tcPr>
            <w:tcW w:w="1134" w:type="dxa"/>
            <w:vAlign w:val="center"/>
          </w:tcPr>
          <w:p>
            <w:pPr>
              <w:pStyle w:val="14"/>
            </w:pPr>
          </w:p>
        </w:tc>
        <w:tc>
          <w:tcPr>
            <w:tcW w:w="1134" w:type="dxa"/>
            <w:vAlign w:val="center"/>
          </w:tcPr>
          <w:p>
            <w:pPr>
              <w:pStyle w:val="14"/>
            </w:pPr>
          </w:p>
        </w:tc>
        <w:tc>
          <w:tcPr>
            <w:tcW w:w="709" w:type="dxa"/>
            <w:vAlign w:val="center"/>
          </w:tcPr>
          <w:p>
            <w:pPr>
              <w:pStyle w:val="22"/>
            </w:pPr>
          </w:p>
        </w:tc>
        <w:tc>
          <w:tcPr>
            <w:tcW w:w="850" w:type="dxa"/>
            <w:vAlign w:val="center"/>
          </w:tcPr>
          <w:p>
            <w:pPr>
              <w:pStyle w:val="23"/>
            </w:pPr>
          </w:p>
        </w:tc>
        <w:tc>
          <w:tcPr>
            <w:tcW w:w="850" w:type="dxa"/>
            <w:vAlign w:val="center"/>
          </w:tcPr>
          <w:p>
            <w:pPr>
              <w:pStyle w:val="23"/>
            </w:pPr>
          </w:p>
        </w:tc>
        <w:tc>
          <w:tcPr>
            <w:tcW w:w="964" w:type="dxa"/>
            <w:vAlign w:val="center"/>
          </w:tcPr>
          <w:p>
            <w:pPr>
              <w:pStyle w:val="23"/>
            </w:pPr>
            <w:r>
              <w:t>112.40</w:t>
            </w:r>
          </w:p>
        </w:tc>
        <w:tc>
          <w:tcPr>
            <w:tcW w:w="964" w:type="dxa"/>
            <w:vAlign w:val="center"/>
          </w:tcPr>
          <w:p>
            <w:pPr>
              <w:pStyle w:val="23"/>
            </w:pPr>
            <w:r>
              <w:t>50.00</w:t>
            </w:r>
          </w:p>
        </w:tc>
        <w:tc>
          <w:tcPr>
            <w:tcW w:w="964" w:type="dxa"/>
            <w:vAlign w:val="center"/>
          </w:tcPr>
          <w:p>
            <w:pPr>
              <w:pStyle w:val="23"/>
            </w:pPr>
            <w:r>
              <w:t>62.40</w:t>
            </w: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r>
              <w:t>112.40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动物养殖医疗废弃物收集处理经费</w:t>
            </w:r>
          </w:p>
        </w:tc>
        <w:tc>
          <w:tcPr>
            <w:tcW w:w="964" w:type="dxa"/>
            <w:vAlign w:val="center"/>
          </w:tcPr>
          <w:p>
            <w:pPr>
              <w:pStyle w:val="15"/>
            </w:pPr>
            <w:r>
              <w:t>62.40</w:t>
            </w:r>
          </w:p>
        </w:tc>
        <w:tc>
          <w:tcPr>
            <w:tcW w:w="1134" w:type="dxa"/>
            <w:vAlign w:val="center"/>
          </w:tcPr>
          <w:p>
            <w:pPr>
              <w:pStyle w:val="17"/>
            </w:pPr>
            <w:r>
              <w:t>医疗和药物废弃物治理服务</w:t>
            </w:r>
          </w:p>
        </w:tc>
        <w:tc>
          <w:tcPr>
            <w:tcW w:w="1134" w:type="dxa"/>
            <w:vAlign w:val="center"/>
          </w:tcPr>
          <w:p>
            <w:pPr>
              <w:pStyle w:val="17"/>
            </w:pPr>
            <w:r>
              <w:t>C160501</w:t>
            </w:r>
          </w:p>
        </w:tc>
        <w:tc>
          <w:tcPr>
            <w:tcW w:w="709" w:type="dxa"/>
            <w:vAlign w:val="center"/>
          </w:tcPr>
          <w:p>
            <w:pPr>
              <w:pStyle w:val="18"/>
            </w:pPr>
            <w:r>
              <w:t>年</w:t>
            </w:r>
          </w:p>
        </w:tc>
        <w:tc>
          <w:tcPr>
            <w:tcW w:w="850" w:type="dxa"/>
            <w:vAlign w:val="center"/>
          </w:tcPr>
          <w:p>
            <w:pPr>
              <w:pStyle w:val="15"/>
            </w:pPr>
            <w:r>
              <w:t>1</w:t>
            </w:r>
          </w:p>
        </w:tc>
        <w:tc>
          <w:tcPr>
            <w:tcW w:w="850" w:type="dxa"/>
            <w:vAlign w:val="center"/>
          </w:tcPr>
          <w:p>
            <w:pPr>
              <w:pStyle w:val="15"/>
            </w:pPr>
            <w:r>
              <w:t>62.40</w:t>
            </w:r>
          </w:p>
        </w:tc>
        <w:tc>
          <w:tcPr>
            <w:tcW w:w="964" w:type="dxa"/>
            <w:vAlign w:val="center"/>
          </w:tcPr>
          <w:p>
            <w:pPr>
              <w:pStyle w:val="15"/>
            </w:pPr>
            <w:r>
              <w:t>62.40</w:t>
            </w:r>
          </w:p>
        </w:tc>
        <w:tc>
          <w:tcPr>
            <w:tcW w:w="964" w:type="dxa"/>
            <w:vAlign w:val="center"/>
          </w:tcPr>
          <w:p>
            <w:pPr>
              <w:pStyle w:val="15"/>
            </w:pPr>
          </w:p>
        </w:tc>
        <w:tc>
          <w:tcPr>
            <w:tcW w:w="964" w:type="dxa"/>
            <w:vAlign w:val="center"/>
          </w:tcPr>
          <w:p>
            <w:pPr>
              <w:pStyle w:val="15"/>
            </w:pPr>
            <w:r>
              <w:t>62.40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2022年精准防贫保险项目</w:t>
            </w:r>
          </w:p>
        </w:tc>
        <w:tc>
          <w:tcPr>
            <w:tcW w:w="964" w:type="dxa"/>
            <w:vAlign w:val="center"/>
          </w:tcPr>
          <w:p>
            <w:pPr>
              <w:pStyle w:val="15"/>
            </w:pPr>
            <w:r>
              <w:t>50.00</w:t>
            </w:r>
          </w:p>
        </w:tc>
        <w:tc>
          <w:tcPr>
            <w:tcW w:w="1134" w:type="dxa"/>
            <w:vAlign w:val="center"/>
          </w:tcPr>
          <w:p>
            <w:pPr>
              <w:pStyle w:val="17"/>
            </w:pPr>
            <w:r>
              <w:t>其他保险服务</w:t>
            </w:r>
          </w:p>
        </w:tc>
        <w:tc>
          <w:tcPr>
            <w:tcW w:w="1134" w:type="dxa"/>
            <w:vAlign w:val="center"/>
          </w:tcPr>
          <w:p>
            <w:pPr>
              <w:pStyle w:val="17"/>
            </w:pPr>
            <w:r>
              <w:t>C150499</w:t>
            </w:r>
          </w:p>
        </w:tc>
        <w:tc>
          <w:tcPr>
            <w:tcW w:w="709" w:type="dxa"/>
            <w:vAlign w:val="center"/>
          </w:tcPr>
          <w:p>
            <w:pPr>
              <w:pStyle w:val="18"/>
            </w:pPr>
            <w:r>
              <w:t>年</w:t>
            </w:r>
          </w:p>
        </w:tc>
        <w:tc>
          <w:tcPr>
            <w:tcW w:w="850" w:type="dxa"/>
            <w:vAlign w:val="center"/>
          </w:tcPr>
          <w:p>
            <w:pPr>
              <w:pStyle w:val="15"/>
            </w:pPr>
            <w:r>
              <w:t>1</w:t>
            </w:r>
          </w:p>
        </w:tc>
        <w:tc>
          <w:tcPr>
            <w:tcW w:w="850" w:type="dxa"/>
            <w:vAlign w:val="center"/>
          </w:tcPr>
          <w:p>
            <w:pPr>
              <w:pStyle w:val="15"/>
            </w:pPr>
            <w:r>
              <w:t>50.00</w:t>
            </w:r>
          </w:p>
        </w:tc>
        <w:tc>
          <w:tcPr>
            <w:tcW w:w="964"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rPr>
        <w:t>注：同一采购目录序号的物品，其单价会因配置规格不同而变动，均符合资产配置标准。涉密采购事项按照相关规定</w:t>
      </w: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w:t>
      </w:r>
      <w:r>
        <w:rPr>
          <w:rFonts w:ascii="仿宋_GB2312" w:hAnsi="仿宋" w:eastAsia="仿宋_GB2312" w:cs="宋体"/>
          <w:kern w:val="0"/>
          <w:sz w:val="28"/>
          <w:szCs w:val="24"/>
        </w:rPr>
        <w:t>397</w:t>
      </w:r>
      <w:r>
        <w:rPr>
          <w:rFonts w:hint="eastAsia" w:ascii="仿宋_GB2312" w:hAnsi="仿宋" w:eastAsia="仿宋_GB2312" w:cs="宋体"/>
          <w:kern w:val="0"/>
          <w:sz w:val="28"/>
          <w:szCs w:val="24"/>
        </w:rPr>
        <w:t>.</w:t>
      </w:r>
      <w:r>
        <w:rPr>
          <w:rFonts w:ascii="仿宋_GB2312" w:hAnsi="仿宋" w:eastAsia="仿宋_GB2312" w:cs="宋体"/>
          <w:kern w:val="0"/>
          <w:sz w:val="28"/>
          <w:szCs w:val="24"/>
        </w:rPr>
        <w:t>93</w:t>
      </w:r>
      <w:r>
        <w:rPr>
          <w:rFonts w:hint="eastAsia" w:ascii="仿宋" w:hAnsi="仿宋" w:eastAsia="仿宋"/>
          <w:sz w:val="32"/>
          <w:szCs w:val="32"/>
        </w:rPr>
        <w:t>万元（详见下表）。</w:t>
      </w:r>
      <w:r>
        <w:rPr>
          <w:rFonts w:ascii="仿宋" w:hAnsi="仿宋" w:eastAsia="仿宋"/>
          <w:sz w:val="32"/>
          <w:szCs w:val="32"/>
        </w:rPr>
        <w:t xml:space="preserve"> </w:t>
      </w:r>
      <w:r>
        <w:rPr>
          <w:rFonts w:hint="eastAsia" w:ascii="仿宋" w:hAnsi="仿宋" w:eastAsia="仿宋"/>
          <w:sz w:val="32"/>
          <w:szCs w:val="32"/>
        </w:rPr>
        <w:t>我单位本年度无国有资产购置计划，拟购置金额为</w:t>
      </w:r>
      <w:r>
        <w:rPr>
          <w:rFonts w:ascii="仿宋" w:hAnsi="仿宋" w:eastAsia="仿宋"/>
          <w:sz w:val="32"/>
          <w:szCs w:val="32"/>
        </w:rPr>
        <w:t>0。</w:t>
      </w:r>
    </w:p>
    <w:p>
      <w:pPr>
        <w:spacing w:line="360" w:lineRule="auto"/>
        <w:ind w:firstLine="640" w:firstLineChars="200"/>
        <w:rPr>
          <w:rFonts w:ascii="仿宋" w:hAnsi="仿宋" w:eastAsia="仿宋"/>
          <w:sz w:val="32"/>
          <w:szCs w:val="32"/>
        </w:rPr>
      </w:pPr>
    </w:p>
    <w:tbl>
      <w:tblPr>
        <w:tblStyle w:val="5"/>
        <w:tblW w:w="10084" w:type="dxa"/>
        <w:jc w:val="center"/>
        <w:tblLayout w:type="autofit"/>
        <w:tblCellMar>
          <w:top w:w="0" w:type="dxa"/>
          <w:left w:w="108" w:type="dxa"/>
          <w:bottom w:w="0" w:type="dxa"/>
          <w:right w:w="108" w:type="dxa"/>
        </w:tblCellMar>
      </w:tblPr>
      <w:tblGrid>
        <w:gridCol w:w="4788"/>
        <w:gridCol w:w="1056"/>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2021</w:t>
            </w:r>
            <w:r>
              <w:rPr>
                <w:rFonts w:hint="eastAsia" w:ascii="仿宋_GB2312" w:hAnsi="仿宋" w:eastAsia="仿宋_GB2312" w:cs="宋体"/>
                <w:bCs/>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ascii="仿宋_GB2312" w:hAnsi="仿宋" w:eastAsia="仿宋_GB2312" w:cs="宋体"/>
                <w:kern w:val="0"/>
                <w:sz w:val="24"/>
                <w:szCs w:val="24"/>
              </w:rPr>
              <w:t>397</w:t>
            </w:r>
            <w:r>
              <w:rPr>
                <w:rFonts w:hint="eastAsia" w:ascii="仿宋_GB2312" w:hAnsi="仿宋" w:eastAsia="仿宋_GB2312" w:cs="宋体"/>
                <w:kern w:val="0"/>
                <w:sz w:val="24"/>
                <w:szCs w:val="24"/>
              </w:rPr>
              <w:t>.</w:t>
            </w:r>
            <w:r>
              <w:rPr>
                <w:rFonts w:ascii="仿宋_GB2312" w:hAnsi="仿宋" w:eastAsia="仿宋_GB2312" w:cs="宋体"/>
                <w:kern w:val="0"/>
                <w:sz w:val="24"/>
                <w:szCs w:val="24"/>
              </w:rPr>
              <w:t>93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9008.00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155</w:t>
            </w:r>
            <w:r>
              <w:rPr>
                <w:rFonts w:hint="eastAsia" w:ascii="仿宋_GB2312" w:hAnsi="仿宋" w:eastAsia="仿宋_GB2312" w:cs="宋体"/>
                <w:kern w:val="0"/>
                <w:sz w:val="24"/>
                <w:szCs w:val="24"/>
              </w:rPr>
              <w:t>.</w:t>
            </w:r>
            <w:r>
              <w:rPr>
                <w:rFonts w:ascii="仿宋_GB2312" w:hAnsi="仿宋" w:eastAsia="仿宋_GB2312" w:cs="宋体"/>
                <w:kern w:val="0"/>
                <w:sz w:val="24"/>
                <w:szCs w:val="24"/>
              </w:rPr>
              <w:t>27</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ascii="仿宋_GB2312" w:hAnsi="仿宋" w:eastAsia="仿宋_GB2312" w:cs="宋体"/>
                <w:kern w:val="0"/>
                <w:sz w:val="24"/>
                <w:szCs w:val="24"/>
              </w:rPr>
              <w:t>8901.00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其他用房 (平方米)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ascii="仿宋_GB2312" w:hAnsi="仿宋" w:eastAsia="仿宋_GB2312" w:cs="宋体"/>
                <w:kern w:val="0"/>
                <w:sz w:val="24"/>
                <w:szCs w:val="24"/>
              </w:rPr>
              <w:t>107.00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6</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1</w:t>
            </w:r>
            <w:r>
              <w:rPr>
                <w:rFonts w:hint="eastAsia" w:ascii="仿宋_GB2312" w:hAnsi="仿宋" w:eastAsia="仿宋_GB2312" w:cs="宋体"/>
                <w:kern w:val="0"/>
                <w:sz w:val="24"/>
                <w:szCs w:val="24"/>
              </w:rPr>
              <w:t>.</w:t>
            </w:r>
            <w:r>
              <w:rPr>
                <w:rFonts w:ascii="仿宋_GB2312" w:hAnsi="仿宋" w:eastAsia="仿宋_GB2312" w:cs="宋体"/>
                <w:kern w:val="0"/>
                <w:sz w:val="24"/>
                <w:szCs w:val="24"/>
              </w:rPr>
              <w:t>0</w:t>
            </w:r>
            <w:r>
              <w:rPr>
                <w:rFonts w:hint="eastAsia" w:ascii="仿宋_GB2312" w:hAnsi="仿宋" w:eastAsia="仿宋_GB2312" w:cs="宋体"/>
                <w:kern w:val="0"/>
                <w:sz w:val="24"/>
                <w:szCs w:val="24"/>
              </w:rPr>
              <w:t>6</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w:t>
            </w:r>
            <w:r>
              <w:rPr>
                <w:rFonts w:ascii="仿宋_GB2312" w:hAnsi="仿宋" w:eastAsia="仿宋_GB2312" w:cs="宋体"/>
                <w:kern w:val="0"/>
                <w:sz w:val="24"/>
                <w:szCs w:val="24"/>
              </w:rPr>
              <w:t>专用设备（个、台等）</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358</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120</w:t>
            </w:r>
            <w:r>
              <w:rPr>
                <w:rFonts w:hint="eastAsia" w:ascii="仿宋_GB2312" w:hAnsi="仿宋" w:eastAsia="仿宋_GB2312" w:cs="宋体"/>
                <w:kern w:val="0"/>
                <w:sz w:val="24"/>
                <w:szCs w:val="24"/>
              </w:rPr>
              <w:t>.12</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ascii="仿宋_GB2312" w:hAnsi="仿宋" w:eastAsia="仿宋_GB2312" w:cs="宋体"/>
                <w:kern w:val="0"/>
                <w:sz w:val="24"/>
                <w:szCs w:val="24"/>
              </w:rPr>
              <w:t>690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ascii="仿宋_GB2312" w:hAnsi="仿宋" w:eastAsia="仿宋_GB2312" w:cs="宋体"/>
                <w:kern w:val="0"/>
                <w:sz w:val="24"/>
                <w:szCs w:val="24"/>
              </w:rPr>
              <w:t>32</w:t>
            </w:r>
            <w:r>
              <w:rPr>
                <w:rFonts w:hint="eastAsia" w:ascii="仿宋_GB2312" w:hAnsi="仿宋" w:eastAsia="仿宋_GB2312" w:cs="宋体"/>
                <w:kern w:val="0"/>
                <w:sz w:val="24"/>
                <w:szCs w:val="24"/>
              </w:rPr>
              <w:t>.13</w:t>
            </w:r>
          </w:p>
        </w:tc>
      </w:tr>
    </w:tbl>
    <w:p>
      <w:pPr>
        <w:rPr>
          <w:rFonts w:ascii="仿宋" w:hAnsi="仿宋" w:eastAsia="仿宋"/>
          <w:sz w:val="32"/>
          <w:szCs w:val="32"/>
          <w:highlight w:val="yellow"/>
        </w:rPr>
        <w:sectPr>
          <w:footerReference r:id="rId3" w:type="default"/>
          <w:pgSz w:w="11906" w:h="16838"/>
          <w:pgMar w:top="1440" w:right="1800" w:bottom="1440" w:left="1800" w:header="851" w:footer="992" w:gutter="0"/>
          <w:cols w:space="425" w:num="1"/>
          <w:docGrid w:type="line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仿宋_GBK">
    <w:altName w:val="微软雅黑"/>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roman"/>
    <w:pitch w:val="default"/>
    <w:sig w:usb0="00000000" w:usb1="00000000" w:usb2="00000000" w:usb3="00000000" w:csb0="00000000" w:csb1="00000000"/>
  </w:font>
  <w:font w:name="方正小标宋_GBK">
    <w:altName w:val="微软雅黑"/>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黑体_GBK">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4269620"/>
    </w:sdtPr>
    <w:sdtContent>
      <w:p>
        <w:pPr>
          <w:pStyle w:val="3"/>
          <w:jc w:val="center"/>
        </w:pPr>
        <w:r>
          <w:fldChar w:fldCharType="begin"/>
        </w:r>
        <w:r>
          <w:instrText xml:space="preserve">PAGE   \* MERGEFORMAT</w:instrText>
        </w:r>
        <w:r>
          <w:fldChar w:fldCharType="separate"/>
        </w:r>
        <w:r>
          <w:rPr>
            <w:lang w:val="zh-CN"/>
          </w:rPr>
          <w:t>15</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BE665"/>
    <w:multiLevelType w:val="singleLevel"/>
    <w:tmpl w:val="5D0BE6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MzUwZTAxN2VjYTlmNDU3ODQxNmQwODI2NTUzMzkifQ=="/>
  </w:docVars>
  <w:rsids>
    <w:rsidRoot w:val="00055F1F"/>
    <w:rsid w:val="00013B8A"/>
    <w:rsid w:val="00015020"/>
    <w:rsid w:val="00044FBC"/>
    <w:rsid w:val="000550C2"/>
    <w:rsid w:val="00055F1F"/>
    <w:rsid w:val="000577EF"/>
    <w:rsid w:val="00057F18"/>
    <w:rsid w:val="0006132C"/>
    <w:rsid w:val="00097F63"/>
    <w:rsid w:val="000A445D"/>
    <w:rsid w:val="000C178B"/>
    <w:rsid w:val="00131DEC"/>
    <w:rsid w:val="00136AB3"/>
    <w:rsid w:val="001462BD"/>
    <w:rsid w:val="00152380"/>
    <w:rsid w:val="001638BE"/>
    <w:rsid w:val="00164810"/>
    <w:rsid w:val="00172C7A"/>
    <w:rsid w:val="00181777"/>
    <w:rsid w:val="001B4688"/>
    <w:rsid w:val="001B6235"/>
    <w:rsid w:val="001D7099"/>
    <w:rsid w:val="001F4875"/>
    <w:rsid w:val="002040E3"/>
    <w:rsid w:val="00212335"/>
    <w:rsid w:val="00235A14"/>
    <w:rsid w:val="002918C6"/>
    <w:rsid w:val="00291EF3"/>
    <w:rsid w:val="00296524"/>
    <w:rsid w:val="002E01F6"/>
    <w:rsid w:val="002E2DC2"/>
    <w:rsid w:val="002F0795"/>
    <w:rsid w:val="002F1ACB"/>
    <w:rsid w:val="002F530F"/>
    <w:rsid w:val="002F6D12"/>
    <w:rsid w:val="00305E97"/>
    <w:rsid w:val="00310532"/>
    <w:rsid w:val="0032782B"/>
    <w:rsid w:val="00334105"/>
    <w:rsid w:val="00336445"/>
    <w:rsid w:val="00340699"/>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2768C"/>
    <w:rsid w:val="00450FD9"/>
    <w:rsid w:val="00453CE0"/>
    <w:rsid w:val="00456972"/>
    <w:rsid w:val="00470736"/>
    <w:rsid w:val="00470BBB"/>
    <w:rsid w:val="0048611E"/>
    <w:rsid w:val="004A1E4D"/>
    <w:rsid w:val="004B5F3B"/>
    <w:rsid w:val="004B6929"/>
    <w:rsid w:val="004E2F43"/>
    <w:rsid w:val="004E3572"/>
    <w:rsid w:val="004F3C52"/>
    <w:rsid w:val="00510A1E"/>
    <w:rsid w:val="005158E2"/>
    <w:rsid w:val="00524204"/>
    <w:rsid w:val="00550049"/>
    <w:rsid w:val="00553F7E"/>
    <w:rsid w:val="00570142"/>
    <w:rsid w:val="00572391"/>
    <w:rsid w:val="00586C35"/>
    <w:rsid w:val="005B1B6F"/>
    <w:rsid w:val="005B6CCB"/>
    <w:rsid w:val="005C54AA"/>
    <w:rsid w:val="005C7B89"/>
    <w:rsid w:val="00601468"/>
    <w:rsid w:val="0062788A"/>
    <w:rsid w:val="00641F8A"/>
    <w:rsid w:val="0066383B"/>
    <w:rsid w:val="00673B7F"/>
    <w:rsid w:val="00674170"/>
    <w:rsid w:val="006A6FA2"/>
    <w:rsid w:val="006B5117"/>
    <w:rsid w:val="006C62DF"/>
    <w:rsid w:val="006D4852"/>
    <w:rsid w:val="006F5104"/>
    <w:rsid w:val="006F6549"/>
    <w:rsid w:val="00724C62"/>
    <w:rsid w:val="00735B02"/>
    <w:rsid w:val="00761B90"/>
    <w:rsid w:val="007657C8"/>
    <w:rsid w:val="00767A77"/>
    <w:rsid w:val="00771E49"/>
    <w:rsid w:val="00782208"/>
    <w:rsid w:val="00791938"/>
    <w:rsid w:val="007A5999"/>
    <w:rsid w:val="007B414D"/>
    <w:rsid w:val="007C54D8"/>
    <w:rsid w:val="007C7FD7"/>
    <w:rsid w:val="007D7719"/>
    <w:rsid w:val="007E040E"/>
    <w:rsid w:val="007E341D"/>
    <w:rsid w:val="007F3746"/>
    <w:rsid w:val="00833132"/>
    <w:rsid w:val="00845C67"/>
    <w:rsid w:val="0086454E"/>
    <w:rsid w:val="008672EA"/>
    <w:rsid w:val="00870B66"/>
    <w:rsid w:val="008845AA"/>
    <w:rsid w:val="00891680"/>
    <w:rsid w:val="008A0099"/>
    <w:rsid w:val="008A0B5F"/>
    <w:rsid w:val="008B5402"/>
    <w:rsid w:val="008C361B"/>
    <w:rsid w:val="008D11BC"/>
    <w:rsid w:val="008F1BCA"/>
    <w:rsid w:val="008F533B"/>
    <w:rsid w:val="0090527E"/>
    <w:rsid w:val="00905BB7"/>
    <w:rsid w:val="0090620C"/>
    <w:rsid w:val="00912DA4"/>
    <w:rsid w:val="009302B8"/>
    <w:rsid w:val="009305C6"/>
    <w:rsid w:val="00934896"/>
    <w:rsid w:val="009752AE"/>
    <w:rsid w:val="00982F3D"/>
    <w:rsid w:val="00983232"/>
    <w:rsid w:val="009A278A"/>
    <w:rsid w:val="009B09C6"/>
    <w:rsid w:val="009B6368"/>
    <w:rsid w:val="009E2C54"/>
    <w:rsid w:val="009F63C4"/>
    <w:rsid w:val="00A16957"/>
    <w:rsid w:val="00A357D4"/>
    <w:rsid w:val="00A565EC"/>
    <w:rsid w:val="00A609BB"/>
    <w:rsid w:val="00A6155C"/>
    <w:rsid w:val="00A72F08"/>
    <w:rsid w:val="00A8079E"/>
    <w:rsid w:val="00A90328"/>
    <w:rsid w:val="00A92D66"/>
    <w:rsid w:val="00A92DAB"/>
    <w:rsid w:val="00AA4262"/>
    <w:rsid w:val="00AB5A90"/>
    <w:rsid w:val="00AB7449"/>
    <w:rsid w:val="00AE4AA5"/>
    <w:rsid w:val="00AE7FA9"/>
    <w:rsid w:val="00B05D5F"/>
    <w:rsid w:val="00B147EB"/>
    <w:rsid w:val="00B22155"/>
    <w:rsid w:val="00B27E66"/>
    <w:rsid w:val="00B32E1A"/>
    <w:rsid w:val="00B76AA9"/>
    <w:rsid w:val="00B80FAB"/>
    <w:rsid w:val="00B81C88"/>
    <w:rsid w:val="00BA5C83"/>
    <w:rsid w:val="00BC6A7D"/>
    <w:rsid w:val="00BD4829"/>
    <w:rsid w:val="00BD6002"/>
    <w:rsid w:val="00BD719F"/>
    <w:rsid w:val="00BF5442"/>
    <w:rsid w:val="00C177A5"/>
    <w:rsid w:val="00C35FEE"/>
    <w:rsid w:val="00C50535"/>
    <w:rsid w:val="00C6153C"/>
    <w:rsid w:val="00C83133"/>
    <w:rsid w:val="00C906EF"/>
    <w:rsid w:val="00CA2044"/>
    <w:rsid w:val="00CC0BBC"/>
    <w:rsid w:val="00CC7D74"/>
    <w:rsid w:val="00CF7E16"/>
    <w:rsid w:val="00D02F97"/>
    <w:rsid w:val="00D45530"/>
    <w:rsid w:val="00D45A0E"/>
    <w:rsid w:val="00D45D23"/>
    <w:rsid w:val="00D723D1"/>
    <w:rsid w:val="00D80C60"/>
    <w:rsid w:val="00D8525F"/>
    <w:rsid w:val="00DA0C4D"/>
    <w:rsid w:val="00DA5DA7"/>
    <w:rsid w:val="00DA61A1"/>
    <w:rsid w:val="00DE3935"/>
    <w:rsid w:val="00DE6B32"/>
    <w:rsid w:val="00DF26B8"/>
    <w:rsid w:val="00E12C68"/>
    <w:rsid w:val="00E2325B"/>
    <w:rsid w:val="00E24075"/>
    <w:rsid w:val="00E270C9"/>
    <w:rsid w:val="00E35F38"/>
    <w:rsid w:val="00E46F27"/>
    <w:rsid w:val="00E509CC"/>
    <w:rsid w:val="00E51980"/>
    <w:rsid w:val="00E56DC0"/>
    <w:rsid w:val="00E71A04"/>
    <w:rsid w:val="00E90DA6"/>
    <w:rsid w:val="00E94478"/>
    <w:rsid w:val="00E96342"/>
    <w:rsid w:val="00E96867"/>
    <w:rsid w:val="00EA2FEA"/>
    <w:rsid w:val="00EA56CB"/>
    <w:rsid w:val="00EA7853"/>
    <w:rsid w:val="00ED2829"/>
    <w:rsid w:val="00EE3B51"/>
    <w:rsid w:val="00F000B1"/>
    <w:rsid w:val="00F012D3"/>
    <w:rsid w:val="00F044C3"/>
    <w:rsid w:val="00F10D04"/>
    <w:rsid w:val="00F169E3"/>
    <w:rsid w:val="00F35D4B"/>
    <w:rsid w:val="00F3746B"/>
    <w:rsid w:val="00F572CB"/>
    <w:rsid w:val="00F57CA7"/>
    <w:rsid w:val="00F621AF"/>
    <w:rsid w:val="00F72D52"/>
    <w:rsid w:val="00F8024E"/>
    <w:rsid w:val="00F82447"/>
    <w:rsid w:val="00F868E5"/>
    <w:rsid w:val="00F923CE"/>
    <w:rsid w:val="00FB2F32"/>
    <w:rsid w:val="00FC3191"/>
    <w:rsid w:val="00FE0F1F"/>
    <w:rsid w:val="00FF2883"/>
    <w:rsid w:val="00FF551C"/>
    <w:rsid w:val="00FF61F3"/>
    <w:rsid w:val="01051323"/>
    <w:rsid w:val="01297407"/>
    <w:rsid w:val="01CB5D6E"/>
    <w:rsid w:val="01E82F84"/>
    <w:rsid w:val="03394E7D"/>
    <w:rsid w:val="053860CF"/>
    <w:rsid w:val="06DD1477"/>
    <w:rsid w:val="07C62DEE"/>
    <w:rsid w:val="07E10F52"/>
    <w:rsid w:val="083A2A72"/>
    <w:rsid w:val="084A5506"/>
    <w:rsid w:val="089B7E77"/>
    <w:rsid w:val="0A214432"/>
    <w:rsid w:val="0ACE5975"/>
    <w:rsid w:val="0B451689"/>
    <w:rsid w:val="0BF85B51"/>
    <w:rsid w:val="0C0B20BD"/>
    <w:rsid w:val="0EA9744C"/>
    <w:rsid w:val="11C41AD0"/>
    <w:rsid w:val="12753791"/>
    <w:rsid w:val="133A034D"/>
    <w:rsid w:val="133D1A41"/>
    <w:rsid w:val="1375737D"/>
    <w:rsid w:val="13773FFC"/>
    <w:rsid w:val="14AE7E9B"/>
    <w:rsid w:val="151138E3"/>
    <w:rsid w:val="156F1959"/>
    <w:rsid w:val="16006DA2"/>
    <w:rsid w:val="18645185"/>
    <w:rsid w:val="191C15CD"/>
    <w:rsid w:val="19B3040D"/>
    <w:rsid w:val="1BD27030"/>
    <w:rsid w:val="1D5D4057"/>
    <w:rsid w:val="1DB408DC"/>
    <w:rsid w:val="1F492238"/>
    <w:rsid w:val="1FDE2AE5"/>
    <w:rsid w:val="205B53EB"/>
    <w:rsid w:val="22642C41"/>
    <w:rsid w:val="22B52E82"/>
    <w:rsid w:val="25766FE5"/>
    <w:rsid w:val="260939B3"/>
    <w:rsid w:val="2651215F"/>
    <w:rsid w:val="27066E7A"/>
    <w:rsid w:val="27714777"/>
    <w:rsid w:val="27733670"/>
    <w:rsid w:val="285F3AE5"/>
    <w:rsid w:val="298C6BAF"/>
    <w:rsid w:val="2A8C0E8F"/>
    <w:rsid w:val="2B140701"/>
    <w:rsid w:val="2D036852"/>
    <w:rsid w:val="2D550449"/>
    <w:rsid w:val="2E2653F4"/>
    <w:rsid w:val="2EE17818"/>
    <w:rsid w:val="2F62711C"/>
    <w:rsid w:val="314B4BE1"/>
    <w:rsid w:val="31EB0A10"/>
    <w:rsid w:val="32135E6A"/>
    <w:rsid w:val="352470BB"/>
    <w:rsid w:val="36C33B07"/>
    <w:rsid w:val="373A154E"/>
    <w:rsid w:val="37DB3456"/>
    <w:rsid w:val="38563D14"/>
    <w:rsid w:val="388F0BCD"/>
    <w:rsid w:val="397F2FC4"/>
    <w:rsid w:val="3B026DED"/>
    <w:rsid w:val="3C9151B5"/>
    <w:rsid w:val="3CE507A5"/>
    <w:rsid w:val="3E47514C"/>
    <w:rsid w:val="3F940427"/>
    <w:rsid w:val="40D27DFF"/>
    <w:rsid w:val="41C108F1"/>
    <w:rsid w:val="43BB3382"/>
    <w:rsid w:val="47810D14"/>
    <w:rsid w:val="47CC4D1A"/>
    <w:rsid w:val="47CF776D"/>
    <w:rsid w:val="49D24AB9"/>
    <w:rsid w:val="4CCC4E28"/>
    <w:rsid w:val="4D253937"/>
    <w:rsid w:val="4D587DA9"/>
    <w:rsid w:val="4DD8307A"/>
    <w:rsid w:val="4ED86C8C"/>
    <w:rsid w:val="4FE40FBE"/>
    <w:rsid w:val="501171F7"/>
    <w:rsid w:val="50364C21"/>
    <w:rsid w:val="50395F66"/>
    <w:rsid w:val="50C3247B"/>
    <w:rsid w:val="558379BF"/>
    <w:rsid w:val="568E2479"/>
    <w:rsid w:val="56934D56"/>
    <w:rsid w:val="581E5EEA"/>
    <w:rsid w:val="5850534F"/>
    <w:rsid w:val="58F86207"/>
    <w:rsid w:val="59B004CA"/>
    <w:rsid w:val="59B87208"/>
    <w:rsid w:val="5D336EFD"/>
    <w:rsid w:val="5D981371"/>
    <w:rsid w:val="5F8C20A2"/>
    <w:rsid w:val="5FD44315"/>
    <w:rsid w:val="62037255"/>
    <w:rsid w:val="62351ECB"/>
    <w:rsid w:val="62D304A8"/>
    <w:rsid w:val="637B62EF"/>
    <w:rsid w:val="654A7296"/>
    <w:rsid w:val="658E0F52"/>
    <w:rsid w:val="676004CF"/>
    <w:rsid w:val="676C1153"/>
    <w:rsid w:val="67C404A7"/>
    <w:rsid w:val="68504732"/>
    <w:rsid w:val="6BFE5809"/>
    <w:rsid w:val="6DA21EF7"/>
    <w:rsid w:val="6E855D09"/>
    <w:rsid w:val="6F4A4790"/>
    <w:rsid w:val="6F75373B"/>
    <w:rsid w:val="70CA6B6E"/>
    <w:rsid w:val="70F0269E"/>
    <w:rsid w:val="72BC31B3"/>
    <w:rsid w:val="73DA3F2B"/>
    <w:rsid w:val="74B84BE6"/>
    <w:rsid w:val="75245D57"/>
    <w:rsid w:val="756A16AE"/>
    <w:rsid w:val="76161C0C"/>
    <w:rsid w:val="781802DA"/>
    <w:rsid w:val="7A2F592A"/>
    <w:rsid w:val="7B5645C8"/>
    <w:rsid w:val="7BE478A1"/>
    <w:rsid w:val="7D54362A"/>
    <w:rsid w:val="7DC32ED0"/>
    <w:rsid w:val="7EED2611"/>
    <w:rsid w:val="7F3767B2"/>
    <w:rsid w:val="7F6B1481"/>
    <w:rsid w:val="7FBD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qFormat="1" w:uiPriority="0" w:name="toc 2"/>
    <w:lsdException w:uiPriority="39" w:name="toc 3"/>
    <w:lsdException w:qFormat="1"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paragraph" w:customStyle="1" w:styleId="10">
    <w:name w:val="插入文本样式-插入部门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1">
    <w:name w:val="插入文本样式-插入总体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2">
    <w:name w:val="插入文本样式-插入职责分类绩效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3">
    <w:name w:val="插入文本样式-插入实现年度发展规划目标的保障措施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4">
    <w:name w:val="单元格样式5"/>
    <w:basedOn w:val="1"/>
    <w:qFormat/>
    <w:uiPriority w:val="0"/>
    <w:pPr>
      <w:jc w:val="left"/>
    </w:pPr>
    <w:rPr>
      <w:rFonts w:ascii="方正书宋_GBK" w:hAnsi="方正书宋_GBK" w:eastAsia="方正书宋_GBK" w:cs="方正书宋_GBK"/>
      <w:b/>
    </w:rPr>
  </w:style>
  <w:style w:type="paragraph" w:customStyle="1" w:styleId="15">
    <w:name w:val="单元格样式4"/>
    <w:basedOn w:val="1"/>
    <w:qFormat/>
    <w:uiPriority w:val="0"/>
    <w:pPr>
      <w:jc w:val="right"/>
    </w:pPr>
    <w:rPr>
      <w:rFonts w:ascii="方正书宋_GBK" w:hAnsi="方正书宋_GBK" w:eastAsia="方正书宋_GBK" w:cs="方正书宋_GBK"/>
    </w:rPr>
  </w:style>
  <w:style w:type="paragraph" w:customStyle="1" w:styleId="16">
    <w:name w:val="单元格样式1"/>
    <w:basedOn w:val="1"/>
    <w:qFormat/>
    <w:uiPriority w:val="0"/>
    <w:pPr>
      <w:jc w:val="center"/>
    </w:pPr>
    <w:rPr>
      <w:rFonts w:ascii="方正书宋_GBK" w:hAnsi="方正书宋_GBK" w:eastAsia="方正书宋_GBK" w:cs="方正书宋_GBK"/>
      <w:b/>
    </w:rPr>
  </w:style>
  <w:style w:type="paragraph" w:customStyle="1" w:styleId="17">
    <w:name w:val="单元格样式2"/>
    <w:basedOn w:val="1"/>
    <w:qFormat/>
    <w:uiPriority w:val="0"/>
    <w:pPr>
      <w:jc w:val="left"/>
    </w:pPr>
    <w:rPr>
      <w:rFonts w:ascii="方正书宋_GBK" w:hAnsi="方正书宋_GBK" w:eastAsia="方正书宋_GBK" w:cs="方正书宋_GBK"/>
    </w:rPr>
  </w:style>
  <w:style w:type="paragraph" w:customStyle="1" w:styleId="18">
    <w:name w:val="单元格样式3"/>
    <w:basedOn w:val="1"/>
    <w:qFormat/>
    <w:uiPriority w:val="0"/>
    <w:pPr>
      <w:jc w:val="center"/>
    </w:pPr>
    <w:rPr>
      <w:rFonts w:ascii="方正书宋_GBK" w:hAnsi="方正书宋_GBK" w:eastAsia="方正书宋_GBK" w:cs="方正书宋_GBK"/>
    </w:rPr>
  </w:style>
  <w:style w:type="character" w:customStyle="1" w:styleId="19">
    <w:name w:val="font11"/>
    <w:basedOn w:val="6"/>
    <w:qFormat/>
    <w:uiPriority w:val="0"/>
    <w:rPr>
      <w:rFonts w:hint="default" w:ascii="方正书宋_GBK" w:hAnsi="方正书宋_GBK" w:eastAsia="方正书宋_GBK" w:cs="方正书宋_GBK"/>
      <w:b/>
      <w:bCs/>
      <w:color w:val="000000"/>
      <w:sz w:val="21"/>
      <w:szCs w:val="21"/>
      <w:u w:val="none"/>
    </w:rPr>
  </w:style>
  <w:style w:type="paragraph" w:customStyle="1" w:styleId="20">
    <w:name w:val="单元格样式23"/>
    <w:basedOn w:val="1"/>
    <w:qFormat/>
    <w:uiPriority w:val="0"/>
    <w:pPr>
      <w:widowControl/>
      <w:jc w:val="right"/>
    </w:pPr>
    <w:rPr>
      <w:rFonts w:ascii="方正书宋_GBK" w:hAnsi="方正书宋_GBK" w:eastAsia="方正书宋_GBK" w:cs="方正书宋_GBK"/>
      <w:kern w:val="0"/>
      <w:sz w:val="24"/>
      <w:szCs w:val="24"/>
      <w:lang w:eastAsia="uk-UA"/>
    </w:rPr>
  </w:style>
  <w:style w:type="paragraph" w:customStyle="1" w:styleId="21">
    <w:name w:val="单元格样式20"/>
    <w:basedOn w:val="1"/>
    <w:qFormat/>
    <w:uiPriority w:val="0"/>
    <w:pPr>
      <w:widowControl/>
      <w:jc w:val="left"/>
    </w:pPr>
    <w:rPr>
      <w:rFonts w:ascii="方正小标宋_GBK" w:hAnsi="方正小标宋_GBK" w:eastAsia="方正小标宋_GBK" w:cs="方正小标宋_GBK"/>
      <w:kern w:val="0"/>
      <w:sz w:val="24"/>
      <w:szCs w:val="24"/>
      <w:lang w:eastAsia="uk-UA"/>
    </w:rPr>
  </w:style>
  <w:style w:type="paragraph" w:customStyle="1" w:styleId="22">
    <w:name w:val="单元格样式6"/>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3">
    <w:name w:val="单元格样式7"/>
    <w:basedOn w:val="1"/>
    <w:qFormat/>
    <w:uiPriority w:val="0"/>
    <w:pPr>
      <w:widowControl/>
      <w:jc w:val="right"/>
    </w:pPr>
    <w:rPr>
      <w:rFonts w:ascii="方正书宋_GBK" w:hAnsi="方正书宋_GBK" w:eastAsia="方正书宋_GBK" w:cs="方正书宋_GBK"/>
      <w:b/>
      <w:kern w:val="0"/>
      <w:szCs w:val="24"/>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57F9D-8EFE-4822-8B64-781A98CFFEE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1098</Words>
  <Characters>6265</Characters>
  <Lines>52</Lines>
  <Paragraphs>14</Paragraphs>
  <TotalTime>2</TotalTime>
  <ScaleCrop>false</ScaleCrop>
  <LinksUpToDate>false</LinksUpToDate>
  <CharactersWithSpaces>7349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2023-11-14T09:13:48Z</dcterms:modified>
  <cp:revision>393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1052D44FC4394E7E8E4B0842CEEE2718</vt:lpwstr>
  </property>
</Properties>
</file>