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44"/>
          <w:szCs w:val="44"/>
        </w:rPr>
      </w:pPr>
      <w:r>
        <w:rPr>
          <w:rFonts w:hint="eastAsia" w:ascii="宋体" w:hAnsi="宋体" w:eastAsia="宋体"/>
          <w:b/>
          <w:sz w:val="44"/>
          <w:szCs w:val="44"/>
        </w:rPr>
        <w:t>保定市徐水区审计局</w:t>
      </w:r>
    </w:p>
    <w:p>
      <w:pPr>
        <w:spacing w:line="360" w:lineRule="auto"/>
        <w:jc w:val="center"/>
        <w:rPr>
          <w:rFonts w:ascii="宋体" w:hAnsi="宋体" w:eastAsia="宋体"/>
          <w:b/>
          <w:sz w:val="44"/>
          <w:szCs w:val="44"/>
        </w:rPr>
      </w:pPr>
      <w:r>
        <w:rPr>
          <w:rFonts w:ascii="宋体" w:hAnsi="宋体" w:eastAsia="宋体"/>
          <w:b/>
          <w:sz w:val="44"/>
          <w:szCs w:val="44"/>
        </w:rPr>
        <w:t>2021年</w:t>
      </w:r>
      <w:r>
        <w:rPr>
          <w:rFonts w:hint="eastAsia" w:ascii="宋体" w:hAnsi="宋体" w:eastAsia="宋体"/>
          <w:b/>
          <w:sz w:val="44"/>
          <w:szCs w:val="44"/>
          <w:lang w:eastAsia="zh-CN"/>
        </w:rPr>
        <w:t>单位</w:t>
      </w:r>
      <w:r>
        <w:rPr>
          <w:rFonts w:ascii="宋体" w:hAnsi="宋体" w:eastAsia="宋体"/>
          <w:b/>
          <w:sz w:val="44"/>
          <w:szCs w:val="44"/>
        </w:rPr>
        <w:t>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按照《中华人民共和国</w:t>
      </w:r>
      <w:bookmarkStart w:id="8" w:name="_GoBack"/>
      <w:bookmarkEnd w:id="8"/>
      <w:r>
        <w:rPr>
          <w:rFonts w:hint="eastAsia" w:ascii="仿宋" w:hAnsi="仿宋" w:eastAsia="仿宋"/>
          <w:sz w:val="32"/>
          <w:szCs w:val="32"/>
        </w:rPr>
        <w:t>预算法》、《地方预决算公开操作规程》等文件规定，现将我</w:t>
      </w:r>
      <w:r>
        <w:rPr>
          <w:rFonts w:hint="eastAsia" w:ascii="仿宋" w:hAnsi="仿宋" w:eastAsia="仿宋"/>
          <w:sz w:val="32"/>
          <w:szCs w:val="32"/>
          <w:lang w:eastAsia="zh-CN"/>
        </w:rPr>
        <w:t>单位</w:t>
      </w:r>
      <w:r>
        <w:rPr>
          <w:rFonts w:hint="eastAsia" w:ascii="仿宋" w:hAnsi="仿宋" w:eastAsia="仿宋"/>
          <w:sz w:val="32"/>
          <w:szCs w:val="32"/>
        </w:rPr>
        <w:t>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eastAsia="zh-CN"/>
        </w:rPr>
        <w:t>单位</w:t>
      </w:r>
      <w:r>
        <w:rPr>
          <w:rFonts w:ascii="方正小标宋_GBK" w:eastAsia="方正小标宋_GBK"/>
          <w:sz w:val="44"/>
        </w:rPr>
        <w:t>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单位</w:t>
      </w:r>
      <w:r>
        <w:rPr>
          <w:rFonts w:hint="eastAsia" w:ascii="仿宋" w:hAnsi="仿宋" w:eastAsia="仿宋"/>
          <w:b/>
          <w:sz w:val="32"/>
          <w:szCs w:val="32"/>
        </w:rPr>
        <w:t>职责</w:t>
      </w:r>
    </w:p>
    <w:p>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根据《保定市徐水区审计局职能配置、内设机构和人员编制规定》，</w:t>
      </w:r>
      <w:r>
        <w:rPr>
          <w:rFonts w:ascii="仿宋" w:hAnsi="仿宋" w:eastAsia="仿宋"/>
          <w:sz w:val="32"/>
          <w:szCs w:val="32"/>
        </w:rPr>
        <w:t xml:space="preserve"> 保定市徐水区审计局的主要职责是：</w:t>
      </w:r>
    </w:p>
    <w:p>
      <w:pPr>
        <w:spacing w:line="500" w:lineRule="exact"/>
        <w:ind w:firstLine="640" w:firstLineChars="200"/>
        <w:jc w:val="left"/>
        <w:rPr>
          <w:rFonts w:ascii="仿宋" w:hAnsi="仿宋" w:eastAsia="仿宋"/>
          <w:sz w:val="32"/>
          <w:szCs w:val="32"/>
        </w:rPr>
      </w:pPr>
      <w:r>
        <w:rPr>
          <w:rFonts w:ascii="仿宋" w:hAnsi="仿宋" w:eastAsia="仿宋"/>
          <w:sz w:val="32"/>
          <w:szCs w:val="32"/>
        </w:rPr>
        <w:t>（一）主管全区审计工作。负责对全区财政收支和依法属于审计监督范围的财务收支的真实、合法和效益进行审计监督，对公共资金、国有资产、国有资源和领导干部履行经济责任情况实行审计全覆盖，对领导干部实行自然资源资产离任审计，对国家、省、市和区委、区政府相关重大政策措施贯彻落实情况进行跟踪审计。对审计、专项审计调查和核查社会审计机构相关审计报告的结果承担责任，并负有督促被审计单位整改的责任。</w:t>
      </w:r>
    </w:p>
    <w:p>
      <w:pPr>
        <w:spacing w:line="500" w:lineRule="exact"/>
        <w:ind w:firstLine="640" w:firstLineChars="200"/>
        <w:jc w:val="left"/>
        <w:rPr>
          <w:rFonts w:ascii="仿宋" w:hAnsi="仿宋" w:eastAsia="仿宋"/>
          <w:sz w:val="32"/>
          <w:szCs w:val="32"/>
        </w:rPr>
      </w:pPr>
      <w:r>
        <w:rPr>
          <w:rFonts w:ascii="仿宋" w:hAnsi="仿宋" w:eastAsia="仿宋"/>
          <w:sz w:val="32"/>
          <w:szCs w:val="32"/>
        </w:rPr>
        <w:t>（二）贯彻执行审计法律、法规和方针、政策。组织起草审计地方性法规、政府规章草案；制定审计规范性文件并监督执行；制定并组织实施全区审计工作发展规划和专业领域审计工作规划；制定并组织实施全区年度审计计划，审核、调整年度审计项目计划；制定审计内容的标准和规范；参与拟订徐水区有关审计、财政经济方面的政府规章草案，制定审计规章制度并监督执行；对直接审计、调查和核查的事项依法进行审计评价，作出审计决定或提出审计建议。</w:t>
      </w:r>
    </w:p>
    <w:p>
      <w:pPr>
        <w:spacing w:line="500" w:lineRule="exact"/>
        <w:ind w:firstLine="640" w:firstLineChars="200"/>
        <w:jc w:val="left"/>
        <w:rPr>
          <w:rFonts w:ascii="仿宋" w:hAnsi="仿宋" w:eastAsia="仿宋"/>
          <w:sz w:val="32"/>
          <w:szCs w:val="32"/>
        </w:rPr>
      </w:pPr>
      <w:r>
        <w:rPr>
          <w:rFonts w:ascii="仿宋" w:hAnsi="仿宋" w:eastAsia="仿宋"/>
          <w:sz w:val="32"/>
          <w:szCs w:val="32"/>
        </w:rPr>
        <w:t xml:space="preserve">（三）向中共保定市徐水区委审计委员会提出年度区本级预算执行和其他财政支出情况审计报告；向区长提出年度区本级预算执行和其他财政收支情况的审计结果报告；组织起草区政府向区人大常委会提出的区本级预算执行和其他财政收支情况审计工作报告、审计查出问题整改情况报告；向区委、区政府报告对其他事项的审计和专项审计调查情况及结果；依法向社会公布审计结果；向被审计单位通报审计情况和审计结果。    </w:t>
      </w:r>
    </w:p>
    <w:p>
      <w:pPr>
        <w:spacing w:line="500" w:lineRule="exact"/>
        <w:ind w:firstLine="640" w:firstLineChars="200"/>
        <w:jc w:val="left"/>
        <w:rPr>
          <w:rFonts w:ascii="仿宋" w:hAnsi="仿宋" w:eastAsia="仿宋"/>
          <w:sz w:val="32"/>
          <w:szCs w:val="32"/>
        </w:rPr>
      </w:pPr>
      <w:r>
        <w:rPr>
          <w:rFonts w:ascii="仿宋" w:hAnsi="仿宋" w:eastAsia="仿宋"/>
          <w:sz w:val="32"/>
          <w:szCs w:val="32"/>
        </w:rPr>
        <w:t>（四）直接审计下列事项，出具审计报告，在法定职权范围内作出审计决定。包括国家、省、市和区有关重大政策措施贯彻落实情况。</w:t>
      </w:r>
    </w:p>
    <w:p>
      <w:pPr>
        <w:spacing w:line="500" w:lineRule="exact"/>
        <w:ind w:firstLine="640" w:firstLineChars="200"/>
        <w:jc w:val="left"/>
        <w:rPr>
          <w:rFonts w:ascii="仿宋" w:hAnsi="仿宋" w:eastAsia="仿宋"/>
          <w:sz w:val="32"/>
          <w:szCs w:val="32"/>
        </w:rPr>
      </w:pPr>
      <w:r>
        <w:rPr>
          <w:rFonts w:ascii="仿宋" w:hAnsi="仿宋" w:eastAsia="仿宋"/>
          <w:sz w:val="32"/>
          <w:szCs w:val="32"/>
        </w:rPr>
        <w:t>1.区本级预算执行情况和其他财政收支，区直各</w:t>
      </w:r>
      <w:r>
        <w:rPr>
          <w:rFonts w:hint="eastAsia" w:ascii="仿宋" w:hAnsi="仿宋" w:eastAsia="仿宋"/>
          <w:sz w:val="32"/>
          <w:szCs w:val="32"/>
          <w:lang w:eastAsia="zh-CN"/>
        </w:rPr>
        <w:t>单位</w:t>
      </w:r>
      <w:r>
        <w:rPr>
          <w:rFonts w:ascii="仿宋" w:hAnsi="仿宋" w:eastAsia="仿宋"/>
          <w:sz w:val="32"/>
          <w:szCs w:val="32"/>
        </w:rPr>
        <w:t>（含所属单位）预算执行情况、决算草案和其他财政收支。</w:t>
      </w:r>
    </w:p>
    <w:p>
      <w:pPr>
        <w:spacing w:line="500" w:lineRule="exact"/>
        <w:ind w:firstLine="640" w:firstLineChars="200"/>
        <w:jc w:val="left"/>
        <w:rPr>
          <w:rFonts w:ascii="仿宋" w:hAnsi="仿宋" w:eastAsia="仿宋"/>
          <w:sz w:val="32"/>
          <w:szCs w:val="32"/>
        </w:rPr>
      </w:pPr>
      <w:r>
        <w:rPr>
          <w:rFonts w:ascii="仿宋" w:hAnsi="仿宋" w:eastAsia="仿宋"/>
          <w:sz w:val="32"/>
          <w:szCs w:val="32"/>
        </w:rPr>
        <w:t>2.乡镇政府预算执行情况、决算和其他财政收支。</w:t>
      </w:r>
    </w:p>
    <w:p>
      <w:pPr>
        <w:spacing w:line="500" w:lineRule="exact"/>
        <w:ind w:firstLine="640" w:firstLineChars="200"/>
        <w:jc w:val="left"/>
        <w:rPr>
          <w:rFonts w:ascii="仿宋" w:hAnsi="仿宋" w:eastAsia="仿宋"/>
          <w:sz w:val="32"/>
          <w:szCs w:val="32"/>
        </w:rPr>
      </w:pPr>
      <w:r>
        <w:rPr>
          <w:rFonts w:ascii="仿宋" w:hAnsi="仿宋" w:eastAsia="仿宋"/>
          <w:sz w:val="32"/>
          <w:szCs w:val="32"/>
        </w:rPr>
        <w:t>3.使用区级财政资金的事业单位和社会团体的财务收支。</w:t>
      </w:r>
    </w:p>
    <w:p>
      <w:pPr>
        <w:spacing w:line="500" w:lineRule="exact"/>
        <w:ind w:firstLine="640" w:firstLineChars="200"/>
        <w:jc w:val="left"/>
        <w:rPr>
          <w:rFonts w:ascii="仿宋" w:hAnsi="仿宋" w:eastAsia="仿宋"/>
          <w:sz w:val="32"/>
          <w:szCs w:val="32"/>
        </w:rPr>
      </w:pPr>
      <w:r>
        <w:rPr>
          <w:rFonts w:ascii="仿宋" w:hAnsi="仿宋" w:eastAsia="仿宋"/>
          <w:sz w:val="32"/>
          <w:szCs w:val="32"/>
        </w:rPr>
        <w:t>4.区投资和以区投资为主的建设项目的预算执行情况和决算，区公共工程项目的资金管理使用和建设运营情况。</w:t>
      </w:r>
    </w:p>
    <w:p>
      <w:pPr>
        <w:spacing w:line="500" w:lineRule="exact"/>
        <w:ind w:firstLine="640" w:firstLineChars="200"/>
        <w:jc w:val="left"/>
        <w:rPr>
          <w:rFonts w:ascii="仿宋" w:hAnsi="仿宋" w:eastAsia="仿宋"/>
          <w:sz w:val="32"/>
          <w:szCs w:val="32"/>
        </w:rPr>
      </w:pPr>
      <w:r>
        <w:rPr>
          <w:rFonts w:ascii="仿宋" w:hAnsi="仿宋" w:eastAsia="仿宋"/>
          <w:sz w:val="32"/>
          <w:szCs w:val="32"/>
        </w:rPr>
        <w:t>5.自然资源管理、污染防治和生态保护与修复情况。</w:t>
      </w:r>
    </w:p>
    <w:p>
      <w:pPr>
        <w:spacing w:line="500" w:lineRule="exact"/>
        <w:ind w:firstLine="640" w:firstLineChars="200"/>
        <w:jc w:val="left"/>
        <w:rPr>
          <w:rFonts w:ascii="仿宋" w:hAnsi="仿宋" w:eastAsia="仿宋"/>
          <w:sz w:val="32"/>
          <w:szCs w:val="32"/>
        </w:rPr>
      </w:pPr>
      <w:r>
        <w:rPr>
          <w:rFonts w:ascii="仿宋" w:hAnsi="仿宋" w:eastAsia="仿宋"/>
          <w:sz w:val="32"/>
          <w:szCs w:val="32"/>
        </w:rPr>
        <w:t>6.区属国有和国有资本占控股或者主导地位的企业和境内外资产、负债和损益，区驻外非经营性机构的财务收支。</w:t>
      </w:r>
    </w:p>
    <w:p>
      <w:pPr>
        <w:spacing w:line="500" w:lineRule="exact"/>
        <w:ind w:firstLine="640" w:firstLineChars="200"/>
        <w:jc w:val="left"/>
        <w:rPr>
          <w:rFonts w:ascii="仿宋" w:hAnsi="仿宋" w:eastAsia="仿宋"/>
          <w:sz w:val="32"/>
          <w:szCs w:val="32"/>
        </w:rPr>
      </w:pPr>
      <w:r>
        <w:rPr>
          <w:rFonts w:ascii="仿宋" w:hAnsi="仿宋" w:eastAsia="仿宋"/>
          <w:sz w:val="32"/>
          <w:szCs w:val="32"/>
        </w:rPr>
        <w:t>7.有关社会保障基金、社会捐赠资金和其他基金、资金的财务收支；国际组织和外国政府援助、贷款项目。</w:t>
      </w:r>
    </w:p>
    <w:p>
      <w:pPr>
        <w:spacing w:line="500" w:lineRule="exact"/>
        <w:ind w:firstLine="640" w:firstLineChars="200"/>
        <w:jc w:val="left"/>
        <w:rPr>
          <w:rFonts w:ascii="仿宋" w:hAnsi="仿宋" w:eastAsia="仿宋"/>
          <w:sz w:val="32"/>
          <w:szCs w:val="32"/>
        </w:rPr>
      </w:pPr>
      <w:r>
        <w:rPr>
          <w:rFonts w:ascii="仿宋" w:hAnsi="仿宋" w:eastAsia="仿宋"/>
          <w:sz w:val="32"/>
          <w:szCs w:val="32"/>
        </w:rPr>
        <w:t>8.法律法规规定的其他事项。</w:t>
      </w:r>
    </w:p>
    <w:p>
      <w:pPr>
        <w:spacing w:line="500" w:lineRule="exact"/>
        <w:ind w:firstLine="640" w:firstLineChars="200"/>
        <w:jc w:val="left"/>
        <w:rPr>
          <w:rFonts w:ascii="仿宋" w:hAnsi="仿宋" w:eastAsia="仿宋"/>
          <w:sz w:val="32"/>
          <w:szCs w:val="32"/>
        </w:rPr>
      </w:pPr>
      <w:r>
        <w:rPr>
          <w:rFonts w:ascii="仿宋" w:hAnsi="仿宋" w:eastAsia="仿宋"/>
          <w:sz w:val="32"/>
          <w:szCs w:val="32"/>
        </w:rPr>
        <w:t>（五）</w:t>
      </w:r>
      <w:bookmarkStart w:id="0" w:name="OLE_LINK1"/>
      <w:bookmarkEnd w:id="0"/>
      <w:r>
        <w:rPr>
          <w:rFonts w:ascii="仿宋" w:hAnsi="仿宋" w:eastAsia="仿宋"/>
          <w:sz w:val="32"/>
          <w:szCs w:val="32"/>
        </w:rPr>
        <w:t>按规定对区管党政主要领导干部、区属国有及国有控股企业领导人及依法属于区级审计机构审计监督对象的其他单位主要负责人实施经济责任审计和自然资源资产离任审计。</w:t>
      </w:r>
    </w:p>
    <w:p>
      <w:pPr>
        <w:spacing w:line="500" w:lineRule="exact"/>
        <w:ind w:firstLine="640" w:firstLineChars="200"/>
        <w:jc w:val="left"/>
        <w:rPr>
          <w:rFonts w:ascii="仿宋" w:hAnsi="仿宋" w:eastAsia="仿宋"/>
          <w:sz w:val="32"/>
          <w:szCs w:val="32"/>
        </w:rPr>
      </w:pPr>
      <w:r>
        <w:rPr>
          <w:rFonts w:ascii="仿宋" w:hAnsi="仿宋" w:eastAsia="仿宋"/>
          <w:sz w:val="32"/>
          <w:szCs w:val="32"/>
        </w:rPr>
        <w:t>（六）组织实施对财经法律法规、规章、政策和宏观调控措施执行情况、财政预算管理及国有资产管理使用、重点建设项目的实施情况、与财政收支有关的特定事项进行专项审计调查或跟踪审计。</w:t>
      </w:r>
    </w:p>
    <w:p>
      <w:pPr>
        <w:spacing w:line="500" w:lineRule="exact"/>
        <w:ind w:firstLine="640" w:firstLineChars="200"/>
        <w:jc w:val="left"/>
        <w:rPr>
          <w:rFonts w:ascii="仿宋" w:hAnsi="仿宋" w:eastAsia="仿宋"/>
          <w:sz w:val="32"/>
          <w:szCs w:val="32"/>
        </w:rPr>
      </w:pPr>
      <w:r>
        <w:rPr>
          <w:rFonts w:ascii="仿宋" w:hAnsi="仿宋" w:eastAsia="仿宋"/>
          <w:sz w:val="32"/>
          <w:szCs w:val="32"/>
        </w:rPr>
        <w:t>（七）依法检查审计决定执行情况，督促整改审计查出的问题，依法办理被审计单位对审计决定提请行政复议、行政诉讼或区政府裁决中的有关事项，协助配合有关</w:t>
      </w:r>
      <w:r>
        <w:rPr>
          <w:rFonts w:hint="eastAsia" w:ascii="仿宋" w:hAnsi="仿宋" w:eastAsia="仿宋"/>
          <w:sz w:val="32"/>
          <w:szCs w:val="32"/>
          <w:lang w:eastAsia="zh-CN"/>
        </w:rPr>
        <w:t>单位</w:t>
      </w:r>
      <w:r>
        <w:rPr>
          <w:rFonts w:ascii="仿宋" w:hAnsi="仿宋" w:eastAsia="仿宋"/>
          <w:sz w:val="32"/>
          <w:szCs w:val="32"/>
        </w:rPr>
        <w:t>查处相关重大案件。</w:t>
      </w:r>
    </w:p>
    <w:p>
      <w:pPr>
        <w:spacing w:line="500" w:lineRule="exact"/>
        <w:ind w:firstLine="640" w:firstLineChars="200"/>
        <w:jc w:val="left"/>
        <w:rPr>
          <w:rFonts w:ascii="仿宋" w:hAnsi="仿宋" w:eastAsia="仿宋"/>
          <w:sz w:val="32"/>
          <w:szCs w:val="32"/>
        </w:rPr>
      </w:pPr>
      <w:r>
        <w:rPr>
          <w:rFonts w:ascii="仿宋" w:hAnsi="仿宋" w:eastAsia="仿宋"/>
          <w:sz w:val="32"/>
          <w:szCs w:val="32"/>
        </w:rPr>
        <w:t>（八）指导和监督内部审计工作，核查社会审计机构对依法属于审计监督对象的单位出具的相关审计报告。</w:t>
      </w:r>
    </w:p>
    <w:p>
      <w:pPr>
        <w:spacing w:line="360" w:lineRule="auto"/>
        <w:ind w:firstLine="640" w:firstLineChars="200"/>
        <w:rPr>
          <w:rFonts w:ascii="仿宋" w:hAnsi="仿宋" w:eastAsia="仿宋"/>
          <w:sz w:val="32"/>
          <w:szCs w:val="32"/>
        </w:rPr>
      </w:pPr>
      <w:r>
        <w:rPr>
          <w:rFonts w:ascii="仿宋" w:hAnsi="仿宋" w:eastAsia="仿宋"/>
          <w:sz w:val="32"/>
          <w:szCs w:val="32"/>
        </w:rPr>
        <w:t>（九）完成区委、区政府和上级审计机关交办的其他任务。</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pPr>
              <w:jc w:val="center"/>
              <w:rPr>
                <w:rFonts w:hint="eastAsia" w:ascii="仿宋_GB2312" w:hAnsi="仿宋" w:eastAsia="仿宋_GB2312"/>
                <w:bCs/>
                <w:sz w:val="24"/>
                <w:szCs w:val="24"/>
              </w:rPr>
            </w:pPr>
            <w:r>
              <w:rPr>
                <w:rFonts w:hint="eastAsia" w:ascii="仿宋_GB2312" w:hAnsi="仿宋" w:eastAsia="仿宋_GB2312"/>
                <w:bCs/>
                <w:sz w:val="24"/>
                <w:szCs w:val="24"/>
              </w:rPr>
              <w:t>保定市徐水区审计局</w:t>
            </w: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pPr>
              <w:jc w:val="center"/>
              <w:rPr>
                <w:rFonts w:hint="eastAsia" w:ascii="仿宋_GB2312" w:hAnsi="仿宋" w:eastAsia="仿宋_GB2312"/>
                <w:bCs/>
                <w:sz w:val="24"/>
                <w:szCs w:val="24"/>
              </w:rPr>
            </w:pPr>
            <w:r>
              <w:rPr>
                <w:rFonts w:hint="eastAsia" w:ascii="仿宋_GB2312" w:hAnsi="仿宋" w:eastAsia="仿宋_GB2312"/>
                <w:bCs/>
                <w:sz w:val="24"/>
                <w:szCs w:val="24"/>
              </w:rPr>
              <w:t>保定市徐水区审计局（事业</w:t>
            </w:r>
            <w:r>
              <w:rPr>
                <w:rFonts w:ascii="仿宋_GB2312" w:hAnsi="仿宋" w:eastAsia="仿宋_GB2312"/>
                <w:bCs/>
                <w:sz w:val="24"/>
                <w:szCs w:val="24"/>
              </w:rPr>
              <w:t>）</w:t>
            </w:r>
          </w:p>
        </w:tc>
        <w:tc>
          <w:tcPr>
            <w:tcW w:w="1701" w:type="dxa"/>
            <w:vAlign w:val="center"/>
          </w:tcPr>
          <w:p>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事业</w:t>
            </w:r>
          </w:p>
        </w:tc>
        <w:tc>
          <w:tcPr>
            <w:tcW w:w="1418"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p>
        </w:tc>
        <w:tc>
          <w:tcPr>
            <w:tcW w:w="1701" w:type="dxa"/>
            <w:vAlign w:val="center"/>
          </w:tcPr>
          <w:p>
            <w:pPr>
              <w:jc w:val="center"/>
              <w:rPr>
                <w:rFonts w:ascii="仿宋_GB2312" w:hAnsi="仿宋" w:eastAsia="仿宋_GB2312"/>
                <w:bCs/>
                <w:sz w:val="24"/>
                <w:szCs w:val="24"/>
              </w:rPr>
            </w:pPr>
          </w:p>
        </w:tc>
        <w:tc>
          <w:tcPr>
            <w:tcW w:w="1418" w:type="dxa"/>
            <w:vAlign w:val="center"/>
          </w:tcPr>
          <w:p>
            <w:pPr>
              <w:jc w:val="center"/>
              <w:rPr>
                <w:rFonts w:ascii="仿宋_GB2312" w:hAnsi="仿宋" w:eastAsia="仿宋_GB2312"/>
                <w:bCs/>
                <w:sz w:val="24"/>
                <w:szCs w:val="24"/>
              </w:rPr>
            </w:pPr>
          </w:p>
        </w:tc>
        <w:tc>
          <w:tcPr>
            <w:tcW w:w="3260" w:type="dxa"/>
            <w:vAlign w:val="center"/>
          </w:tcPr>
          <w:p>
            <w:pPr>
              <w:jc w:val="center"/>
              <w:rPr>
                <w:rFonts w:ascii="仿宋_GB2312" w:hAnsi="仿宋" w:eastAsia="仿宋_GB2312"/>
                <w:bCs/>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p>
        </w:tc>
        <w:tc>
          <w:tcPr>
            <w:tcW w:w="1701" w:type="dxa"/>
            <w:vAlign w:val="center"/>
          </w:tcPr>
          <w:p>
            <w:pPr>
              <w:jc w:val="center"/>
              <w:rPr>
                <w:rFonts w:ascii="仿宋_GB2312" w:hAnsi="仿宋" w:eastAsia="仿宋_GB2312"/>
                <w:bCs/>
                <w:sz w:val="24"/>
                <w:szCs w:val="24"/>
              </w:rPr>
            </w:pPr>
          </w:p>
        </w:tc>
        <w:tc>
          <w:tcPr>
            <w:tcW w:w="1418" w:type="dxa"/>
            <w:vAlign w:val="center"/>
          </w:tcPr>
          <w:p>
            <w:pPr>
              <w:jc w:val="center"/>
              <w:rPr>
                <w:rFonts w:ascii="仿宋_GB2312" w:hAnsi="仿宋" w:eastAsia="仿宋_GB2312"/>
                <w:bCs/>
                <w:sz w:val="24"/>
                <w:szCs w:val="24"/>
              </w:rPr>
            </w:pPr>
          </w:p>
        </w:tc>
        <w:tc>
          <w:tcPr>
            <w:tcW w:w="3260" w:type="dxa"/>
            <w:vAlign w:val="center"/>
          </w:tcPr>
          <w:p>
            <w:pPr>
              <w:jc w:val="center"/>
              <w:rPr>
                <w:rFonts w:ascii="仿宋_GB2312" w:hAnsi="仿宋" w:eastAsia="仿宋_GB2312"/>
                <w:bCs/>
                <w:sz w:val="24"/>
                <w:szCs w:val="24"/>
              </w:rPr>
            </w:pP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方正小标宋_GBK" w:eastAsia="方正小标宋_GBK"/>
          <w:sz w:val="44"/>
          <w:lang w:eastAsia="zh-CN"/>
        </w:rPr>
        <w:t>单位</w:t>
      </w:r>
      <w:r>
        <w:rPr>
          <w:rFonts w:hint="eastAsia" w:ascii="方正小标宋_GBK" w:eastAsia="方正小标宋_GBK"/>
          <w:sz w:val="44"/>
        </w:rPr>
        <w:t>预算安排的总体情况</w:t>
      </w:r>
      <w:r>
        <w:rPr>
          <w:rFonts w:ascii="方正小标宋_GBK" w:eastAsia="方正小标宋_GBK"/>
          <w:sz w:val="44"/>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单位</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eastAsia="zh-CN"/>
        </w:rPr>
        <w:t>单位</w:t>
      </w:r>
      <w:r>
        <w:rPr>
          <w:rFonts w:hint="eastAsia" w:ascii="仿宋" w:hAnsi="仿宋" w:eastAsia="仿宋"/>
          <w:sz w:val="32"/>
          <w:szCs w:val="32"/>
        </w:rPr>
        <w:t>及所属事业单位的收支包含在</w:t>
      </w:r>
      <w:r>
        <w:rPr>
          <w:rFonts w:hint="eastAsia" w:ascii="仿宋" w:hAnsi="仿宋" w:eastAsia="仿宋"/>
          <w:sz w:val="32"/>
          <w:szCs w:val="32"/>
          <w:lang w:eastAsia="zh-CN"/>
        </w:rPr>
        <w:t>单位</w:t>
      </w:r>
      <w:r>
        <w:rPr>
          <w:rFonts w:hint="eastAsia" w:ascii="仿宋" w:hAnsi="仿宋" w:eastAsia="仿宋"/>
          <w:sz w:val="32"/>
          <w:szCs w:val="32"/>
        </w:rPr>
        <w:t>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2021年预算收入为</w:t>
      </w:r>
      <w:r>
        <w:rPr>
          <w:rFonts w:hint="eastAsia" w:ascii="仿宋" w:hAnsi="仿宋" w:eastAsia="仿宋"/>
          <w:sz w:val="32"/>
          <w:szCs w:val="32"/>
          <w:lang w:val="en-US" w:eastAsia="zh-CN"/>
        </w:rPr>
        <w:t>128.77</w:t>
      </w:r>
      <w:r>
        <w:rPr>
          <w:rFonts w:ascii="仿宋" w:hAnsi="仿宋" w:eastAsia="仿宋"/>
          <w:sz w:val="32"/>
          <w:szCs w:val="32"/>
        </w:rPr>
        <w:t>万元,其中：一般公共预算收入</w:t>
      </w:r>
      <w:r>
        <w:rPr>
          <w:rFonts w:hint="eastAsia" w:ascii="仿宋" w:hAnsi="仿宋" w:eastAsia="仿宋"/>
          <w:sz w:val="32"/>
          <w:szCs w:val="32"/>
          <w:lang w:val="en-US" w:eastAsia="zh-CN"/>
        </w:rPr>
        <w:t>128.77</w:t>
      </w:r>
      <w:r>
        <w:rPr>
          <w:rFonts w:ascii="仿宋" w:hAnsi="仿宋" w:eastAsia="仿宋"/>
          <w:sz w:val="32"/>
          <w:szCs w:val="32"/>
        </w:rPr>
        <w:t>万元，基金预算收入</w:t>
      </w:r>
      <w:r>
        <w:rPr>
          <w:rFonts w:hint="eastAsia" w:ascii="仿宋" w:hAnsi="仿宋" w:eastAsia="仿宋"/>
          <w:sz w:val="32"/>
          <w:szCs w:val="32"/>
          <w:lang w:val="en-US" w:eastAsia="zh-CN"/>
        </w:rPr>
        <w:t>0</w:t>
      </w:r>
      <w:r>
        <w:rPr>
          <w:rFonts w:ascii="仿宋" w:hAnsi="仿宋" w:eastAsia="仿宋"/>
          <w:sz w:val="32"/>
          <w:szCs w:val="32"/>
        </w:rPr>
        <w:t>万元，财政专户收入</w:t>
      </w:r>
      <w:r>
        <w:rPr>
          <w:rFonts w:hint="eastAsia" w:ascii="仿宋" w:hAnsi="仿宋" w:eastAsia="仿宋"/>
          <w:sz w:val="32"/>
          <w:szCs w:val="32"/>
          <w:lang w:val="en-US" w:eastAsia="zh-CN"/>
        </w:rPr>
        <w:t>0</w:t>
      </w:r>
      <w:r>
        <w:rPr>
          <w:rFonts w:ascii="仿宋" w:hAnsi="仿宋" w:eastAsia="仿宋"/>
          <w:sz w:val="32"/>
          <w:szCs w:val="32"/>
        </w:rPr>
        <w:t>万元，其他来源收入</w:t>
      </w:r>
      <w:r>
        <w:rPr>
          <w:rFonts w:hint="eastAsia" w:ascii="仿宋" w:hAnsi="仿宋" w:eastAsia="仿宋"/>
          <w:sz w:val="32"/>
          <w:szCs w:val="32"/>
          <w:lang w:val="en-US" w:eastAsia="zh-CN"/>
        </w:rPr>
        <w:t>0</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2021年</w:t>
      </w:r>
      <w:r>
        <w:rPr>
          <w:rFonts w:hint="eastAsia" w:ascii="仿宋" w:hAnsi="仿宋" w:eastAsia="仿宋"/>
          <w:sz w:val="32"/>
          <w:szCs w:val="32"/>
          <w:lang w:eastAsia="zh-CN"/>
        </w:rPr>
        <w:t>单位</w:t>
      </w:r>
      <w:r>
        <w:rPr>
          <w:rFonts w:ascii="仿宋" w:hAnsi="仿宋" w:eastAsia="仿宋"/>
          <w:sz w:val="32"/>
          <w:szCs w:val="32"/>
        </w:rPr>
        <w:t>支出预算：</w:t>
      </w:r>
      <w:r>
        <w:rPr>
          <w:rFonts w:hint="eastAsia" w:ascii="仿宋" w:hAnsi="仿宋" w:eastAsia="仿宋"/>
          <w:sz w:val="32"/>
          <w:szCs w:val="32"/>
          <w:lang w:val="en-US" w:eastAsia="zh-CN"/>
        </w:rPr>
        <w:t>128.77</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hint="eastAsia" w:ascii="仿宋" w:hAnsi="仿宋" w:eastAsia="仿宋"/>
          <w:sz w:val="32"/>
          <w:szCs w:val="32"/>
          <w:lang w:val="en-US" w:eastAsia="zh-CN"/>
        </w:rPr>
        <w:t>128.77</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lang w:val="en-US" w:eastAsia="zh-CN"/>
        </w:rPr>
        <w:t>124</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lang w:val="en-US" w:eastAsia="zh-CN"/>
        </w:rPr>
        <w:t>4.77</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hint="eastAsia" w:ascii="仿宋" w:hAnsi="仿宋" w:eastAsia="仿宋"/>
          <w:sz w:val="32"/>
          <w:szCs w:val="32"/>
          <w:lang w:val="en-US" w:eastAsia="zh-CN"/>
        </w:rPr>
        <w:t>0</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lang w:val="en-US" w:eastAsia="zh-CN"/>
        </w:rPr>
        <w:t>0</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hint="eastAsia" w:ascii="仿宋" w:hAnsi="仿宋" w:eastAsia="仿宋"/>
          <w:sz w:val="32"/>
          <w:szCs w:val="32"/>
          <w:lang w:val="en-US" w:eastAsia="zh-CN"/>
        </w:rPr>
        <w:t>128.77</w:t>
      </w:r>
      <w:r>
        <w:rPr>
          <w:rFonts w:hint="eastAsia" w:ascii="仿宋" w:hAnsi="仿宋" w:eastAsia="仿宋"/>
          <w:sz w:val="32"/>
          <w:szCs w:val="32"/>
        </w:rPr>
        <w:t>万元，较上年</w:t>
      </w:r>
      <w:r>
        <w:rPr>
          <w:rFonts w:hint="eastAsia" w:ascii="仿宋" w:hAnsi="仿宋" w:eastAsia="仿宋"/>
          <w:sz w:val="32"/>
          <w:szCs w:val="32"/>
          <w:lang w:eastAsia="zh-CN"/>
        </w:rPr>
        <w:t>增加</w:t>
      </w:r>
      <w:r>
        <w:rPr>
          <w:rFonts w:hint="eastAsia" w:ascii="仿宋" w:hAnsi="仿宋" w:eastAsia="仿宋"/>
          <w:sz w:val="32"/>
          <w:szCs w:val="32"/>
          <w:lang w:val="en-US" w:eastAsia="zh-CN"/>
        </w:rPr>
        <w:t>2.31</w:t>
      </w:r>
      <w:r>
        <w:rPr>
          <w:rFonts w:ascii="仿宋" w:hAnsi="仿宋" w:eastAsia="仿宋"/>
          <w:sz w:val="32"/>
          <w:szCs w:val="32"/>
        </w:rPr>
        <w:t>万元。其中:基本支出</w:t>
      </w:r>
      <w:r>
        <w:rPr>
          <w:rFonts w:hint="eastAsia" w:ascii="仿宋" w:hAnsi="仿宋" w:eastAsia="仿宋"/>
          <w:sz w:val="32"/>
          <w:szCs w:val="32"/>
          <w:lang w:eastAsia="zh-CN"/>
        </w:rPr>
        <w:t>增加</w:t>
      </w:r>
      <w:r>
        <w:rPr>
          <w:rFonts w:hint="eastAsia" w:ascii="仿宋" w:hAnsi="仿宋" w:eastAsia="仿宋"/>
          <w:sz w:val="32"/>
          <w:szCs w:val="32"/>
          <w:lang w:val="en-US" w:eastAsia="zh-CN"/>
        </w:rPr>
        <w:t>2.31</w:t>
      </w:r>
      <w:r>
        <w:rPr>
          <w:rFonts w:ascii="仿宋" w:hAnsi="仿宋" w:eastAsia="仿宋"/>
          <w:sz w:val="32"/>
          <w:szCs w:val="32"/>
        </w:rPr>
        <w:t>万元，主要原因是</w:t>
      </w:r>
      <w:r>
        <w:rPr>
          <w:rFonts w:hint="eastAsia" w:ascii="仿宋" w:hAnsi="仿宋" w:eastAsia="仿宋"/>
          <w:sz w:val="32"/>
          <w:szCs w:val="32"/>
        </w:rPr>
        <w:t>人员经费</w:t>
      </w:r>
      <w:r>
        <w:rPr>
          <w:rFonts w:hint="eastAsia" w:ascii="仿宋" w:hAnsi="仿宋" w:eastAsia="仿宋"/>
          <w:sz w:val="32"/>
          <w:szCs w:val="32"/>
          <w:lang w:eastAsia="zh-CN"/>
        </w:rPr>
        <w:t>增加</w:t>
      </w:r>
      <w:r>
        <w:rPr>
          <w:rFonts w:ascii="仿宋" w:hAnsi="仿宋" w:eastAsia="仿宋"/>
          <w:sz w:val="32"/>
          <w:szCs w:val="32"/>
        </w:rPr>
        <w:t>；项目支出</w:t>
      </w:r>
      <w:r>
        <w:rPr>
          <w:rFonts w:hint="eastAsia" w:ascii="仿宋" w:hAnsi="仿宋" w:eastAsia="仿宋"/>
          <w:sz w:val="32"/>
          <w:szCs w:val="32"/>
          <w:lang w:eastAsia="zh-CN"/>
        </w:rPr>
        <w:t>增加</w:t>
      </w:r>
      <w:r>
        <w:rPr>
          <w:rFonts w:hint="eastAsia" w:ascii="仿宋" w:hAnsi="仿宋" w:eastAsia="仿宋"/>
          <w:sz w:val="32"/>
          <w:szCs w:val="32"/>
          <w:lang w:val="en-US" w:eastAsia="zh-CN"/>
        </w:rPr>
        <w:t>0</w:t>
      </w:r>
      <w:r>
        <w:rPr>
          <w:rFonts w:ascii="仿宋" w:hAnsi="仿宋" w:eastAsia="仿宋"/>
          <w:sz w:val="32"/>
          <w:szCs w:val="32"/>
        </w:rPr>
        <w:t>万元，主要原因是</w:t>
      </w:r>
      <w:r>
        <w:rPr>
          <w:rFonts w:hint="eastAsia" w:ascii="仿宋" w:hAnsi="仿宋" w:eastAsia="仿宋"/>
          <w:sz w:val="32"/>
          <w:szCs w:val="32"/>
        </w:rPr>
        <w:t>本年无项目</w:t>
      </w:r>
      <w:r>
        <w:rPr>
          <w:rFonts w:ascii="仿宋" w:hAnsi="仿宋" w:eastAsia="仿宋"/>
          <w:sz w:val="32"/>
          <w:szCs w:val="32"/>
        </w:rPr>
        <w:t>。</w:t>
      </w:r>
    </w:p>
    <w:p>
      <w:pPr>
        <w:spacing w:line="360" w:lineRule="auto"/>
        <w:ind w:firstLine="640" w:firstLineChars="200"/>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b/>
          <w:sz w:val="32"/>
          <w:szCs w:val="32"/>
        </w:rPr>
      </w:pPr>
      <w:r>
        <w:rPr>
          <w:rFonts w:ascii="仿宋" w:hAnsi="仿宋" w:eastAsia="仿宋"/>
          <w:sz w:val="32"/>
          <w:szCs w:val="32"/>
        </w:rPr>
        <w:t>2021年我</w:t>
      </w:r>
      <w:r>
        <w:rPr>
          <w:rFonts w:hint="eastAsia" w:ascii="仿宋" w:hAnsi="仿宋" w:eastAsia="仿宋"/>
          <w:sz w:val="32"/>
          <w:szCs w:val="32"/>
          <w:lang w:eastAsia="zh-CN"/>
        </w:rPr>
        <w:t>单位</w:t>
      </w:r>
      <w:r>
        <w:rPr>
          <w:rFonts w:ascii="仿宋" w:hAnsi="仿宋" w:eastAsia="仿宋"/>
          <w:sz w:val="32"/>
          <w:szCs w:val="32"/>
        </w:rPr>
        <w:t>机关运行经费安排</w:t>
      </w:r>
      <w:r>
        <w:rPr>
          <w:rFonts w:hint="eastAsia" w:ascii="仿宋" w:hAnsi="仿宋" w:eastAsia="仿宋"/>
          <w:sz w:val="32"/>
          <w:szCs w:val="32"/>
          <w:lang w:val="en-US" w:eastAsia="zh-CN"/>
        </w:rPr>
        <w:t>4.77</w:t>
      </w:r>
      <w:r>
        <w:rPr>
          <w:rFonts w:ascii="仿宋" w:hAnsi="仿宋" w:eastAsia="仿宋"/>
          <w:sz w:val="32"/>
          <w:szCs w:val="32"/>
        </w:rPr>
        <w:t>万元，其中</w:t>
      </w:r>
      <w:r>
        <w:rPr>
          <w:rFonts w:hint="eastAsia" w:ascii="仿宋" w:hAnsi="仿宋" w:eastAsia="仿宋"/>
          <w:sz w:val="32"/>
          <w:szCs w:val="32"/>
          <w:lang w:eastAsia="zh-CN"/>
        </w:rPr>
        <w:t>办公费</w:t>
      </w:r>
      <w:r>
        <w:rPr>
          <w:rFonts w:hint="eastAsia" w:ascii="仿宋" w:hAnsi="仿宋" w:eastAsia="仿宋"/>
          <w:sz w:val="32"/>
          <w:szCs w:val="32"/>
          <w:lang w:val="en-US" w:eastAsia="zh-CN"/>
        </w:rPr>
        <w:t>2.7万元，</w:t>
      </w:r>
      <w:r>
        <w:rPr>
          <w:rFonts w:ascii="仿宋" w:hAnsi="仿宋" w:eastAsia="仿宋"/>
          <w:sz w:val="32"/>
          <w:szCs w:val="32"/>
        </w:rPr>
        <w:t>工会经费、福利费</w:t>
      </w:r>
      <w:r>
        <w:rPr>
          <w:rFonts w:hint="eastAsia" w:ascii="仿宋" w:hAnsi="仿宋" w:eastAsia="仿宋"/>
          <w:sz w:val="32"/>
          <w:szCs w:val="32"/>
          <w:lang w:val="en-US" w:eastAsia="zh-CN"/>
        </w:rPr>
        <w:t>2.01</w:t>
      </w:r>
      <w:r>
        <w:rPr>
          <w:rFonts w:ascii="仿宋" w:hAnsi="仿宋" w:eastAsia="仿宋"/>
          <w:sz w:val="32"/>
          <w:szCs w:val="32"/>
        </w:rPr>
        <w:t>万元</w:t>
      </w:r>
      <w:r>
        <w:rPr>
          <w:rFonts w:hint="eastAsia" w:ascii="仿宋" w:hAnsi="仿宋" w:eastAsia="仿宋"/>
          <w:sz w:val="32"/>
          <w:szCs w:val="32"/>
          <w:lang w:eastAsia="zh-CN"/>
        </w:rPr>
        <w:t>，</w:t>
      </w:r>
      <w:r>
        <w:rPr>
          <w:rFonts w:ascii="仿宋" w:hAnsi="仿宋" w:eastAsia="仿宋"/>
          <w:sz w:val="32"/>
          <w:szCs w:val="32"/>
        </w:rPr>
        <w:t>其他支出</w:t>
      </w:r>
      <w:r>
        <w:rPr>
          <w:rFonts w:hint="eastAsia" w:ascii="仿宋" w:hAnsi="仿宋" w:eastAsia="仿宋"/>
          <w:sz w:val="32"/>
          <w:szCs w:val="32"/>
        </w:rPr>
        <w:t>0</w:t>
      </w:r>
      <w:r>
        <w:rPr>
          <w:rFonts w:ascii="仿宋" w:hAnsi="仿宋" w:eastAsia="仿宋"/>
          <w:sz w:val="32"/>
          <w:szCs w:val="32"/>
        </w:rPr>
        <w:t>万元。</w:t>
      </w: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FF0000"/>
                      <w:kern w:val="0"/>
                      <w:sz w:val="24"/>
                      <w:szCs w:val="24"/>
                      <w:lang w:val="en-US" w:eastAsia="zh-CN"/>
                    </w:rPr>
                  </w:pPr>
                  <w:r>
                    <w:rPr>
                      <w:rFonts w:hint="eastAsia" w:ascii="仿宋_GB2312" w:hAnsi="宋体" w:eastAsia="仿宋_GB2312" w:cs="宋体"/>
                      <w:color w:val="FF0000"/>
                      <w:kern w:val="0"/>
                      <w:sz w:val="24"/>
                      <w:szCs w:val="24"/>
                      <w:lang w:val="en-US" w:eastAsia="zh-CN"/>
                    </w:rPr>
                    <w:t>0</w:t>
                  </w:r>
                </w:p>
              </w:tc>
              <w:tc>
                <w:tcPr>
                  <w:tcW w:w="141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FF0000"/>
                      <w:kern w:val="0"/>
                      <w:sz w:val="24"/>
                      <w:szCs w:val="24"/>
                      <w:lang w:val="en-US" w:eastAsia="zh-CN"/>
                    </w:rPr>
                  </w:pPr>
                  <w:r>
                    <w:rPr>
                      <w:rFonts w:hint="eastAsia" w:ascii="仿宋_GB2312" w:hAnsi="宋体" w:eastAsia="仿宋_GB2312" w:cs="宋体"/>
                      <w:color w:val="FF0000"/>
                      <w:kern w:val="0"/>
                      <w:sz w:val="24"/>
                      <w:szCs w:val="24"/>
                      <w:lang w:val="en-US" w:eastAsia="zh-CN"/>
                    </w:rPr>
                    <w:t>0</w:t>
                  </w:r>
                </w:p>
              </w:tc>
              <w:tc>
                <w:tcPr>
                  <w:tcW w:w="836"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FF0000"/>
                      <w:kern w:val="0"/>
                      <w:sz w:val="24"/>
                      <w:szCs w:val="24"/>
                      <w:lang w:val="en-US" w:eastAsia="zh-CN"/>
                    </w:rPr>
                  </w:pPr>
                  <w:r>
                    <w:rPr>
                      <w:rFonts w:hint="eastAsia" w:ascii="仿宋_GB2312" w:hAnsi="宋体" w:eastAsia="仿宋_GB2312" w:cs="宋体"/>
                      <w:color w:val="FF0000"/>
                      <w:kern w:val="0"/>
                      <w:sz w:val="24"/>
                      <w:szCs w:val="24"/>
                      <w:lang w:val="en-US" w:eastAsia="zh-CN"/>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FF0000"/>
                      <w:kern w:val="0"/>
                      <w:sz w:val="24"/>
                      <w:szCs w:val="24"/>
                      <w:lang w:val="en-US" w:eastAsia="zh-CN"/>
                    </w:rPr>
                  </w:pPr>
                  <w:r>
                    <w:rPr>
                      <w:rFonts w:hint="eastAsia" w:ascii="仿宋_GB2312" w:hAnsi="宋体" w:eastAsia="仿宋_GB2312" w:cs="宋体"/>
                      <w:color w:val="FF0000"/>
                      <w:kern w:val="0"/>
                      <w:sz w:val="24"/>
                      <w:szCs w:val="24"/>
                      <w:lang w:val="en-US" w:eastAsia="zh-CN"/>
                    </w:rPr>
                    <w:t>0</w:t>
                  </w:r>
                </w:p>
              </w:tc>
              <w:tc>
                <w:tcPr>
                  <w:tcW w:w="1418"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FF0000"/>
                      <w:kern w:val="0"/>
                      <w:sz w:val="24"/>
                      <w:szCs w:val="24"/>
                      <w:lang w:val="en-US" w:eastAsia="zh-CN"/>
                    </w:rPr>
                  </w:pPr>
                  <w:r>
                    <w:rPr>
                      <w:rFonts w:hint="eastAsia" w:ascii="仿宋_GB2312" w:hAnsi="宋体" w:eastAsia="仿宋_GB2312" w:cs="宋体"/>
                      <w:color w:val="FF0000"/>
                      <w:kern w:val="0"/>
                      <w:sz w:val="24"/>
                      <w:szCs w:val="24"/>
                      <w:lang w:val="en-US" w:eastAsia="zh-CN"/>
                    </w:rPr>
                    <w:t>0</w:t>
                  </w:r>
                </w:p>
              </w:tc>
              <w:tc>
                <w:tcPr>
                  <w:tcW w:w="836"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FF0000"/>
                      <w:kern w:val="0"/>
                      <w:sz w:val="24"/>
                      <w:szCs w:val="24"/>
                      <w:lang w:val="en-US" w:eastAsia="zh-CN"/>
                    </w:rPr>
                  </w:pPr>
                  <w:r>
                    <w:rPr>
                      <w:rFonts w:hint="eastAsia" w:ascii="仿宋_GB2312" w:hAnsi="宋体" w:eastAsia="仿宋_GB2312" w:cs="宋体"/>
                      <w:color w:val="FF0000"/>
                      <w:kern w:val="0"/>
                      <w:sz w:val="24"/>
                      <w:szCs w:val="24"/>
                      <w:lang w:val="en-US" w:eastAsia="zh-CN"/>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eastAsia="zh-CN"/>
                    </w:rPr>
                  </w:pPr>
                  <w:r>
                    <w:rPr>
                      <w:rFonts w:hint="eastAsia" w:ascii="仿宋_GB2312" w:hAnsi="宋体" w:eastAsia="仿宋_GB2312" w:cs="宋体"/>
                      <w:color w:val="FF0000"/>
                      <w:kern w:val="0"/>
                      <w:sz w:val="24"/>
                      <w:szCs w:val="24"/>
                      <w:lang w:val="en-US" w:eastAsia="zh-CN"/>
                    </w:rPr>
                    <w:t>0</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eastAsia="zh-CN"/>
                    </w:rPr>
                  </w:pPr>
                  <w:r>
                    <w:rPr>
                      <w:rFonts w:hint="eastAsia" w:ascii="仿宋_GB2312" w:hAnsi="宋体" w:eastAsia="仿宋_GB2312" w:cs="宋体"/>
                      <w:color w:val="FF0000"/>
                      <w:kern w:val="0"/>
                      <w:sz w:val="24"/>
                      <w:szCs w:val="24"/>
                      <w:lang w:val="en-US" w:eastAsia="zh-CN"/>
                    </w:rPr>
                    <w:t>0</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eastAsia="zh-CN"/>
                    </w:rPr>
                  </w:pPr>
                  <w:r>
                    <w:rPr>
                      <w:rFonts w:hint="eastAsia" w:ascii="仿宋_GB2312" w:hAnsi="宋体" w:eastAsia="仿宋_GB2312" w:cs="宋体"/>
                      <w:color w:val="FF0000"/>
                      <w:kern w:val="0"/>
                      <w:sz w:val="24"/>
                      <w:szCs w:val="24"/>
                      <w:lang w:val="en-US" w:eastAsia="zh-CN"/>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eastAsia="zh-CN"/>
                    </w:rPr>
                  </w:pPr>
                  <w:r>
                    <w:rPr>
                      <w:rFonts w:hint="eastAsia" w:ascii="仿宋_GB2312" w:hAnsi="宋体" w:eastAsia="仿宋_GB2312" w:cs="宋体"/>
                      <w:color w:val="FF0000"/>
                      <w:kern w:val="0"/>
                      <w:sz w:val="24"/>
                      <w:szCs w:val="24"/>
                      <w:lang w:val="en-US" w:eastAsia="zh-CN"/>
                    </w:rPr>
                    <w:t>0</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eastAsia="zh-CN"/>
                    </w:rPr>
                  </w:pPr>
                  <w:r>
                    <w:rPr>
                      <w:rFonts w:hint="eastAsia" w:ascii="仿宋_GB2312" w:hAnsi="宋体" w:eastAsia="仿宋_GB2312" w:cs="宋体"/>
                      <w:color w:val="FF0000"/>
                      <w:kern w:val="0"/>
                      <w:sz w:val="24"/>
                      <w:szCs w:val="24"/>
                      <w:lang w:val="en-US" w:eastAsia="zh-CN"/>
                    </w:rPr>
                    <w:t>0</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eastAsia="zh-CN"/>
                    </w:rPr>
                  </w:pPr>
                  <w:r>
                    <w:rPr>
                      <w:rFonts w:hint="eastAsia" w:ascii="仿宋_GB2312" w:hAnsi="宋体" w:eastAsia="仿宋_GB2312" w:cs="宋体"/>
                      <w:color w:val="FF0000"/>
                      <w:kern w:val="0"/>
                      <w:sz w:val="24"/>
                      <w:szCs w:val="24"/>
                      <w:lang w:val="en-US" w:eastAsia="zh-CN"/>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eastAsia="zh-CN"/>
                    </w:rPr>
                  </w:pPr>
                  <w:r>
                    <w:rPr>
                      <w:rFonts w:hint="eastAsia" w:ascii="仿宋_GB2312" w:hAnsi="宋体" w:eastAsia="仿宋_GB2312" w:cs="宋体"/>
                      <w:color w:val="FF0000"/>
                      <w:kern w:val="0"/>
                      <w:sz w:val="24"/>
                      <w:szCs w:val="24"/>
                      <w:lang w:val="en-US" w:eastAsia="zh-CN"/>
                    </w:rPr>
                    <w:t>0</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eastAsia="zh-CN"/>
                    </w:rPr>
                  </w:pPr>
                  <w:r>
                    <w:rPr>
                      <w:rFonts w:hint="eastAsia" w:ascii="仿宋_GB2312" w:hAnsi="宋体" w:eastAsia="仿宋_GB2312" w:cs="宋体"/>
                      <w:color w:val="FF0000"/>
                      <w:kern w:val="0"/>
                      <w:sz w:val="24"/>
                      <w:szCs w:val="24"/>
                      <w:lang w:val="en-US" w:eastAsia="zh-CN"/>
                    </w:rPr>
                    <w:t>0</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eastAsia="zh-CN"/>
                    </w:rPr>
                  </w:pPr>
                  <w:r>
                    <w:rPr>
                      <w:rFonts w:hint="eastAsia" w:ascii="仿宋_GB2312" w:hAnsi="宋体" w:eastAsia="仿宋_GB2312" w:cs="宋体"/>
                      <w:color w:val="FF0000"/>
                      <w:kern w:val="0"/>
                      <w:sz w:val="24"/>
                      <w:szCs w:val="24"/>
                      <w:lang w:val="en-US" w:eastAsia="zh-CN"/>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lang w:eastAsia="zh-CN"/>
        </w:rPr>
        <w:t>单位</w:t>
      </w:r>
      <w:r>
        <w:rPr>
          <w:rFonts w:hint="eastAsia" w:ascii="方正小标宋_GBK" w:eastAsia="方正小标宋_GBK"/>
          <w:sz w:val="44"/>
        </w:rPr>
        <w:t>整体</w:t>
      </w:r>
      <w:r>
        <w:rPr>
          <w:rFonts w:ascii="方正小标宋_GBK" w:eastAsia="方正小标宋_GBK"/>
          <w:sz w:val="44"/>
        </w:rPr>
        <w:t>绩效目标</w:t>
      </w:r>
    </w:p>
    <w:p>
      <w:pPr>
        <w:spacing w:before="156" w:beforeLines="50" w:after="156" w:afterLines="50"/>
        <w:ind w:firstLine="560" w:firstLineChars="200"/>
        <w:jc w:val="left"/>
        <w:outlineLvl w:val="1"/>
        <w:rPr>
          <w:rFonts w:ascii="Times New Roman" w:hAnsi="宋体" w:eastAsia="宋体"/>
          <w:sz w:val="28"/>
        </w:rPr>
      </w:pPr>
      <w:bookmarkStart w:id="1" w:name="_Toc66799011"/>
      <w:r>
        <w:rPr>
          <w:rFonts w:hint="eastAsia" w:ascii="方正黑体_GBK" w:eastAsia="方正黑体_GBK"/>
          <w:sz w:val="28"/>
        </w:rPr>
        <w:t>一、总体绩效目标</w:t>
      </w:r>
      <w:bookmarkEnd w:id="1"/>
      <w: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总体绩效目标 \f A \l 1</w:instrText>
      </w:r>
      <w:r>
        <w:rPr>
          <w:rFonts w:ascii="方正黑体_GBK" w:eastAsia="方正黑体_GBK"/>
          <w:sz w:val="28"/>
        </w:rPr>
        <w:instrText xml:space="preserve">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ascii="Times New Roman" w:eastAsia="方正仿宋_GBK"/>
          <w:sz w:val="28"/>
        </w:rPr>
        <w:t>以习近平新时代中国特色社会主义思想为指导，协调推进和督促落实党中央、省委、市委、区委关于审计工作的方针政策和决策部署，坚持审计“促改革、促发展”，做到“应审尽审、凡审必严、严肃问责”，努力构建集中统一、全面覆盖、权威高效的审计监督体系；坚持创新审计理念，及时揭示和反映经济社会各领域的新情况、新问题、新趋势，准确把握“三个区分开来”要求，推动建立健全容错纠错机制；坚持“党建强审、科技强审、改革强审”，加强审计机关自身建设，以审计精神立身、以创新规范立业、以自身建设立信；科学合理制定2020年审计项目计划，提出审计领域坚持党的领导、加强党的建设的政策建议，组织研究全区审计工作2020年发展规划、重大政策和改革方案，建设一支信念坚定、业务精通、作风务实、清正廉洁的高素质专业化审计干部队伍。</w:t>
      </w:r>
    </w:p>
    <w:p>
      <w:pPr>
        <w:spacing w:before="156" w:beforeLines="50" w:after="156" w:afterLines="50" w:line="500" w:lineRule="exact"/>
        <w:ind w:firstLine="560" w:firstLineChars="200"/>
        <w:jc w:val="left"/>
        <w:outlineLvl w:val="1"/>
        <w:rPr>
          <w:rFonts w:ascii="Times New Roman" w:hAnsi="宋体" w:eastAsia="宋体"/>
          <w:sz w:val="28"/>
        </w:rPr>
      </w:pPr>
      <w:bookmarkStart w:id="2" w:name="_Toc66799012"/>
      <w:r>
        <w:rPr>
          <w:rFonts w:ascii="方正黑体_GBK" w:eastAsia="方正黑体_GBK"/>
          <w:sz w:val="28"/>
        </w:rPr>
        <w:t>二、分项绩效目标</w:t>
      </w:r>
      <w:bookmarkEnd w:id="2"/>
      <w:r>
        <w:fldChar w:fldCharType="begin"/>
      </w:r>
      <w:r>
        <w:rPr>
          <w:rFonts w:ascii="方正黑体_GBK" w:eastAsia="方正黑体_GBK"/>
          <w:sz w:val="28"/>
        </w:rPr>
        <w:instrText xml:space="preserve"> TC 分项绩效目标 \f A \l 1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ascii="Times New Roman" w:eastAsia="方正仿宋_GBK"/>
          <w:sz w:val="28"/>
        </w:rPr>
        <w:t>（一）大力推进审计全覆盖，加大审计监督力度。</w:t>
      </w:r>
    </w:p>
    <w:p>
      <w:pPr>
        <w:spacing w:line="500" w:lineRule="exact"/>
        <w:ind w:firstLine="560" w:firstLineChars="200"/>
        <w:jc w:val="left"/>
        <w:rPr>
          <w:rFonts w:ascii="Times New Roman" w:eastAsia="方正仿宋_GBK"/>
          <w:sz w:val="28"/>
        </w:rPr>
      </w:pPr>
      <w:r>
        <w:rPr>
          <w:rFonts w:ascii="Times New Roman" w:eastAsia="方正仿宋_GBK"/>
          <w:sz w:val="28"/>
        </w:rPr>
        <w:t>绩效目标：改进审计模式和组织方式，创新审计理念，充分利用大数据的收集、整理、分析，实现审计全覆盖，消除监督盲区。加大审计监督力度，充分发挥审计监督作用，维护国家财政经济秩序，提高资金使用效益，促进廉政建设，保障全区经济和社会健康发展。</w:t>
      </w:r>
    </w:p>
    <w:p>
      <w:pPr>
        <w:spacing w:line="500" w:lineRule="exact"/>
        <w:ind w:firstLine="560" w:firstLineChars="200"/>
        <w:jc w:val="left"/>
        <w:rPr>
          <w:rFonts w:ascii="Times New Roman" w:eastAsia="方正仿宋_GBK"/>
          <w:sz w:val="28"/>
        </w:rPr>
      </w:pPr>
      <w:r>
        <w:rPr>
          <w:rFonts w:ascii="Times New Roman" w:eastAsia="方正仿宋_GBK"/>
          <w:sz w:val="28"/>
        </w:rPr>
        <w:t>绩效指标：审计计划完成率达到90%以上，重大政策落实跟踪审计部署完成率达到100%，保障审计程序合法合规，审计通知书按时送达，审计底稿取证合规，审计报告全部征求意见，审计档案及时归档。</w:t>
      </w:r>
    </w:p>
    <w:p>
      <w:pPr>
        <w:spacing w:line="500" w:lineRule="exact"/>
        <w:ind w:firstLine="560" w:firstLineChars="200"/>
        <w:jc w:val="left"/>
        <w:rPr>
          <w:rFonts w:ascii="Times New Roman" w:eastAsia="方正仿宋_GBK"/>
          <w:sz w:val="28"/>
        </w:rPr>
      </w:pPr>
      <w:r>
        <w:rPr>
          <w:rFonts w:ascii="Times New Roman" w:eastAsia="方正仿宋_GBK"/>
          <w:sz w:val="28"/>
        </w:rPr>
        <w:t>（二）大力推进审计工作统筹，提升审计效能。</w:t>
      </w:r>
    </w:p>
    <w:p>
      <w:pPr>
        <w:spacing w:line="500" w:lineRule="exact"/>
        <w:ind w:firstLine="560" w:firstLineChars="200"/>
        <w:jc w:val="left"/>
        <w:rPr>
          <w:rFonts w:ascii="Times New Roman" w:eastAsia="方正仿宋_GBK"/>
          <w:sz w:val="28"/>
        </w:rPr>
      </w:pPr>
      <w:r>
        <w:rPr>
          <w:rFonts w:ascii="Times New Roman" w:eastAsia="方正仿宋_GBK"/>
          <w:sz w:val="28"/>
        </w:rPr>
        <w:t>绩效目标：强化上级审计机关对下级审计机关的领导，加快形成审计工作一盘棋；加强审计项目审计组织方式 “两统筹”，保障审计项目的质量；优化资源配置，建立健全全区内部审计机构建设，监督内部审计职责履行情况，检查内部审计业务质量；通过向社会购买服务的方式，合理运用内部审计和社会审计力量，形成审计监督合力。</w:t>
      </w:r>
    </w:p>
    <w:p>
      <w:pPr>
        <w:spacing w:line="500" w:lineRule="exact"/>
        <w:ind w:firstLine="560" w:firstLineChars="200"/>
        <w:jc w:val="left"/>
        <w:rPr>
          <w:rFonts w:ascii="Times New Roman" w:eastAsia="方正仿宋_GBK"/>
          <w:sz w:val="28"/>
        </w:rPr>
      </w:pPr>
      <w:r>
        <w:rPr>
          <w:rFonts w:ascii="Times New Roman" w:eastAsia="方正仿宋_GBK"/>
          <w:sz w:val="28"/>
        </w:rPr>
        <w:t>绩效指标：审计项目数量达到17个以上，其中：重大审计项目完成1个以上。</w:t>
      </w:r>
    </w:p>
    <w:p>
      <w:pPr>
        <w:spacing w:line="500" w:lineRule="exact"/>
        <w:ind w:firstLine="560" w:firstLineChars="200"/>
        <w:jc w:val="left"/>
        <w:rPr>
          <w:rFonts w:ascii="Times New Roman" w:eastAsia="方正仿宋_GBK"/>
          <w:sz w:val="28"/>
        </w:rPr>
      </w:pPr>
      <w:r>
        <w:rPr>
          <w:rFonts w:ascii="Times New Roman" w:eastAsia="方正仿宋_GBK"/>
          <w:sz w:val="28"/>
        </w:rPr>
        <w:t>（三）大力推进审计成果应用，彰显审计价值。</w:t>
      </w:r>
    </w:p>
    <w:p>
      <w:pPr>
        <w:spacing w:line="500" w:lineRule="exact"/>
        <w:ind w:firstLine="560" w:firstLineChars="200"/>
        <w:jc w:val="left"/>
        <w:rPr>
          <w:rFonts w:ascii="Times New Roman" w:eastAsia="方正仿宋_GBK"/>
          <w:sz w:val="28"/>
        </w:rPr>
      </w:pPr>
      <w:r>
        <w:rPr>
          <w:rFonts w:ascii="Times New Roman" w:eastAsia="方正仿宋_GBK"/>
          <w:sz w:val="28"/>
        </w:rPr>
        <w:t>绩效目标：审计成果运用是审计工作非常重要的一环。通过提炼审计工作经验、推广制度创新做法，进行经验交流和学习，促使审计机关、审计人员共同进步；通过提出或采取相关措施，推动被审计单位对审计发现的问题进行整改或进行体制、机制、制度的完善，为区委、区政府决策提供依据。</w:t>
      </w:r>
    </w:p>
    <w:p>
      <w:pPr>
        <w:spacing w:line="500" w:lineRule="exact"/>
        <w:ind w:firstLine="560" w:firstLineChars="200"/>
        <w:jc w:val="left"/>
        <w:rPr>
          <w:rFonts w:ascii="Times New Roman" w:eastAsia="方正仿宋_GBK"/>
          <w:sz w:val="28"/>
        </w:rPr>
      </w:pPr>
      <w:r>
        <w:rPr>
          <w:rFonts w:ascii="Times New Roman" w:eastAsia="方正仿宋_GBK"/>
          <w:sz w:val="28"/>
        </w:rPr>
        <w:t>绩效指标：审计问题整改率达到85%以上。</w:t>
      </w:r>
    </w:p>
    <w:p>
      <w:pPr>
        <w:spacing w:before="156" w:beforeLines="50" w:after="156" w:afterLines="50" w:line="500" w:lineRule="exact"/>
        <w:ind w:firstLine="560" w:firstLineChars="200"/>
        <w:jc w:val="left"/>
        <w:outlineLvl w:val="1"/>
        <w:rPr>
          <w:rFonts w:ascii="Times New Roman" w:hAnsi="宋体" w:eastAsia="宋体"/>
          <w:sz w:val="28"/>
        </w:rPr>
      </w:pPr>
      <w:bookmarkStart w:id="3" w:name="_Toc66799013"/>
      <w:r>
        <w:rPr>
          <w:rFonts w:ascii="方正黑体_GBK" w:eastAsia="方正黑体_GBK"/>
          <w:sz w:val="28"/>
        </w:rPr>
        <w:t>三、工作保障措施</w:t>
      </w:r>
      <w:bookmarkEnd w:id="3"/>
      <w:r>
        <w:fldChar w:fldCharType="begin"/>
      </w:r>
      <w:r>
        <w:rPr>
          <w:rFonts w:ascii="方正黑体_GBK" w:eastAsia="方正黑体_GBK"/>
          <w:sz w:val="28"/>
        </w:rPr>
        <w:instrText xml:space="preserve"> TC 工作保障措施 \f A \l 1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（一）完善制度建设。</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始终把预算绩效工作列入年度工作计划，将事前评估、目标管理、运行监控、绩效评价、结果应用等有效融入预算管理的全过程。根据</w:t>
      </w:r>
      <w:r>
        <w:rPr>
          <w:rFonts w:hint="eastAsia" w:ascii="Times New Roman" w:hAnsi="微软雅黑" w:eastAsia="方正仿宋_GBK" w:cs="微软雅黑"/>
          <w:sz w:val="28"/>
          <w:lang w:eastAsia="zh-CN"/>
        </w:rPr>
        <w:t>单位</w:t>
      </w:r>
      <w:r>
        <w:rPr>
          <w:rFonts w:hint="eastAsia" w:ascii="Times New Roman" w:hAnsi="微软雅黑" w:eastAsia="方正仿宋_GBK" w:cs="微软雅黑"/>
          <w:sz w:val="28"/>
        </w:rPr>
        <w:t>职责和评价项目特点，对照预算文本和设定的绩效目标，制定预算绩效管理的具体工作方案。成立预算绩效工作领导小组，按照绩效工作实施方案规定的程序和内容，对预算项目绩效目标和绩效指标的完成情况，通过核实数据、现场比对，进行绩效分析和评价，发现问题及时采取措施，明确责任主体。</w:t>
      </w:r>
      <w:r>
        <w:rPr>
          <w:rFonts w:ascii="Times New Roman" w:eastAsia="方正仿宋_GBK"/>
          <w:sz w:val="28"/>
        </w:rPr>
        <w:t xml:space="preserve"> </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（二）加强支出管理。</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优化</w:t>
      </w:r>
      <w:r>
        <w:rPr>
          <w:rFonts w:hint="eastAsia" w:ascii="Times New Roman" w:hAnsi="微软雅黑" w:eastAsia="方正仿宋_GBK" w:cs="微软雅黑"/>
          <w:sz w:val="28"/>
          <w:lang w:eastAsia="zh-CN"/>
        </w:rPr>
        <w:t>单位</w:t>
      </w:r>
      <w:r>
        <w:rPr>
          <w:rFonts w:hint="eastAsia" w:ascii="Times New Roman" w:hAnsi="微软雅黑" w:eastAsia="方正仿宋_GBK" w:cs="微软雅黑"/>
          <w:sz w:val="28"/>
        </w:rPr>
        <w:t>预算支出结构，合理制定支出方式，及时启动预算项目，及时支付资金，加快履行政府采购程序，确保按照时间节点完成支付进度，严格绩效目标考核，更好地发挥财政资金的使用效益。</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（三）加强绩效运行监控。</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按要求开展绩效运行监控，对绩效运行情况、重大支出、资产处置及其他重要经济业务事项经党组研究批准后执行，确保财政资金安全有效，发现问题及时采取措施，确保绩效目标如期保质实现。</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（四）做好绩效自评。</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按要求开展</w:t>
      </w:r>
      <w:r>
        <w:rPr>
          <w:rFonts w:hint="eastAsia" w:ascii="Times New Roman" w:hAnsi="微软雅黑" w:eastAsia="方正仿宋_GBK" w:cs="微软雅黑"/>
          <w:sz w:val="28"/>
          <w:lang w:eastAsia="zh-CN"/>
        </w:rPr>
        <w:t>单位</w:t>
      </w:r>
      <w:r>
        <w:rPr>
          <w:rFonts w:hint="eastAsia" w:ascii="Times New Roman" w:hAnsi="微软雅黑" w:eastAsia="方正仿宋_GBK" w:cs="微软雅黑"/>
          <w:sz w:val="28"/>
        </w:rPr>
        <w:t>预算绩效自评和重点评价工作。各</w:t>
      </w:r>
      <w:r>
        <w:rPr>
          <w:rFonts w:hint="eastAsia" w:ascii="Times New Roman" w:hAnsi="微软雅黑" w:eastAsia="方正仿宋_GBK" w:cs="微软雅黑"/>
          <w:sz w:val="28"/>
          <w:lang w:eastAsia="zh-CN"/>
        </w:rPr>
        <w:t>单位</w:t>
      </w:r>
      <w:r>
        <w:rPr>
          <w:rFonts w:hint="eastAsia" w:ascii="Times New Roman" w:hAnsi="微软雅黑" w:eastAsia="方正仿宋_GBK" w:cs="微软雅黑"/>
          <w:sz w:val="28"/>
        </w:rPr>
        <w:t>是项目支出绩效的直接责任主体，要对年度内承担的预算项目进行绩效评价，按要求提交绩效评价报告。必要时聘请第三方力量，成立专门的绩效评价工作小组，制定科学规范的评价办法，对项目资金支出的经济性、效率性以及绩效目标的实现程度进行全方位评价，及时发现存在的问题，及时整改，调整优化支出结构，提高财政资金使用效益。</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（五）规范财务资产管理。</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坚持</w:t>
      </w:r>
      <w:r>
        <w:rPr>
          <w:rFonts w:ascii="Times New Roman" w:eastAsia="方正仿宋_GBK"/>
          <w:sz w:val="28"/>
        </w:rPr>
        <w:t xml:space="preserve"> “</w:t>
      </w:r>
      <w:r>
        <w:rPr>
          <w:rFonts w:hint="eastAsia" w:ascii="Times New Roman" w:hAnsi="微软雅黑" w:eastAsia="方正仿宋_GBK" w:cs="微软雅黑"/>
          <w:sz w:val="28"/>
        </w:rPr>
        <w:t>统一领导、归口负责、分级管理、责任到人</w:t>
      </w:r>
      <w:r>
        <w:rPr>
          <w:rFonts w:ascii="Times New Roman" w:eastAsia="方正仿宋_GBK"/>
          <w:sz w:val="28"/>
        </w:rPr>
        <w:t>”</w:t>
      </w:r>
      <w:r>
        <w:rPr>
          <w:rFonts w:hint="eastAsia" w:ascii="Times New Roman" w:hAnsi="微软雅黑" w:eastAsia="方正仿宋_GBK" w:cs="微软雅黑"/>
          <w:sz w:val="28"/>
        </w:rPr>
        <w:t>的财务管理制度，严格执行</w:t>
      </w:r>
      <w:r>
        <w:rPr>
          <w:rFonts w:hint="eastAsia" w:ascii="Times New Roman" w:hAnsi="微软雅黑" w:eastAsia="方正仿宋_GBK" w:cs="微软雅黑"/>
          <w:sz w:val="28"/>
          <w:lang w:eastAsia="zh-CN"/>
        </w:rPr>
        <w:t>单位</w:t>
      </w:r>
      <w:r>
        <w:rPr>
          <w:rFonts w:hint="eastAsia" w:ascii="Times New Roman" w:hAnsi="微软雅黑" w:eastAsia="方正仿宋_GBK" w:cs="微软雅黑"/>
          <w:sz w:val="28"/>
        </w:rPr>
        <w:t>财务管理办法和</w:t>
      </w:r>
      <w:r>
        <w:rPr>
          <w:rFonts w:hint="eastAsia" w:ascii="Times New Roman" w:hAnsi="微软雅黑" w:eastAsia="方正仿宋_GBK" w:cs="微软雅黑"/>
          <w:sz w:val="28"/>
          <w:lang w:eastAsia="zh-CN"/>
        </w:rPr>
        <w:t>单位</w:t>
      </w:r>
      <w:r>
        <w:rPr>
          <w:rFonts w:hint="eastAsia" w:ascii="Times New Roman" w:hAnsi="微软雅黑" w:eastAsia="方正仿宋_GBK" w:cs="微软雅黑"/>
          <w:sz w:val="28"/>
        </w:rPr>
        <w:t>固定资产管理暂行规定。严格报销审核程序，强化内部控制，把资产管理与绩效管理有机结合起来，实现</w:t>
      </w:r>
      <w:r>
        <w:rPr>
          <w:rFonts w:ascii="Times New Roman" w:eastAsia="方正仿宋_GBK"/>
          <w:sz w:val="28"/>
        </w:rPr>
        <w:t>“</w:t>
      </w:r>
      <w:r>
        <w:rPr>
          <w:rFonts w:hint="eastAsia" w:ascii="Times New Roman" w:hAnsi="微软雅黑" w:eastAsia="方正仿宋_GBK" w:cs="微软雅黑"/>
          <w:sz w:val="28"/>
        </w:rPr>
        <w:t>定项目就要抓绩效</w:t>
      </w:r>
      <w:r>
        <w:rPr>
          <w:rFonts w:ascii="Times New Roman" w:eastAsia="方正仿宋_GBK"/>
          <w:sz w:val="28"/>
        </w:rPr>
        <w:t>”</w:t>
      </w:r>
      <w:r>
        <w:rPr>
          <w:rFonts w:hint="eastAsia" w:ascii="Times New Roman" w:hAnsi="微软雅黑" w:eastAsia="方正仿宋_GBK" w:cs="微软雅黑"/>
          <w:sz w:val="28"/>
        </w:rPr>
        <w:t>、</w:t>
      </w:r>
      <w:r>
        <w:rPr>
          <w:rFonts w:ascii="Times New Roman" w:eastAsia="方正仿宋_GBK"/>
          <w:sz w:val="28"/>
        </w:rPr>
        <w:t>“</w:t>
      </w:r>
      <w:r>
        <w:rPr>
          <w:rFonts w:hint="eastAsia" w:ascii="Times New Roman" w:hAnsi="微软雅黑" w:eastAsia="方正仿宋_GBK" w:cs="微软雅黑"/>
          <w:sz w:val="28"/>
        </w:rPr>
        <w:t>有资金就要有绩效</w:t>
      </w:r>
      <w:r>
        <w:rPr>
          <w:rFonts w:ascii="Times New Roman" w:eastAsia="方正仿宋_GBK"/>
          <w:sz w:val="28"/>
        </w:rPr>
        <w:t>”</w:t>
      </w:r>
      <w:r>
        <w:rPr>
          <w:rFonts w:hint="eastAsia" w:ascii="Times New Roman" w:hAnsi="微软雅黑" w:eastAsia="方正仿宋_GBK" w:cs="微软雅黑"/>
          <w:sz w:val="28"/>
        </w:rPr>
        <w:t>，确保绩效与业务工作紧密衔接。在资产管理方面，设置专职资产管理员，资产购置严格执行</w:t>
      </w:r>
      <w:r>
        <w:rPr>
          <w:rFonts w:ascii="Times New Roman" w:eastAsia="方正仿宋_GBK"/>
          <w:sz w:val="28"/>
        </w:rPr>
        <w:t>“</w:t>
      </w:r>
      <w:r>
        <w:rPr>
          <w:rFonts w:hint="eastAsia" w:ascii="Times New Roman" w:hAnsi="微软雅黑" w:eastAsia="方正仿宋_GBK" w:cs="微软雅黑"/>
          <w:sz w:val="28"/>
        </w:rPr>
        <w:t>先有预算后支出</w:t>
      </w:r>
      <w:r>
        <w:rPr>
          <w:rFonts w:ascii="Times New Roman" w:eastAsia="方正仿宋_GBK"/>
          <w:sz w:val="28"/>
        </w:rPr>
        <w:t>”</w:t>
      </w:r>
      <w:r>
        <w:rPr>
          <w:rFonts w:hint="eastAsia" w:ascii="Times New Roman" w:hAnsi="微软雅黑" w:eastAsia="方正仿宋_GBK" w:cs="微软雅黑"/>
          <w:sz w:val="28"/>
        </w:rPr>
        <w:t>的规定，保证资产卡片及时录入、信息完整，定期组织资产清查和盘点，做到账实相符、账账相符。对已毁损或需报废资产严格按程序审批，将绩效管理成果落到实处。</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（六）加强内部监督。</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加强内部监督制度建设，对绩效运行情况、重大支出决策、资产处置及其他重要经济业务事项的决策和执行进行督导，对会计资料进行内部审计，并配合做好审计、财政监督等外部监督工作，确保财政资金安全有效。</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（七）加强宣传培训调研等。</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通过专题培训、交流考察、集中培训、自我学习等多种形式，对绩效管理岗位上的人员进行业务培训和指导，加大预算绩效管理培训力度；注重运用互联网、自媒体等信息平台，扩大培训范围，树立绩效理念、熟悉绩效管理流程、掌握绩效评价方法、提升绩效管理能力。</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加大绩效管理的宣传力度，宣传工作要贯穿预算绩效管理始终。将预算绩效管理的成功经验和先进做法，进行重点宣传。强化</w:t>
      </w:r>
      <w:r>
        <w:rPr>
          <w:rFonts w:ascii="Times New Roman" w:eastAsia="方正仿宋_GBK"/>
          <w:sz w:val="28"/>
        </w:rPr>
        <w:t>“</w:t>
      </w:r>
      <w:r>
        <w:rPr>
          <w:rFonts w:hint="eastAsia" w:ascii="Times New Roman" w:hAnsi="微软雅黑" w:eastAsia="方正仿宋_GBK" w:cs="微软雅黑"/>
          <w:sz w:val="28"/>
        </w:rPr>
        <w:t>用钱必问效，无效必问责</w:t>
      </w:r>
      <w:r>
        <w:rPr>
          <w:rFonts w:ascii="Times New Roman" w:eastAsia="方正仿宋_GBK"/>
          <w:sz w:val="28"/>
        </w:rPr>
        <w:t>”</w:t>
      </w:r>
      <w:r>
        <w:rPr>
          <w:rFonts w:hint="eastAsia" w:ascii="Times New Roman" w:hAnsi="微软雅黑" w:eastAsia="方正仿宋_GBK" w:cs="微软雅黑"/>
          <w:sz w:val="28"/>
        </w:rPr>
        <w:t>的绩效管理理念，使绩效评价转化为自下而上的自觉行动。</w:t>
      </w:r>
    </w:p>
    <w:p>
      <w:pPr>
        <w:spacing w:line="360" w:lineRule="auto"/>
        <w:ind w:firstLine="640" w:firstLineChars="200"/>
        <w:rPr>
          <w:rFonts w:ascii="仿宋" w:hAnsi="仿宋" w:eastAsia="仿宋"/>
          <w:sz w:val="32"/>
          <w:szCs w:val="32"/>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pPr>
        <w:spacing w:line="360" w:lineRule="auto"/>
        <w:ind w:firstLine="640" w:firstLineChars="200"/>
        <w:rPr>
          <w:rFonts w:ascii="仿宋" w:hAnsi="仿宋" w:eastAsia="仿宋"/>
          <w:sz w:val="32"/>
          <w:szCs w:val="32"/>
        </w:rPr>
      </w:pPr>
    </w:p>
    <w:p>
      <w:pPr>
        <w:ind w:firstLine="562" w:firstLineChars="200"/>
        <w:jc w:val="left"/>
        <w:outlineLvl w:val="3"/>
        <w:rPr>
          <w:rFonts w:ascii="Times New Roman" w:hAnsi="宋体" w:eastAsia="宋体"/>
          <w:b/>
          <w:sz w:val="28"/>
        </w:rPr>
      </w:pPr>
      <w:bookmarkStart w:id="4" w:name="_Toc66799014"/>
      <w:r>
        <w:rPr>
          <w:rFonts w:ascii="方正仿宋_GBK" w:eastAsia="方正仿宋_GBK"/>
          <w:b/>
          <w:sz w:val="28"/>
        </w:rPr>
        <w:t>1.国家建设项目审计绩效目标表</w:t>
      </w:r>
      <w:bookmarkEnd w:id="4"/>
      <w:r>
        <w:fldChar w:fldCharType="begin"/>
      </w:r>
      <w:r>
        <w:rPr>
          <w:rFonts w:ascii="方正仿宋_GBK" w:eastAsia="方正仿宋_GBK"/>
          <w:b/>
          <w:sz w:val="28"/>
        </w:rPr>
        <w:instrText xml:space="preserve"> TC 1、国家建设项目审计绩效目标表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r>
              <w:rPr>
                <w:rFonts w:ascii="方正书宋_GBK" w:eastAsia="方正书宋_GBK"/>
                <w:b/>
              </w:rPr>
              <w:t>319001审计局本级</w:t>
            </w: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13062521GGPVW1VHVN0KF</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ascii="方正书宋_GBK" w:eastAsia="方正书宋_GBK"/>
              </w:rPr>
              <w:t>国家建设项目审计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110000.00</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110000.00</w:t>
            </w:r>
          </w:p>
        </w:tc>
        <w:tc>
          <w:tcPr>
            <w:tcW w:w="1276"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3"/>
            </w:pPr>
          </w:p>
        </w:tc>
        <w:tc>
          <w:tcPr>
            <w:tcW w:w="8278" w:type="dxa"/>
            <w:gridSpan w:val="6"/>
            <w:shd w:val="clear" w:color="auto" w:fill="auto"/>
            <w:noWrap w:val="0"/>
            <w:vAlign w:val="center"/>
          </w:tcPr>
          <w:p>
            <w:pPr>
              <w:spacing w:line="300" w:lineRule="exact"/>
              <w:jc w:val="left"/>
              <w:rPr>
                <w:rFonts w:ascii="方正书宋_GBK" w:eastAsia="方正书宋_GBK"/>
              </w:rPr>
            </w:pPr>
            <w:r>
              <w:rPr>
                <w:rFonts w:ascii="方正书宋_GBK" w:eastAsia="方正书宋_GBK"/>
              </w:rPr>
              <w:t>用于发放国家建设项目审计监督过程中的劳务费，计划自2021年1月-12月实施。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3"/>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1.维护国家财政经济秩序，保障国民经济的健康发展。</w:t>
            </w:r>
          </w:p>
          <w:p>
            <w:pPr>
              <w:spacing w:line="300" w:lineRule="exact"/>
              <w:jc w:val="left"/>
              <w:rPr>
                <w:rFonts w:ascii="方正书宋_GBK" w:eastAsia="方正书宋_GBK"/>
              </w:rPr>
            </w:pPr>
            <w:r>
              <w:rPr>
                <w:rFonts w:ascii="方正书宋_GBK" w:eastAsia="方正书宋_GBK"/>
              </w:rPr>
              <w:t>2.保障建设项目财政、财务收支真实、合法和效益。</w:t>
            </w:r>
          </w:p>
          <w:p>
            <w:pPr>
              <w:spacing w:line="300" w:lineRule="exact"/>
              <w:jc w:val="left"/>
              <w:rPr>
                <w:rFonts w:ascii="方正书宋_GBK" w:eastAsia="方正书宋_GBK"/>
              </w:rPr>
            </w:pPr>
            <w:r>
              <w:rPr>
                <w:rFonts w:ascii="方正书宋_GBK" w:eastAsia="方正书宋_GBK"/>
              </w:rPr>
              <w:t>3.及时支付审计监督过程中的劳务费，保障审计项目正常进行。</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实际开展监督检查的对象数量占应监管对象总数的比率（百分比）</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ascii="方正书宋_GBK" w:eastAsia="方正书宋_GBK"/>
              </w:rPr>
            </w:pPr>
          </w:p>
        </w:tc>
        <w:tc>
          <w:tcPr>
            <w:tcW w:w="113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查出问题整改率</w:t>
            </w:r>
          </w:p>
        </w:tc>
        <w:tc>
          <w:tcPr>
            <w:tcW w:w="28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查出问题整改率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ascii="方正书宋_GBK" w:eastAsia="方正书宋_GBK"/>
              </w:rPr>
            </w:pPr>
          </w:p>
        </w:tc>
        <w:tc>
          <w:tcPr>
            <w:tcW w:w="113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按照要求完成的任务在所有任务中的比例（百分比）</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ascii="方正书宋_GBK" w:eastAsia="方正书宋_GBK"/>
              </w:rPr>
            </w:pPr>
          </w:p>
        </w:tc>
        <w:tc>
          <w:tcPr>
            <w:tcW w:w="113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项目资金支付率</w:t>
            </w:r>
          </w:p>
        </w:tc>
        <w:tc>
          <w:tcPr>
            <w:tcW w:w="28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项目资金支付率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在全国或全省产生的重要影响，得到广大受众的充分认可。</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5" w:name="_Toc66799015"/>
      <w:r>
        <w:rPr>
          <w:rFonts w:ascii="方正仿宋_GBK" w:eastAsia="方正仿宋_GBK"/>
          <w:b/>
          <w:sz w:val="28"/>
        </w:rPr>
        <w:t>2.经济责任审计绩效目标表</w:t>
      </w:r>
      <w:bookmarkEnd w:id="5"/>
      <w:r>
        <w:fldChar w:fldCharType="begin"/>
      </w:r>
      <w:r>
        <w:rPr>
          <w:rFonts w:ascii="方正仿宋_GBK" w:eastAsia="方正仿宋_GBK"/>
          <w:b/>
          <w:sz w:val="28"/>
        </w:rPr>
        <w:instrText xml:space="preserve"> TC 2、经济责任审计绩效目标表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r>
              <w:rPr>
                <w:rFonts w:ascii="方正书宋_GBK" w:eastAsia="方正书宋_GBK"/>
                <w:b/>
              </w:rPr>
              <w:t>319001审计局本级</w:t>
            </w: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13062521KXTYESE41XSAC</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ascii="方正书宋_GBK" w:eastAsia="方正书宋_GBK"/>
              </w:rPr>
              <w:t>经济责任审计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110900.00</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110900.00</w:t>
            </w:r>
          </w:p>
        </w:tc>
        <w:tc>
          <w:tcPr>
            <w:tcW w:w="1276"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3"/>
            </w:pPr>
          </w:p>
        </w:tc>
        <w:tc>
          <w:tcPr>
            <w:tcW w:w="8278" w:type="dxa"/>
            <w:gridSpan w:val="6"/>
            <w:shd w:val="clear" w:color="auto" w:fill="auto"/>
            <w:noWrap w:val="0"/>
            <w:vAlign w:val="center"/>
          </w:tcPr>
          <w:p>
            <w:pPr>
              <w:spacing w:line="300" w:lineRule="exact"/>
              <w:jc w:val="left"/>
              <w:rPr>
                <w:rFonts w:ascii="方正书宋_GBK" w:eastAsia="方正书宋_GBK"/>
              </w:rPr>
            </w:pPr>
            <w:r>
              <w:rPr>
                <w:rFonts w:ascii="方正书宋_GBK" w:eastAsia="方正书宋_GBK"/>
              </w:rPr>
              <w:t>用于开展经济责任审计项目，计划2021年1月-12月实施。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3"/>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1.维护国家财政经济秩序，促进廉政建设，保障国民经济的健康发展。</w:t>
            </w:r>
          </w:p>
          <w:p>
            <w:pPr>
              <w:spacing w:line="300" w:lineRule="exact"/>
              <w:jc w:val="left"/>
              <w:rPr>
                <w:rFonts w:ascii="方正书宋_GBK" w:eastAsia="方正书宋_GBK"/>
              </w:rPr>
            </w:pPr>
            <w:r>
              <w:rPr>
                <w:rFonts w:ascii="方正书宋_GBK" w:eastAsia="方正书宋_GBK"/>
              </w:rPr>
              <w:t>2.监督单位负责人在任职期间的财政收支、财务收支及其他经济活动的真实性、合法性。</w:t>
            </w:r>
          </w:p>
          <w:p>
            <w:pPr>
              <w:spacing w:line="300" w:lineRule="exact"/>
              <w:jc w:val="left"/>
              <w:rPr>
                <w:rFonts w:ascii="方正书宋_GBK" w:eastAsia="方正书宋_GBK"/>
              </w:rPr>
            </w:pPr>
            <w:r>
              <w:rPr>
                <w:rFonts w:ascii="方正书宋_GBK" w:eastAsia="方正书宋_GBK"/>
              </w:rPr>
              <w:t>3.监督被审计单位财政、财务收支的真实性、合法性。</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实际开展监督检查的对象数量占应监管对象总数的比率（百分比）</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ascii="方正书宋_GBK" w:eastAsia="方正书宋_GBK"/>
              </w:rPr>
            </w:pPr>
          </w:p>
        </w:tc>
        <w:tc>
          <w:tcPr>
            <w:tcW w:w="113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查出问题整改率</w:t>
            </w:r>
          </w:p>
        </w:tc>
        <w:tc>
          <w:tcPr>
            <w:tcW w:w="28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查出问题整改率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ascii="方正书宋_GBK" w:eastAsia="方正书宋_GBK"/>
              </w:rPr>
            </w:pPr>
          </w:p>
        </w:tc>
        <w:tc>
          <w:tcPr>
            <w:tcW w:w="113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按照要求完成的任务在所有任务中的比例（百分比）</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ascii="方正书宋_GBK" w:eastAsia="方正书宋_GBK"/>
              </w:rPr>
            </w:pPr>
          </w:p>
        </w:tc>
        <w:tc>
          <w:tcPr>
            <w:tcW w:w="113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项目资金支付率</w:t>
            </w:r>
          </w:p>
        </w:tc>
        <w:tc>
          <w:tcPr>
            <w:tcW w:w="28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项目资金支付率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社会影响力</w:t>
            </w:r>
            <w:r>
              <w:rPr>
                <w:rFonts w:ascii="方正书宋_GBK" w:eastAsia="方正书宋_GBK"/>
              </w:rPr>
              <w:tab/>
            </w:r>
          </w:p>
        </w:tc>
        <w:tc>
          <w:tcPr>
            <w:tcW w:w="28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在全国或全省产生的重要影响，得到广大受众的充分认可。</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6" w:name="_Toc66799016"/>
      <w:r>
        <w:rPr>
          <w:rFonts w:ascii="方正仿宋_GBK" w:eastAsia="方正仿宋_GBK"/>
          <w:b/>
          <w:sz w:val="28"/>
        </w:rPr>
        <w:t>3.汽车租赁经费绩效目标表</w:t>
      </w:r>
      <w:bookmarkEnd w:id="6"/>
      <w:r>
        <w:fldChar w:fldCharType="begin"/>
      </w:r>
      <w:r>
        <w:rPr>
          <w:rFonts w:ascii="方正仿宋_GBK" w:eastAsia="方正仿宋_GBK"/>
          <w:b/>
          <w:sz w:val="28"/>
        </w:rPr>
        <w:instrText xml:space="preserve"> TC 3、汽车租赁经费绩效目标表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r>
              <w:rPr>
                <w:rFonts w:ascii="方正书宋_GBK" w:eastAsia="方正书宋_GBK"/>
                <w:b/>
              </w:rPr>
              <w:t>319001审计局本级</w:t>
            </w: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13062521QO8EMN9A381PV</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ascii="方正书宋_GBK" w:eastAsia="方正书宋_GBK"/>
              </w:rPr>
              <w:t>汽车租赁经费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54000.00</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54000.00</w:t>
            </w:r>
          </w:p>
        </w:tc>
        <w:tc>
          <w:tcPr>
            <w:tcW w:w="1276"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3"/>
            </w:pPr>
          </w:p>
        </w:tc>
        <w:tc>
          <w:tcPr>
            <w:tcW w:w="8278" w:type="dxa"/>
            <w:gridSpan w:val="6"/>
            <w:shd w:val="clear" w:color="auto" w:fill="auto"/>
            <w:noWrap w:val="0"/>
            <w:vAlign w:val="center"/>
          </w:tcPr>
          <w:p>
            <w:pPr>
              <w:spacing w:line="300" w:lineRule="exact"/>
              <w:jc w:val="left"/>
              <w:rPr>
                <w:rFonts w:ascii="方正书宋_GBK" w:eastAsia="方正书宋_GBK"/>
              </w:rPr>
            </w:pPr>
            <w:r>
              <w:rPr>
                <w:rFonts w:ascii="方正书宋_GBK" w:eastAsia="方正书宋_GBK"/>
              </w:rPr>
              <w:t>用于开展汽车租赁项目，保障工作正常进行，计划于2021年1月-12月实施。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3"/>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1.保证正常公务应急使用。</w:t>
            </w:r>
          </w:p>
          <w:p>
            <w:pPr>
              <w:spacing w:line="300" w:lineRule="exact"/>
              <w:jc w:val="left"/>
              <w:rPr>
                <w:rFonts w:ascii="方正书宋_GBK" w:eastAsia="方正书宋_GBK"/>
              </w:rPr>
            </w:pPr>
            <w:r>
              <w:rPr>
                <w:rFonts w:ascii="方正书宋_GBK" w:eastAsia="方正书宋_GBK"/>
              </w:rPr>
              <w:t>2.保证工作正常开展。</w:t>
            </w:r>
          </w:p>
          <w:p>
            <w:pPr>
              <w:spacing w:line="300" w:lineRule="exact"/>
              <w:jc w:val="left"/>
              <w:rPr>
                <w:rFonts w:ascii="方正书宋_GBK" w:eastAsia="方正书宋_GBK"/>
              </w:rPr>
            </w:pPr>
            <w:r>
              <w:rPr>
                <w:rFonts w:ascii="方正书宋_GBK" w:eastAsia="方正书宋_GBK"/>
              </w:rPr>
              <w:t>3.控制</w:t>
            </w:r>
            <w:r>
              <w:rPr>
                <w:rFonts w:hint="eastAsia" w:ascii="方正书宋_GBK" w:eastAsia="方正书宋_GBK"/>
                <w:lang w:eastAsia="zh-CN"/>
              </w:rPr>
              <w:t>单位</w:t>
            </w:r>
            <w:r>
              <w:rPr>
                <w:rFonts w:ascii="方正书宋_GBK" w:eastAsia="方正书宋_GBK"/>
              </w:rPr>
              <w:t>公务用车运行维护费用支出成本。</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全年公务用车使用覆盖情况（百分比）</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ascii="方正书宋_GBK" w:eastAsia="方正书宋_GBK"/>
              </w:rPr>
            </w:pPr>
          </w:p>
        </w:tc>
        <w:tc>
          <w:tcPr>
            <w:tcW w:w="113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正常使用率</w:t>
            </w:r>
          </w:p>
        </w:tc>
        <w:tc>
          <w:tcPr>
            <w:tcW w:w="28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正常使用率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ascii="方正书宋_GBK" w:eastAsia="方正书宋_GBK"/>
              </w:rPr>
            </w:pPr>
          </w:p>
        </w:tc>
        <w:tc>
          <w:tcPr>
            <w:tcW w:w="113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完成率</w:t>
            </w:r>
          </w:p>
          <w:p>
            <w:pPr>
              <w:spacing w:line="300" w:lineRule="exact"/>
              <w:jc w:val="left"/>
              <w:rPr>
                <w:rFonts w:ascii="方正书宋_GBK" w:eastAsia="方正书宋_GBK"/>
              </w:rPr>
            </w:pPr>
          </w:p>
        </w:tc>
        <w:tc>
          <w:tcPr>
            <w:tcW w:w="28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按照要求完成的任务在所有任务中的比例（百分比）</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ascii="方正书宋_GBK" w:eastAsia="方正书宋_GBK"/>
              </w:rPr>
            </w:pPr>
          </w:p>
        </w:tc>
        <w:tc>
          <w:tcPr>
            <w:tcW w:w="113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项目资金支付率</w:t>
            </w:r>
          </w:p>
        </w:tc>
        <w:tc>
          <w:tcPr>
            <w:tcW w:w="28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项目资金支付率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提供服务次数</w:t>
            </w:r>
          </w:p>
        </w:tc>
        <w:tc>
          <w:tcPr>
            <w:tcW w:w="28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提供服务次数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≥15次</w:t>
            </w:r>
          </w:p>
        </w:tc>
        <w:tc>
          <w:tcPr>
            <w:tcW w:w="170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2021年，我</w:t>
      </w:r>
      <w:r>
        <w:rPr>
          <w:rFonts w:hint="eastAsia" w:ascii="仿宋" w:hAnsi="仿宋" w:eastAsia="仿宋"/>
          <w:sz w:val="32"/>
          <w:szCs w:val="32"/>
          <w:lang w:eastAsia="zh-CN"/>
        </w:rPr>
        <w:t>单位</w:t>
      </w:r>
      <w:r>
        <w:rPr>
          <w:rFonts w:ascii="仿宋" w:hAnsi="仿宋" w:eastAsia="仿宋"/>
          <w:sz w:val="32"/>
          <w:szCs w:val="32"/>
        </w:rPr>
        <w:t>无政府采购预算，空表列示。</w:t>
      </w:r>
    </w:p>
    <w:p>
      <w:pPr>
        <w:jc w:val="center"/>
        <w:outlineLvl w:val="1"/>
        <w:rPr>
          <w:rFonts w:ascii="方正小标宋_GBK" w:eastAsia="方正小标宋_GBK"/>
          <w:sz w:val="32"/>
        </w:rPr>
      </w:pPr>
      <w:bookmarkStart w:id="7" w:name="_Toc69809617"/>
    </w:p>
    <w:p>
      <w:pPr>
        <w:jc w:val="center"/>
        <w:outlineLvl w:val="1"/>
        <w:rPr>
          <w:rFonts w:ascii="Times New Roman" w:hAnsi="宋体" w:eastAsia="宋体"/>
          <w:sz w:val="32"/>
        </w:rPr>
      </w:pPr>
      <w:r>
        <w:rPr>
          <w:rFonts w:hint="eastAsia" w:ascii="方正小标宋_GBK" w:eastAsia="方正小标宋_GBK"/>
          <w:sz w:val="32"/>
          <w:lang w:eastAsia="zh-CN"/>
        </w:rPr>
        <w:t>单位</w:t>
      </w:r>
      <w:r>
        <w:rPr>
          <w:rFonts w:ascii="方正小标宋_GBK" w:eastAsia="方正小标宋_GBK"/>
          <w:sz w:val="32"/>
        </w:rPr>
        <w:t>政府采购预算</w:t>
      </w:r>
      <w:bookmarkEnd w:id="7"/>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hint="eastAsia" w:ascii="方正小标宋_GBK" w:eastAsia="方正小标宋_GBK"/>
                <w:sz w:val="24"/>
                <w:lang w:eastAsia="zh-CN"/>
              </w:rPr>
              <w:t>审计</w:t>
            </w:r>
            <w:r>
              <w:rPr>
                <w:rFonts w:ascii="方正小标宋_GBK" w:eastAsia="方正小标宋_GBK"/>
                <w:sz w:val="24"/>
              </w:rPr>
              <w:t>局</w:t>
            </w:r>
          </w:p>
        </w:tc>
        <w:tc>
          <w:tcPr>
            <w:tcW w:w="6804"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ascii="方正书宋_GBK" w:eastAsia="方正书宋_GBK"/>
                <w:sz w:val="24"/>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政府采购金额（当年</w:t>
            </w:r>
            <w:r>
              <w:rPr>
                <w:rFonts w:hint="eastAsia" w:ascii="方正书宋_GBK" w:eastAsia="方正书宋_GBK"/>
                <w:b/>
                <w:lang w:eastAsia="zh-CN"/>
              </w:rPr>
              <w:t>单位</w:t>
            </w:r>
            <w:r>
              <w:rPr>
                <w:rFonts w:ascii="方正书宋_GBK" w:eastAsia="方正书宋_GBK"/>
                <w:b/>
              </w:rPr>
              <w:t>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pPr>
              <w:spacing w:line="300" w:lineRule="exact"/>
              <w:jc w:val="left"/>
              <w:outlineLvl w:val="1"/>
              <w:rPr>
                <w:rFonts w:ascii="Times New Roman" w:eastAsia="方正仿宋_GBK"/>
                <w:sz w:val="28"/>
              </w:rPr>
            </w:pPr>
          </w:p>
        </w:tc>
        <w:tc>
          <w:tcPr>
            <w:tcW w:w="1531" w:type="dxa"/>
            <w:vMerge w:val="continue"/>
            <w:shd w:val="clear" w:color="auto" w:fill="auto"/>
            <w:vAlign w:val="center"/>
          </w:tcPr>
          <w:p>
            <w:pPr>
              <w:spacing w:line="300" w:lineRule="exact"/>
              <w:jc w:val="left"/>
              <w:outlineLvl w:val="1"/>
              <w:rPr>
                <w:rFonts w:ascii="Times New Roman" w:eastAsia="方正仿宋_GBK"/>
                <w:sz w:val="28"/>
              </w:rPr>
            </w:pPr>
          </w:p>
        </w:tc>
        <w:tc>
          <w:tcPr>
            <w:tcW w:w="709" w:type="dxa"/>
            <w:vMerge w:val="continue"/>
            <w:shd w:val="clear" w:color="auto" w:fill="auto"/>
            <w:vAlign w:val="center"/>
          </w:tcPr>
          <w:p>
            <w:pPr>
              <w:spacing w:line="300" w:lineRule="exact"/>
              <w:jc w:val="left"/>
              <w:outlineLvl w:val="1"/>
              <w:rPr>
                <w:rFonts w:ascii="Times New Roman" w:eastAsia="方正仿宋_GBK"/>
                <w:sz w:val="28"/>
              </w:rPr>
            </w:pPr>
          </w:p>
        </w:tc>
        <w:tc>
          <w:tcPr>
            <w:tcW w:w="907" w:type="dxa"/>
            <w:vMerge w:val="continue"/>
            <w:shd w:val="clear" w:color="auto" w:fill="auto"/>
            <w:vAlign w:val="center"/>
          </w:tcPr>
          <w:p>
            <w:pPr>
              <w:spacing w:line="300" w:lineRule="exact"/>
              <w:jc w:val="left"/>
              <w:outlineLvl w:val="1"/>
              <w:rPr>
                <w:rFonts w:ascii="Times New Roman" w:eastAsia="方正仿宋_GBK"/>
                <w:sz w:val="28"/>
              </w:rPr>
            </w:pPr>
          </w:p>
        </w:tc>
        <w:tc>
          <w:tcPr>
            <w:tcW w:w="907" w:type="dxa"/>
            <w:vMerge w:val="continue"/>
            <w:shd w:val="clear" w:color="auto" w:fill="auto"/>
            <w:vAlign w:val="center"/>
          </w:tcPr>
          <w:p>
            <w:pPr>
              <w:spacing w:line="300" w:lineRule="exact"/>
              <w:jc w:val="left"/>
              <w:outlineLvl w:val="1"/>
              <w:rPr>
                <w:rFonts w:ascii="Times New Roman" w:eastAsia="方正仿宋_GBK"/>
                <w:sz w:val="28"/>
              </w:rPr>
            </w:pP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  计</w:t>
            </w: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709" w:type="dxa"/>
            <w:shd w:val="clear" w:color="auto" w:fill="auto"/>
            <w:vAlign w:val="center"/>
          </w:tcPr>
          <w:p>
            <w:pPr>
              <w:spacing w:line="300" w:lineRule="exact"/>
              <w:jc w:val="center"/>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531" w:type="dxa"/>
            <w:shd w:val="clear" w:color="auto" w:fill="auto"/>
            <w:vAlign w:val="center"/>
          </w:tcPr>
          <w:p>
            <w:pPr>
              <w:spacing w:line="300" w:lineRule="exact"/>
              <w:jc w:val="left"/>
              <w:rPr>
                <w:rFonts w:hint="eastAsia" w:ascii="方正书宋_GBK" w:eastAsiaTheme="minorEastAsia"/>
              </w:rPr>
            </w:pPr>
          </w:p>
        </w:tc>
        <w:tc>
          <w:tcPr>
            <w:tcW w:w="1531" w:type="dxa"/>
            <w:shd w:val="clear" w:color="auto" w:fill="auto"/>
            <w:vAlign w:val="center"/>
          </w:tcPr>
          <w:p>
            <w:pPr>
              <w:spacing w:line="300" w:lineRule="exact"/>
              <w:jc w:val="left"/>
              <w:rPr>
                <w:rFonts w:ascii="方正书宋_GBK" w:eastAsia="方正书宋_GBK"/>
              </w:rPr>
            </w:pPr>
          </w:p>
        </w:tc>
        <w:tc>
          <w:tcPr>
            <w:tcW w:w="709" w:type="dxa"/>
            <w:shd w:val="clear" w:color="auto" w:fill="auto"/>
            <w:vAlign w:val="center"/>
          </w:tcPr>
          <w:p>
            <w:pPr>
              <w:spacing w:line="300" w:lineRule="exact"/>
              <w:jc w:val="center"/>
              <w:rPr>
                <w:rFonts w:hint="eastAsia" w:ascii="方正书宋_GBK" w:eastAsiaTheme="minorEastAsia"/>
              </w:rPr>
            </w:pPr>
          </w:p>
        </w:tc>
        <w:tc>
          <w:tcPr>
            <w:tcW w:w="907" w:type="dxa"/>
            <w:shd w:val="clear" w:color="auto" w:fill="auto"/>
            <w:vAlign w:val="center"/>
          </w:tcPr>
          <w:p>
            <w:pPr>
              <w:spacing w:line="300" w:lineRule="exact"/>
              <w:jc w:val="right"/>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bl>
    <w:p>
      <w:pPr>
        <w:spacing w:line="360" w:lineRule="auto"/>
        <w:rPr>
          <w:rFonts w:ascii="方正小标宋_GBK" w:eastAsia="方正小标宋_GBK"/>
          <w:sz w:val="32"/>
        </w:rPr>
      </w:pPr>
    </w:p>
    <w:p>
      <w:pPr>
        <w:spacing w:line="360" w:lineRule="auto"/>
        <w:rPr>
          <w:rFonts w:ascii="仿宋" w:hAnsi="仿宋" w:eastAsia="仿宋"/>
          <w:sz w:val="32"/>
          <w:szCs w:val="32"/>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hint="eastAsia"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hint="eastAsia" w:ascii="仿宋" w:hAnsi="仿宋" w:eastAsia="仿宋"/>
          <w:sz w:val="32"/>
          <w:szCs w:val="32"/>
          <w:lang w:eastAsia="zh-CN"/>
        </w:rPr>
      </w:pPr>
      <w:r>
        <w:rPr>
          <w:rFonts w:hint="eastAsia" w:ascii="仿宋" w:hAnsi="仿宋" w:eastAsia="仿宋"/>
          <w:sz w:val="32"/>
          <w:szCs w:val="32"/>
        </w:rPr>
        <w:t>上年末我</w:t>
      </w:r>
      <w:r>
        <w:rPr>
          <w:rFonts w:hint="eastAsia" w:ascii="仿宋" w:hAnsi="仿宋" w:eastAsia="仿宋"/>
          <w:sz w:val="32"/>
          <w:szCs w:val="32"/>
          <w:lang w:eastAsia="zh-CN"/>
        </w:rPr>
        <w:t>单位</w:t>
      </w:r>
      <w:r>
        <w:rPr>
          <w:rFonts w:hint="eastAsia" w:ascii="仿宋" w:hAnsi="仿宋" w:eastAsia="仿宋"/>
          <w:sz w:val="32"/>
          <w:szCs w:val="32"/>
        </w:rPr>
        <w:t>固定资产总金额为</w:t>
      </w:r>
      <w:r>
        <w:rPr>
          <w:rFonts w:hint="eastAsia" w:ascii="仿宋" w:hAnsi="仿宋" w:eastAsia="仿宋"/>
          <w:sz w:val="32"/>
          <w:szCs w:val="32"/>
          <w:lang w:val="en-US" w:eastAsia="zh-CN"/>
        </w:rPr>
        <w:t>41.39</w:t>
      </w:r>
      <w:r>
        <w:rPr>
          <w:rFonts w:hint="eastAsia" w:ascii="仿宋" w:hAnsi="仿宋" w:eastAsia="仿宋"/>
          <w:sz w:val="32"/>
          <w:szCs w:val="32"/>
        </w:rPr>
        <w:t>万元（详见下表）。</w:t>
      </w:r>
      <w:r>
        <w:rPr>
          <w:rFonts w:ascii="仿宋" w:hAnsi="仿宋" w:eastAsia="仿宋"/>
          <w:sz w:val="32"/>
          <w:szCs w:val="32"/>
        </w:rPr>
        <w:t xml:space="preserve"> </w:t>
      </w: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本年度无国有资产购置计划，拟购置金额为</w:t>
      </w:r>
      <w:r>
        <w:rPr>
          <w:rFonts w:ascii="仿宋" w:hAnsi="仿宋" w:eastAsia="仿宋"/>
          <w:sz w:val="32"/>
          <w:szCs w:val="32"/>
        </w:rPr>
        <w:t>0</w:t>
      </w:r>
      <w:r>
        <w:rPr>
          <w:rFonts w:hint="eastAsia" w:ascii="仿宋" w:hAnsi="仿宋" w:eastAsia="仿宋"/>
          <w:sz w:val="32"/>
          <w:szCs w:val="32"/>
          <w:lang w:eastAsia="zh-CN"/>
        </w:rPr>
        <w:t>。</w:t>
      </w:r>
    </w:p>
    <w:p>
      <w:pPr>
        <w:spacing w:line="360" w:lineRule="auto"/>
        <w:ind w:firstLine="640" w:firstLineChars="200"/>
        <w:rPr>
          <w:rFonts w:ascii="仿宋" w:hAnsi="仿宋" w:eastAsia="仿宋"/>
          <w:sz w:val="32"/>
          <w:szCs w:val="32"/>
        </w:rPr>
      </w:pP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2020</w:t>
            </w:r>
            <w:r>
              <w:rPr>
                <w:rFonts w:hint="eastAsia" w:ascii="仿宋_GB2312" w:hAnsi="仿宋" w:eastAsia="仿宋_GB2312" w:cs="宋体"/>
                <w:bCs/>
                <w:color w:val="FF0000"/>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b/>
                <w:kern w:val="0"/>
                <w:sz w:val="24"/>
                <w:szCs w:val="24"/>
                <w:lang w:val="en-US" w:eastAsia="zh-CN"/>
              </w:rPr>
            </w:pPr>
            <w:r>
              <w:rPr>
                <w:rFonts w:hint="eastAsia" w:ascii="仿宋_GB2312" w:hAnsi="仿宋" w:eastAsia="仿宋_GB2312" w:cs="宋体"/>
                <w:b/>
                <w:kern w:val="0"/>
                <w:sz w:val="24"/>
                <w:szCs w:val="24"/>
                <w:lang w:val="en-US" w:eastAsia="zh-CN"/>
              </w:rPr>
              <w:t>41.39</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41.39</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单位</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无其他需说明的事项。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宋体"/>
    <w:panose1 w:val="00000000000000000000"/>
    <w:charset w:val="86"/>
    <w:family w:val="roman"/>
    <w:pitch w:val="default"/>
    <w:sig w:usb0="00000000" w:usb1="00000000" w:usb2="00000000" w:usb3="00000000" w:csb0="00040001" w:csb1="00000000"/>
  </w:font>
  <w:font w:name="方正仿宋_GBK">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pPr>
          <w:pStyle w:val="3"/>
          <w:jc w:val="center"/>
        </w:pPr>
        <w:r>
          <w:fldChar w:fldCharType="begin"/>
        </w:r>
        <w:r>
          <w:instrText xml:space="preserve">PAGE   \* MERGEFORMAT</w:instrText>
        </w:r>
        <w:r>
          <w:fldChar w:fldCharType="separate"/>
        </w:r>
        <w:r>
          <w:rPr>
            <w:lang w:val="zh-CN"/>
          </w:rPr>
          <w:t>10</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2NWQyY2NmMzNmMDcwMzdiOWFkMzJjZDZiOTEzNzUifQ=="/>
  </w:docVars>
  <w:rsids>
    <w:rsidRoot w:val="00055F1F"/>
    <w:rsid w:val="00013B8A"/>
    <w:rsid w:val="00044FBC"/>
    <w:rsid w:val="00055F1F"/>
    <w:rsid w:val="000577EF"/>
    <w:rsid w:val="00057F18"/>
    <w:rsid w:val="000A445D"/>
    <w:rsid w:val="000C178B"/>
    <w:rsid w:val="00131DEC"/>
    <w:rsid w:val="00136AB3"/>
    <w:rsid w:val="001462BD"/>
    <w:rsid w:val="00152380"/>
    <w:rsid w:val="001638BE"/>
    <w:rsid w:val="00172C7A"/>
    <w:rsid w:val="00181777"/>
    <w:rsid w:val="00195EFD"/>
    <w:rsid w:val="001B4688"/>
    <w:rsid w:val="001B6235"/>
    <w:rsid w:val="001F4875"/>
    <w:rsid w:val="00212335"/>
    <w:rsid w:val="0025439E"/>
    <w:rsid w:val="002918C6"/>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3C4F"/>
    <w:rsid w:val="003C442E"/>
    <w:rsid w:val="003D1092"/>
    <w:rsid w:val="003D37CD"/>
    <w:rsid w:val="003E5531"/>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86C35"/>
    <w:rsid w:val="005B1B6F"/>
    <w:rsid w:val="005B6CCB"/>
    <w:rsid w:val="005C54AA"/>
    <w:rsid w:val="005C7B89"/>
    <w:rsid w:val="0062788A"/>
    <w:rsid w:val="00641F8A"/>
    <w:rsid w:val="0066383B"/>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75D37"/>
    <w:rsid w:val="00C906EF"/>
    <w:rsid w:val="00C93109"/>
    <w:rsid w:val="00CC7D74"/>
    <w:rsid w:val="00CD0EC5"/>
    <w:rsid w:val="00D02F97"/>
    <w:rsid w:val="00D45530"/>
    <w:rsid w:val="00D45A0E"/>
    <w:rsid w:val="00D45D23"/>
    <w:rsid w:val="00D723D1"/>
    <w:rsid w:val="00D80C60"/>
    <w:rsid w:val="00D8525F"/>
    <w:rsid w:val="00DA0C4D"/>
    <w:rsid w:val="00DA5DA7"/>
    <w:rsid w:val="00DB3FAC"/>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F61F3"/>
    <w:rsid w:val="02756E1F"/>
    <w:rsid w:val="0BFE6917"/>
    <w:rsid w:val="0DD9599A"/>
    <w:rsid w:val="0F235DF9"/>
    <w:rsid w:val="11D81D3B"/>
    <w:rsid w:val="192073CB"/>
    <w:rsid w:val="20EE0E12"/>
    <w:rsid w:val="267D1D69"/>
    <w:rsid w:val="2A7F44FF"/>
    <w:rsid w:val="2B775CFC"/>
    <w:rsid w:val="2BFB41A7"/>
    <w:rsid w:val="2ED4408F"/>
    <w:rsid w:val="2FAA2696"/>
    <w:rsid w:val="3911115B"/>
    <w:rsid w:val="3A275818"/>
    <w:rsid w:val="3E3A4D5A"/>
    <w:rsid w:val="41A95678"/>
    <w:rsid w:val="43891992"/>
    <w:rsid w:val="43E72B28"/>
    <w:rsid w:val="45BA5B59"/>
    <w:rsid w:val="479E2F64"/>
    <w:rsid w:val="491A23AC"/>
    <w:rsid w:val="55283B39"/>
    <w:rsid w:val="55291040"/>
    <w:rsid w:val="57A95C1D"/>
    <w:rsid w:val="5900009B"/>
    <w:rsid w:val="5A125045"/>
    <w:rsid w:val="5A65220A"/>
    <w:rsid w:val="5DA50D5C"/>
    <w:rsid w:val="62A15702"/>
    <w:rsid w:val="697524A7"/>
    <w:rsid w:val="69896AE4"/>
    <w:rsid w:val="6E764DA6"/>
    <w:rsid w:val="76BE44B0"/>
    <w:rsid w:val="7C1D4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7218C-C81E-4562-B693-4624F3D97D95}">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6084</Words>
  <Characters>6434</Characters>
  <Lines>22</Lines>
  <Paragraphs>6</Paragraphs>
  <TotalTime>0</TotalTime>
  <ScaleCrop>false</ScaleCrop>
  <LinksUpToDate>false</LinksUpToDate>
  <CharactersWithSpaces>6517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2019-02-19T07:03:00Z</cp:lastPrinted>
  <dcterms:modified xsi:type="dcterms:W3CDTF">2023-11-14T08:03:48Z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9982481C42C849E49AD24ABF8EBA102C</vt:lpwstr>
  </property>
</Properties>
</file>