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第一部分 徐水经济开发区管委会部门</w:t>
      </w:r>
      <w:r>
        <w:rPr>
          <w:b/>
          <w:sz w:val="44"/>
          <w:szCs w:val="44"/>
        </w:rPr>
        <w:t>概况</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pPr>
        <w:ind w:firstLine="560" w:firstLineChars="200"/>
        <w:jc w:val="left"/>
        <w:rPr>
          <w:snapToGrid w:val="0"/>
          <w:kern w:val="0"/>
          <w:sz w:val="28"/>
          <w:szCs w:val="28"/>
        </w:rPr>
      </w:pPr>
      <w:r>
        <w:rPr>
          <w:rFonts w:hint="eastAsia"/>
          <w:snapToGrid w:val="0"/>
          <w:kern w:val="0"/>
          <w:sz w:val="28"/>
          <w:szCs w:val="28"/>
        </w:rPr>
        <w:t>中共河北徐水经济开发区工作委员会主要职责是：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管理综合治理和维护稳定工作；负责辖区内党的纪律检查工作；负责辖区工会、共青团、妇联等群团工作；完成中共徐水区委交办的其他任务。</w:t>
      </w:r>
    </w:p>
    <w:p>
      <w:pPr>
        <w:ind w:firstLine="560" w:firstLineChars="200"/>
        <w:jc w:val="left"/>
        <w:rPr>
          <w:snapToGrid w:val="0"/>
          <w:kern w:val="0"/>
          <w:sz w:val="28"/>
          <w:szCs w:val="28"/>
        </w:rPr>
      </w:pPr>
      <w:r>
        <w:rPr>
          <w:rFonts w:hint="eastAsia"/>
          <w:snapToGrid w:val="0"/>
          <w:kern w:val="0"/>
          <w:sz w:val="28"/>
          <w:szCs w:val="28"/>
        </w:rPr>
        <w:t>河北徐水经济开发区管理委员会主要职责是：负责辖区的总体规划和经济、社会发展规划，经批准后组织实施；负责辖区区域性发展规划、国土利用规划的编制和组织实施；负责招商引资、进出口贸易和国内外经济技术合作工作；负责辖区行政审批工作；负责辖区企业管理和服务工作；负责辖区基础设施和公用设施的建设和管理；负责辖区内城市管理综合执法工作；负责辖区财政管理，实施辖区内财政预算、决算、国有资产管理和财政监督工作；负责辖区内环境保护和安全生产监督管理工作；负责辖区内食品药品安全监督管理工作；负责辖区人力资源和社会保障工作；负责协调辖区内上级有关部门派驻机构工作；负责徐水区政府交办的其他事项。</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pPr>
        <w:ind w:firstLine="560" w:firstLineChars="200"/>
        <w:jc w:val="left"/>
        <w:rPr>
          <w:snapToGrid w:val="0"/>
          <w:kern w:val="0"/>
          <w:sz w:val="28"/>
          <w:szCs w:val="28"/>
        </w:rPr>
      </w:pPr>
      <w:r>
        <w:rPr>
          <w:rFonts w:hint="eastAsia"/>
          <w:snapToGrid w:val="0"/>
          <w:kern w:val="0"/>
          <w:sz w:val="28"/>
          <w:szCs w:val="28"/>
        </w:rPr>
        <w:t>根据上述工作职责，按照机构设置“精简、统一、效能”原则，中共河北徐水经济开发区工作委员会和河北徐水经济开发区管理委员会设置6个内设机构，规格为正科级。</w:t>
      </w:r>
    </w:p>
    <w:p>
      <w:pPr>
        <w:ind w:firstLine="560" w:firstLineChars="200"/>
        <w:jc w:val="left"/>
        <w:rPr>
          <w:snapToGrid w:val="0"/>
          <w:kern w:val="0"/>
          <w:sz w:val="28"/>
          <w:szCs w:val="28"/>
        </w:rPr>
      </w:pPr>
      <w:r>
        <w:rPr>
          <w:rFonts w:hint="eastAsia"/>
          <w:snapToGrid w:val="0"/>
          <w:kern w:val="0"/>
          <w:sz w:val="28"/>
          <w:szCs w:val="28"/>
        </w:rPr>
        <w:t>（一）综合办公室</w:t>
      </w:r>
    </w:p>
    <w:p>
      <w:pPr>
        <w:ind w:firstLine="560" w:firstLineChars="200"/>
        <w:jc w:val="left"/>
        <w:rPr>
          <w:snapToGrid w:val="0"/>
          <w:kern w:val="0"/>
          <w:sz w:val="28"/>
          <w:szCs w:val="28"/>
        </w:rPr>
      </w:pPr>
      <w:r>
        <w:rPr>
          <w:rFonts w:hint="eastAsia"/>
          <w:snapToGrid w:val="0"/>
          <w:kern w:val="0"/>
          <w:sz w:val="28"/>
          <w:szCs w:val="28"/>
        </w:rPr>
        <w:t>按照党管干部原则，负责党工委及各内设机构干部的任命、考核和奖惩工作；负责区内企业党组织建立、任免备案工作；负责区内党员发展工作；综合协调区内各项行政工作；负责机关管理工作，保证机关有效运转；制</w:t>
      </w:r>
      <w:r>
        <w:rPr>
          <w:rFonts w:hint="eastAsia"/>
          <w:snapToGrid w:val="0"/>
          <w:kern w:val="0"/>
          <w:sz w:val="28"/>
          <w:szCs w:val="28"/>
          <w:lang w:val="en-US" w:eastAsia="zh-CN"/>
        </w:rPr>
        <w:t>订</w:t>
      </w:r>
      <w:r>
        <w:rPr>
          <w:rFonts w:hint="eastAsia"/>
          <w:snapToGrid w:val="0"/>
          <w:kern w:val="0"/>
          <w:sz w:val="28"/>
          <w:szCs w:val="28"/>
        </w:rPr>
        <w:t>开发区工作计划的有关工作制度；负责主要工作目标和领导批办事</w:t>
      </w:r>
      <w:bookmarkStart w:id="0" w:name="_GoBack"/>
      <w:bookmarkEnd w:id="0"/>
      <w:r>
        <w:rPr>
          <w:rFonts w:hint="eastAsia"/>
          <w:snapToGrid w:val="0"/>
          <w:kern w:val="0"/>
          <w:sz w:val="28"/>
          <w:szCs w:val="28"/>
        </w:rPr>
        <w:t>项的督办；承办机关文秘、政务、信息、机要、保密、档案以及其他公关、接待和协调工作；履行工委系统宣传、组织职责；负责综合协调管理开发区工、青、妇等群团工作；负责精神文明建设；履行管委会系统人事、劳动及开发区机构编制等部门职责；负责管委会机关及各直属单位的编制、人事工作；负责区内人才与劳动力市场建设与管理、工资分配管理、劳动关系管理（劳动合同与集体合同），社会保险事业管理、职工培训与再就业、职称评聘、劳务输出及高新技术企业人员出国审批等工作；负责本区域大气污染防治工作；负责本区域劳动争议与仲裁、劳动安全卫生保护、劳动监察、安全生产、消防安全监察工作；承办党工委、管委会交办的其他工作。</w:t>
      </w:r>
    </w:p>
    <w:p>
      <w:pPr>
        <w:ind w:firstLine="560" w:firstLineChars="200"/>
        <w:jc w:val="left"/>
        <w:rPr>
          <w:snapToGrid w:val="0"/>
          <w:kern w:val="0"/>
          <w:sz w:val="28"/>
          <w:szCs w:val="28"/>
        </w:rPr>
      </w:pPr>
      <w:r>
        <w:rPr>
          <w:rFonts w:hint="eastAsia"/>
          <w:snapToGrid w:val="0"/>
          <w:kern w:val="0"/>
          <w:sz w:val="28"/>
          <w:szCs w:val="28"/>
        </w:rPr>
        <w:t>（二）招商局</w:t>
      </w:r>
    </w:p>
    <w:p>
      <w:pPr>
        <w:ind w:firstLine="560" w:firstLineChars="200"/>
        <w:jc w:val="left"/>
        <w:rPr>
          <w:snapToGrid w:val="0"/>
          <w:kern w:val="0"/>
          <w:sz w:val="28"/>
          <w:szCs w:val="28"/>
        </w:rPr>
      </w:pPr>
      <w:r>
        <w:rPr>
          <w:rFonts w:hint="eastAsia"/>
          <w:snapToGrid w:val="0"/>
          <w:kern w:val="0"/>
          <w:sz w:val="28"/>
          <w:szCs w:val="28"/>
        </w:rPr>
        <w:t>履行招商、商务（外资工作）、外贸、外经、外办等部门职责；负责招商政策研究、对外宣传、项目信息收集整理发布、投资咨询、招商引资、项目洽谈、为客商提供领办代办服务、组织招商引资活动及客商接待工作；负责组织进区项目的考察、论证和评估工作；负责招商项目库的建设和管理工作；承办党工委、管委会交办的其他工作。</w:t>
      </w:r>
    </w:p>
    <w:p>
      <w:pPr>
        <w:ind w:firstLine="560" w:firstLineChars="200"/>
        <w:jc w:val="left"/>
        <w:rPr>
          <w:snapToGrid w:val="0"/>
          <w:kern w:val="0"/>
          <w:sz w:val="28"/>
          <w:szCs w:val="28"/>
        </w:rPr>
      </w:pPr>
      <w:r>
        <w:rPr>
          <w:rFonts w:hint="eastAsia"/>
          <w:snapToGrid w:val="0"/>
          <w:kern w:val="0"/>
          <w:sz w:val="28"/>
          <w:szCs w:val="28"/>
        </w:rPr>
        <w:t>（三）经济发展局</w:t>
      </w:r>
    </w:p>
    <w:p>
      <w:pPr>
        <w:ind w:firstLine="560" w:firstLineChars="200"/>
        <w:jc w:val="left"/>
        <w:rPr>
          <w:snapToGrid w:val="0"/>
          <w:kern w:val="0"/>
          <w:sz w:val="28"/>
          <w:szCs w:val="28"/>
        </w:rPr>
      </w:pPr>
      <w:r>
        <w:rPr>
          <w:rFonts w:hint="eastAsia"/>
          <w:snapToGrid w:val="0"/>
          <w:kern w:val="0"/>
          <w:sz w:val="28"/>
          <w:szCs w:val="28"/>
        </w:rPr>
        <w:t>履行经贸、计划、发改、商务（内资工作）、科技、工信、统计、对内外开放等部门职责；负责研究和编制经济产业发展规划并组织实施、研究分析经济形势、综合协调经济发展、推进产业结构战略性调整和升级；负责区内科技创新体系和科技支撑服务体系建设，组织各级各类科技计划项目的申报工作；负责全区主要考核指标的跟踪、研判及分析预警工作；负责区内综合统计管理工作，执行国家、省、市统计报表制度，完成上级部门下达的统计任务及经济普查等相关统计工作；承办党工委、管委会交办的其他工作。</w:t>
      </w:r>
    </w:p>
    <w:p>
      <w:pPr>
        <w:ind w:firstLine="560" w:firstLineChars="200"/>
        <w:jc w:val="left"/>
        <w:rPr>
          <w:snapToGrid w:val="0"/>
          <w:kern w:val="0"/>
          <w:sz w:val="28"/>
          <w:szCs w:val="28"/>
        </w:rPr>
      </w:pPr>
      <w:r>
        <w:rPr>
          <w:rFonts w:hint="eastAsia"/>
          <w:snapToGrid w:val="0"/>
          <w:kern w:val="0"/>
          <w:sz w:val="28"/>
          <w:szCs w:val="28"/>
        </w:rPr>
        <w:t>（四）规划建设局</w:t>
      </w:r>
    </w:p>
    <w:p>
      <w:pPr>
        <w:ind w:firstLine="560" w:firstLineChars="200"/>
        <w:jc w:val="left"/>
        <w:rPr>
          <w:snapToGrid w:val="0"/>
          <w:kern w:val="0"/>
          <w:sz w:val="28"/>
          <w:szCs w:val="28"/>
        </w:rPr>
      </w:pPr>
      <w:r>
        <w:rPr>
          <w:rFonts w:hint="eastAsia"/>
          <w:snapToGrid w:val="0"/>
          <w:kern w:val="0"/>
          <w:sz w:val="28"/>
          <w:szCs w:val="28"/>
        </w:rPr>
        <w:t>负责园区规划、建设管理工作；负责编制和组织实施开发区总体规划、控制性详细规划、修建性详细规划和城市设计；负责落实开发区土地利用总体规划，开展征地测绘，组织协调园区土地开发、利用工作；负责编制开发区城市建设发展规划、年度建设计划和土地开发年度计划；协调推进开发区市政设施、公用基础设施建设；负责引导企业入驻相应的功能区域，做好入驻企业的规划选址工作，协助入区企业按照开发区总体规划、控制性详细规划做好企业内部规划、设计与建设；指导企业落实开发区规划，充分利用闲置土地，提高土地使用率；承办党工委、管委会交办的其他工作。</w:t>
      </w:r>
    </w:p>
    <w:p>
      <w:pPr>
        <w:ind w:firstLine="560" w:firstLineChars="200"/>
        <w:jc w:val="left"/>
        <w:rPr>
          <w:snapToGrid w:val="0"/>
          <w:kern w:val="0"/>
          <w:sz w:val="28"/>
          <w:szCs w:val="28"/>
        </w:rPr>
      </w:pPr>
      <w:r>
        <w:rPr>
          <w:rFonts w:hint="eastAsia"/>
          <w:snapToGrid w:val="0"/>
          <w:kern w:val="0"/>
          <w:sz w:val="28"/>
          <w:szCs w:val="28"/>
        </w:rPr>
        <w:t>（五）行政审批局</w:t>
      </w:r>
    </w:p>
    <w:p>
      <w:pPr>
        <w:ind w:firstLine="560" w:firstLineChars="200"/>
        <w:jc w:val="left"/>
        <w:rPr>
          <w:snapToGrid w:val="0"/>
          <w:kern w:val="0"/>
          <w:sz w:val="28"/>
          <w:szCs w:val="28"/>
        </w:rPr>
      </w:pPr>
      <w:r>
        <w:rPr>
          <w:rFonts w:hint="eastAsia"/>
          <w:snapToGrid w:val="0"/>
          <w:kern w:val="0"/>
          <w:sz w:val="28"/>
          <w:szCs w:val="28"/>
        </w:rPr>
        <w:t>负责开发区行政审批制度改革；依据区委、区政府下放的行政审批事项开展行政审批工作；负责行政审批工作的规范、管理；承担投资项目、环保水利、城镇规划、项目建设、市政工程、建交城管、社会事务、经济事务等方面的行政许可事项审批和相关行政服务事项的办理及现场踏勘工作；负责开发区行政服务体系的建设，负责行政许可服务中心平台综合功能的建设和管理；承办党工委、管委会交办的其他工作。</w:t>
      </w:r>
    </w:p>
    <w:p>
      <w:pPr>
        <w:ind w:firstLine="560" w:firstLineChars="200"/>
        <w:jc w:val="left"/>
        <w:rPr>
          <w:snapToGrid w:val="0"/>
          <w:kern w:val="0"/>
          <w:sz w:val="28"/>
          <w:szCs w:val="28"/>
        </w:rPr>
      </w:pPr>
      <w:r>
        <w:rPr>
          <w:rFonts w:hint="eastAsia"/>
          <w:snapToGrid w:val="0"/>
          <w:kern w:val="0"/>
          <w:sz w:val="28"/>
          <w:szCs w:val="28"/>
        </w:rPr>
        <w:t>（六）财政局</w:t>
      </w:r>
    </w:p>
    <w:p>
      <w:pPr>
        <w:ind w:firstLine="560" w:firstLineChars="200"/>
        <w:jc w:val="left"/>
        <w:rPr>
          <w:snapToGrid w:val="0"/>
          <w:kern w:val="0"/>
          <w:sz w:val="28"/>
          <w:szCs w:val="28"/>
        </w:rPr>
      </w:pPr>
      <w:r>
        <w:rPr>
          <w:rFonts w:hint="eastAsia"/>
          <w:snapToGrid w:val="0"/>
          <w:kern w:val="0"/>
          <w:sz w:val="28"/>
          <w:szCs w:val="28"/>
        </w:rPr>
        <w:t>履行财政、国资、审计等部门职责；负责财政预决算、预算外资金、会计事务、控办、涉外企业财政、国资管理、机关财务、财务审计、土地开发、政府债务、财务管理及融资平台等工作；负责对辖区内注册企业（含个体工商户）的税收征管；依据国家、省、市赋予开发区的各项优惠政策审批、办理有关税收及业务工作；协调国税、地税分局开展工作；协调辖区金融、保险及外汇管理工作；制订管委会财务管理制度；承办党工委、管委会交办的其他工作。</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机构1个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15人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15人</w:t>
      </w:r>
      <w:r>
        <w:rPr>
          <w:snapToGrid w:val="0"/>
          <w:kern w:val="0"/>
          <w:sz w:val="28"/>
          <w:szCs w:val="28"/>
        </w:rPr>
        <w:t>，离休人员</w:t>
      </w:r>
      <w:r>
        <w:rPr>
          <w:rFonts w:hint="eastAsia"/>
          <w:snapToGrid w:val="0"/>
          <w:kern w:val="0"/>
          <w:sz w:val="28"/>
          <w:szCs w:val="28"/>
        </w:rPr>
        <w:t>0人</w:t>
      </w:r>
      <w:r>
        <w:rPr>
          <w:snapToGrid w:val="0"/>
          <w:kern w:val="0"/>
          <w:sz w:val="28"/>
          <w:szCs w:val="28"/>
        </w:rPr>
        <w:t>，退休人员</w:t>
      </w:r>
      <w:r>
        <w:rPr>
          <w:rFonts w:hint="eastAsia"/>
          <w:snapToGrid w:val="0"/>
          <w:kern w:val="0"/>
          <w:sz w:val="28"/>
          <w:szCs w:val="28"/>
        </w:rPr>
        <w:t>0人</w:t>
      </w:r>
      <w:r>
        <w:rPr>
          <w:snapToGrid w:val="0"/>
          <w:kern w:val="0"/>
          <w:sz w:val="28"/>
          <w:szCs w:val="28"/>
        </w:rPr>
        <w:t>。</w:t>
      </w:r>
    </w:p>
    <w:p>
      <w:pPr>
        <w:adjustRightInd w:val="0"/>
        <w:snapToGrid w:val="0"/>
        <w:spacing w:line="600" w:lineRule="exact"/>
        <w:ind w:firstLine="560" w:firstLineChars="200"/>
        <w:rPr>
          <w:snapToGrid w:val="0"/>
          <w:kern w:val="0"/>
          <w:sz w:val="28"/>
          <w:szCs w:val="28"/>
        </w:rPr>
      </w:pPr>
    </w:p>
    <w:p>
      <w:pPr>
        <w:jc w:val="center"/>
        <w:rPr>
          <w:b/>
          <w:sz w:val="44"/>
          <w:szCs w:val="44"/>
        </w:rPr>
      </w:pPr>
      <w:r>
        <w:rPr>
          <w:rFonts w:hint="eastAsia"/>
          <w:b/>
          <w:sz w:val="44"/>
          <w:szCs w:val="44"/>
        </w:rPr>
        <w:t>第二部分  徐水经济开发区管委会部门2016年</w:t>
      </w:r>
      <w:r>
        <w:rPr>
          <w:b/>
          <w:sz w:val="44"/>
          <w:szCs w:val="44"/>
        </w:rPr>
        <w:t>部门决算情况说明</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本部门2016年本</w:t>
      </w:r>
      <w:r>
        <w:rPr>
          <w:snapToGrid w:val="0"/>
          <w:kern w:val="0"/>
          <w:sz w:val="28"/>
          <w:szCs w:val="28"/>
        </w:rPr>
        <w:t>年收入总计</w:t>
      </w:r>
      <w:r>
        <w:rPr>
          <w:rFonts w:hint="eastAsia"/>
          <w:snapToGrid w:val="0"/>
          <w:kern w:val="0"/>
          <w:sz w:val="28"/>
          <w:szCs w:val="28"/>
        </w:rPr>
        <w:t>8363万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减少68.97</w:t>
      </w:r>
      <w:r>
        <w:rPr>
          <w:snapToGrid w:val="0"/>
          <w:kern w:val="0"/>
          <w:sz w:val="28"/>
          <w:szCs w:val="28"/>
        </w:rPr>
        <w:t>%，</w:t>
      </w:r>
      <w:r>
        <w:rPr>
          <w:rFonts w:hint="eastAsia"/>
          <w:snapToGrid w:val="0"/>
          <w:kern w:val="0"/>
          <w:sz w:val="28"/>
          <w:szCs w:val="28"/>
        </w:rPr>
        <w:t>减少18585.16万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本年收入_原因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本年项目支出相比去年有所减少</w:t>
      </w:r>
      <w:r>
        <w:rPr>
          <w:snapToGrid w:val="0"/>
          <w:kern w:val="0"/>
          <w:sz w:val="28"/>
          <w:szCs w:val="28"/>
        </w:rPr>
        <w:fldChar w:fldCharType="end"/>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8918.44万</w:t>
      </w:r>
      <w:r>
        <w:rPr>
          <w:snapToGrid w:val="0"/>
          <w:kern w:val="0"/>
          <w:sz w:val="28"/>
          <w:szCs w:val="28"/>
        </w:rPr>
        <w:t>元，较上年</w:t>
      </w:r>
      <w:r>
        <w:rPr>
          <w:rFonts w:hint="eastAsia"/>
          <w:snapToGrid w:val="0"/>
          <w:kern w:val="0"/>
          <w:sz w:val="28"/>
          <w:szCs w:val="28"/>
        </w:rPr>
        <w:t xml:space="preserve">减少66.33 </w:t>
      </w:r>
      <w:r>
        <w:rPr>
          <w:snapToGrid w:val="0"/>
          <w:kern w:val="0"/>
          <w:sz w:val="28"/>
          <w:szCs w:val="28"/>
        </w:rPr>
        <w:t>%，</w:t>
      </w:r>
      <w:r>
        <w:rPr>
          <w:rFonts w:hint="eastAsia"/>
          <w:snapToGrid w:val="0"/>
          <w:kern w:val="0"/>
          <w:sz w:val="28"/>
          <w:szCs w:val="28"/>
        </w:rPr>
        <w:t>减少17571.12万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本年项目支出相比去年有所减少</w:t>
      </w:r>
      <w:r>
        <w:rPr>
          <w:snapToGrid w:val="0"/>
          <w:kern w:val="0"/>
          <w:sz w:val="28"/>
          <w:szCs w:val="28"/>
        </w:rPr>
        <w:fldChar w:fldCharType="end"/>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0万</w:t>
      </w:r>
      <w:r>
        <w:rPr>
          <w:snapToGrid w:val="0"/>
          <w:kern w:val="0"/>
          <w:sz w:val="28"/>
          <w:szCs w:val="28"/>
        </w:rPr>
        <w:t>元。</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8363万元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8355.99万元</w:t>
      </w:r>
      <w:r>
        <w:rPr>
          <w:snapToGrid w:val="0"/>
          <w:kern w:val="0"/>
          <w:sz w:val="28"/>
          <w:szCs w:val="28"/>
        </w:rPr>
        <w:t>，</w:t>
      </w:r>
      <w:r>
        <w:rPr>
          <w:rFonts w:hint="eastAsia"/>
          <w:snapToGrid w:val="0"/>
          <w:kern w:val="0"/>
          <w:sz w:val="28"/>
          <w:szCs w:val="28"/>
        </w:rPr>
        <w:t>较上年减少68.99</w:t>
      </w:r>
      <w:r>
        <w:rPr>
          <w:snapToGrid w:val="0"/>
          <w:kern w:val="0"/>
          <w:sz w:val="28"/>
          <w:szCs w:val="28"/>
        </w:rPr>
        <w:t>%，</w:t>
      </w:r>
      <w:r>
        <w:rPr>
          <w:rFonts w:hint="eastAsia"/>
          <w:snapToGrid w:val="0"/>
          <w:kern w:val="0"/>
          <w:sz w:val="28"/>
          <w:szCs w:val="28"/>
        </w:rPr>
        <w:t>减少18589.68万元，</w:t>
      </w:r>
      <w:r>
        <w:rPr>
          <w:snapToGrid w:val="0"/>
          <w:kern w:val="0"/>
          <w:sz w:val="28"/>
          <w:szCs w:val="28"/>
        </w:rPr>
        <w:t>主要原因</w:t>
      </w:r>
      <w:r>
        <w:rPr>
          <w:rFonts w:hint="eastAsia"/>
          <w:snapToGrid w:val="0"/>
          <w:kern w:val="0"/>
          <w:sz w:val="28"/>
          <w:szCs w:val="28"/>
        </w:rPr>
        <w:t>一些挂账项目转列支出；上</w:t>
      </w:r>
      <w:r>
        <w:rPr>
          <w:snapToGrid w:val="0"/>
          <w:kern w:val="0"/>
          <w:sz w:val="28"/>
          <w:szCs w:val="28"/>
        </w:rPr>
        <w:t>级补助收入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无变化； 事业</w:t>
      </w:r>
      <w:r>
        <w:rPr>
          <w:snapToGrid w:val="0"/>
          <w:kern w:val="0"/>
          <w:sz w:val="28"/>
          <w:szCs w:val="28"/>
        </w:rPr>
        <w:t>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无变化；</w:t>
      </w:r>
      <w:r>
        <w:rPr>
          <w:snapToGrid w:val="0"/>
          <w:kern w:val="0"/>
          <w:sz w:val="28"/>
          <w:szCs w:val="28"/>
        </w:rPr>
        <w:t>其他收入</w:t>
      </w:r>
      <w:r>
        <w:rPr>
          <w:rFonts w:hint="eastAsia"/>
          <w:snapToGrid w:val="0"/>
          <w:kern w:val="0"/>
          <w:sz w:val="28"/>
          <w:szCs w:val="28"/>
        </w:rPr>
        <w:t>7.01万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182.66</w:t>
      </w:r>
      <w:r>
        <w:rPr>
          <w:snapToGrid w:val="0"/>
          <w:kern w:val="0"/>
          <w:sz w:val="28"/>
          <w:szCs w:val="28"/>
        </w:rPr>
        <w:t>%，增收</w:t>
      </w:r>
      <w:r>
        <w:rPr>
          <w:rFonts w:hint="eastAsia"/>
          <w:snapToGrid w:val="0"/>
          <w:kern w:val="0"/>
          <w:sz w:val="28"/>
          <w:szCs w:val="28"/>
        </w:rPr>
        <w:t>4.53万元，</w:t>
      </w:r>
      <w:r>
        <w:rPr>
          <w:snapToGrid w:val="0"/>
          <w:kern w:val="0"/>
          <w:sz w:val="28"/>
          <w:szCs w:val="28"/>
        </w:rPr>
        <w:t>主要原因</w:t>
      </w:r>
      <w:r>
        <w:rPr>
          <w:rFonts w:hint="eastAsia"/>
          <w:snapToGrid w:val="0"/>
          <w:kern w:val="0"/>
          <w:sz w:val="28"/>
          <w:szCs w:val="28"/>
        </w:rPr>
        <w:t>是利息增加。</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度支出总计</w:t>
      </w:r>
      <w:r>
        <w:rPr>
          <w:rFonts w:hint="eastAsia"/>
          <w:snapToGrid w:val="0"/>
          <w:kern w:val="0"/>
          <w:sz w:val="28"/>
          <w:szCs w:val="28"/>
        </w:rPr>
        <w:t>8918.44万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167.87万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1.88</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8750.57万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 xml:space="preserve"> 98.12 </w:t>
      </w:r>
      <w:r>
        <w:rPr>
          <w:snapToGrid w:val="0"/>
          <w:kern w:val="0"/>
          <w:sz w:val="28"/>
          <w:szCs w:val="28"/>
        </w:rPr>
        <w:t>%</w:t>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8355.99万</w:t>
      </w:r>
      <w:r>
        <w:rPr>
          <w:snapToGrid w:val="0"/>
          <w:kern w:val="0"/>
          <w:sz w:val="28"/>
          <w:szCs w:val="28"/>
        </w:rPr>
        <w:t>元，较上年</w:t>
      </w:r>
      <w:r>
        <w:rPr>
          <w:rFonts w:hint="eastAsia"/>
          <w:snapToGrid w:val="0"/>
          <w:kern w:val="0"/>
          <w:sz w:val="28"/>
          <w:szCs w:val="28"/>
        </w:rPr>
        <w:t>减少68.99</w:t>
      </w:r>
      <w:r>
        <w:rPr>
          <w:snapToGrid w:val="0"/>
          <w:kern w:val="0"/>
          <w:sz w:val="28"/>
          <w:szCs w:val="28"/>
        </w:rPr>
        <w:t>%，</w:t>
      </w:r>
      <w:r>
        <w:rPr>
          <w:rFonts w:hint="eastAsia"/>
          <w:snapToGrid w:val="0"/>
          <w:kern w:val="0"/>
          <w:sz w:val="28"/>
          <w:szCs w:val="28"/>
        </w:rPr>
        <w:t>减少18589.68万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8905.51万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减少66.35</w:t>
      </w:r>
      <w:r>
        <w:rPr>
          <w:snapToGrid w:val="0"/>
          <w:kern w:val="0"/>
          <w:sz w:val="28"/>
          <w:szCs w:val="28"/>
        </w:rPr>
        <w:t>%，</w:t>
      </w:r>
      <w:r>
        <w:rPr>
          <w:rFonts w:hint="eastAsia"/>
          <w:snapToGrid w:val="0"/>
          <w:kern w:val="0"/>
          <w:sz w:val="28"/>
          <w:szCs w:val="28"/>
        </w:rPr>
        <w:t>减少17556.79</w:t>
      </w:r>
      <w:r>
        <w:rPr>
          <w:snapToGrid w:val="0"/>
          <w:kern w:val="0"/>
          <w:sz w:val="28"/>
          <w:szCs w:val="28"/>
        </w:rPr>
        <w:t xml:space="preserve"> </w:t>
      </w:r>
      <w:r>
        <w:rPr>
          <w:rFonts w:hint="eastAsia"/>
          <w:snapToGrid w:val="0"/>
          <w:kern w:val="0"/>
          <w:sz w:val="28"/>
          <w:szCs w:val="28"/>
        </w:rPr>
        <w:t>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0万</w:t>
      </w:r>
      <w:r>
        <w:rPr>
          <w:snapToGrid w:val="0"/>
          <w:kern w:val="0"/>
          <w:sz w:val="28"/>
          <w:szCs w:val="28"/>
        </w:rPr>
        <w:t>元。</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为1205.99万元，财政</w:t>
      </w:r>
      <w:r>
        <w:rPr>
          <w:snapToGrid w:val="0"/>
          <w:kern w:val="0"/>
          <w:sz w:val="28"/>
          <w:szCs w:val="28"/>
        </w:rPr>
        <w:t>拨款</w:t>
      </w:r>
      <w:r>
        <w:rPr>
          <w:rFonts w:hint="eastAsia"/>
          <w:snapToGrid w:val="0"/>
          <w:kern w:val="0"/>
          <w:sz w:val="28"/>
          <w:szCs w:val="28"/>
        </w:rPr>
        <w:t>本年</w:t>
      </w:r>
      <w:r>
        <w:rPr>
          <w:snapToGrid w:val="0"/>
          <w:kern w:val="0"/>
          <w:sz w:val="28"/>
          <w:szCs w:val="28"/>
        </w:rPr>
        <w:t>支出决算数为</w:t>
      </w:r>
      <w:r>
        <w:rPr>
          <w:rFonts w:hint="eastAsia"/>
          <w:snapToGrid w:val="0"/>
          <w:kern w:val="0"/>
          <w:sz w:val="28"/>
          <w:szCs w:val="28"/>
        </w:rPr>
        <w:t>8905.5万元，占</w:t>
      </w:r>
      <w:r>
        <w:rPr>
          <w:snapToGrid w:val="0"/>
          <w:kern w:val="0"/>
          <w:sz w:val="28"/>
          <w:szCs w:val="28"/>
        </w:rPr>
        <w:t>年初预算数的</w:t>
      </w:r>
      <w:r>
        <w:rPr>
          <w:rFonts w:hint="eastAsia"/>
          <w:snapToGrid w:val="0"/>
          <w:kern w:val="0"/>
          <w:sz w:val="28"/>
          <w:szCs w:val="28"/>
        </w:rPr>
        <w:t>738.44</w:t>
      </w:r>
      <w:r>
        <w:rPr>
          <w:snapToGrid w:val="0"/>
          <w:kern w:val="0"/>
          <w:sz w:val="28"/>
          <w:szCs w:val="28"/>
        </w:rPr>
        <w:t>%</w:t>
      </w:r>
      <w:r>
        <w:rPr>
          <w:rFonts w:hint="eastAsia"/>
          <w:snapToGrid w:val="0"/>
          <w:kern w:val="0"/>
          <w:sz w:val="28"/>
          <w:szCs w:val="28"/>
        </w:rPr>
        <w:t>，主要</w:t>
      </w:r>
      <w:r>
        <w:rPr>
          <w:snapToGrid w:val="0"/>
          <w:kern w:val="0"/>
          <w:sz w:val="28"/>
          <w:szCs w:val="28"/>
        </w:rPr>
        <w:t>原因：</w:t>
      </w:r>
      <w:r>
        <w:rPr>
          <w:rFonts w:hint="eastAsia"/>
          <w:snapToGrid w:val="0"/>
          <w:kern w:val="0"/>
          <w:sz w:val="28"/>
          <w:szCs w:val="28"/>
        </w:rPr>
        <w:t>2016年</w:t>
      </w:r>
      <w:r>
        <w:rPr>
          <w:snapToGrid w:val="0"/>
          <w:kern w:val="0"/>
          <w:sz w:val="28"/>
          <w:szCs w:val="28"/>
        </w:rPr>
        <w:t>项目增加</w:t>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pPr>
        <w:adjustRightInd w:val="0"/>
        <w:snapToGrid w:val="0"/>
        <w:spacing w:line="560" w:lineRule="exact"/>
        <w:ind w:firstLine="560" w:firstLineChars="200"/>
        <w:rPr>
          <w:snapToGrid w:val="0"/>
          <w:kern w:val="0"/>
          <w:sz w:val="28"/>
          <w:szCs w:val="28"/>
        </w:rPr>
      </w:pPr>
      <w:r>
        <w:rPr>
          <w:snapToGrid w:val="0"/>
          <w:kern w:val="0"/>
          <w:sz w:val="28"/>
          <w:szCs w:val="28"/>
        </w:rPr>
        <w:t>2016</w:t>
      </w:r>
      <w:r>
        <w:rPr>
          <w:rFonts w:hint="eastAsia"/>
          <w:snapToGrid w:val="0"/>
          <w:kern w:val="0"/>
          <w:sz w:val="28"/>
          <w:szCs w:val="28"/>
        </w:rPr>
        <w:t>年，全年一般公共预算财政拨款</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经费支出合计</w:t>
      </w:r>
      <w:r>
        <w:rPr>
          <w:snapToGrid w:val="0"/>
          <w:kern w:val="0"/>
          <w:sz w:val="28"/>
          <w:szCs w:val="28"/>
        </w:rPr>
        <w:t xml:space="preserve"> 52.22</w:t>
      </w:r>
      <w:r>
        <w:rPr>
          <w:rFonts w:hint="eastAsia"/>
          <w:snapToGrid w:val="0"/>
          <w:kern w:val="0"/>
          <w:sz w:val="28"/>
          <w:szCs w:val="28"/>
        </w:rPr>
        <w:t>万元，较</w:t>
      </w:r>
      <w:r>
        <w:rPr>
          <w:snapToGrid w:val="0"/>
          <w:kern w:val="0"/>
          <w:sz w:val="28"/>
          <w:szCs w:val="28"/>
        </w:rPr>
        <w:t>2015</w:t>
      </w:r>
      <w:r>
        <w:rPr>
          <w:rFonts w:hint="eastAsia"/>
          <w:snapToGrid w:val="0"/>
          <w:kern w:val="0"/>
          <w:sz w:val="28"/>
          <w:szCs w:val="28"/>
        </w:rPr>
        <w:t>年增加14.64万元，增加38.95</w:t>
      </w:r>
      <w:r>
        <w:rPr>
          <w:snapToGrid w:val="0"/>
          <w:kern w:val="0"/>
          <w:sz w:val="28"/>
          <w:szCs w:val="28"/>
        </w:rPr>
        <w:t xml:space="preserve"> %</w:t>
      </w:r>
      <w:r>
        <w:rPr>
          <w:rFonts w:hint="eastAsia"/>
          <w:snapToGrid w:val="0"/>
          <w:kern w:val="0"/>
          <w:sz w:val="28"/>
          <w:szCs w:val="28"/>
        </w:rPr>
        <w:t>。</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2016年因公出国（境）费本年支出</w:t>
      </w:r>
      <w:r>
        <w:rPr>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较</w:t>
      </w:r>
      <w:r>
        <w:rPr>
          <w:snapToGrid w:val="0"/>
          <w:kern w:val="0"/>
          <w:sz w:val="28"/>
          <w:szCs w:val="28"/>
        </w:rPr>
        <w:t>预算</w:t>
      </w:r>
      <w:r>
        <w:rPr>
          <w:rFonts w:hint="eastAsia"/>
          <w:snapToGrid w:val="0"/>
          <w:kern w:val="0"/>
          <w:sz w:val="28"/>
          <w:szCs w:val="28"/>
        </w:rPr>
        <w:t xml:space="preserve">压减 </w:t>
      </w:r>
      <w:r>
        <w:rPr>
          <w:snapToGrid w:val="0"/>
          <w:kern w:val="0"/>
          <w:sz w:val="28"/>
          <w:szCs w:val="28"/>
        </w:rPr>
        <w:t>0</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 xml:space="preserve">0 </w:t>
      </w:r>
      <w:r>
        <w:rPr>
          <w:snapToGrid w:val="0"/>
          <w:kern w:val="0"/>
          <w:sz w:val="28"/>
          <w:szCs w:val="28"/>
        </w:rPr>
        <w:t>%</w:t>
      </w:r>
      <w:r>
        <w:rPr>
          <w:rFonts w:hint="eastAsia"/>
          <w:snapToGrid w:val="0"/>
          <w:kern w:val="0"/>
          <w:sz w:val="28"/>
          <w:szCs w:val="28"/>
        </w:rPr>
        <w:t xml:space="preserve">，较2015年减少1.25万元，增加100 </w:t>
      </w:r>
      <w:r>
        <w:rPr>
          <w:snapToGrid w:val="0"/>
          <w:kern w:val="0"/>
          <w:sz w:val="28"/>
          <w:szCs w:val="28"/>
        </w:rPr>
        <w:t>%。主要原因</w:t>
      </w:r>
      <w:r>
        <w:rPr>
          <w:rFonts w:hint="eastAsia"/>
          <w:snapToGrid w:val="0"/>
          <w:kern w:val="0"/>
          <w:sz w:val="28"/>
          <w:szCs w:val="28"/>
        </w:rPr>
        <w:t>:没有</w:t>
      </w:r>
      <w:r>
        <w:rPr>
          <w:snapToGrid w:val="0"/>
          <w:kern w:val="0"/>
          <w:sz w:val="28"/>
          <w:szCs w:val="28"/>
        </w:rPr>
        <w:t>人员出国（</w:t>
      </w:r>
      <w:r>
        <w:rPr>
          <w:rFonts w:hint="eastAsia"/>
          <w:snapToGrid w:val="0"/>
          <w:kern w:val="0"/>
          <w:sz w:val="28"/>
          <w:szCs w:val="28"/>
        </w:rPr>
        <w:t>境</w:t>
      </w:r>
      <w:r>
        <w:rPr>
          <w:snapToGrid w:val="0"/>
          <w:kern w:val="0"/>
          <w:sz w:val="28"/>
          <w:szCs w:val="28"/>
        </w:rPr>
        <w:t>）</w:t>
      </w:r>
      <w:r>
        <w:rPr>
          <w:rFonts w:hint="eastAsia"/>
          <w:snapToGrid w:val="0"/>
          <w:kern w:val="0"/>
          <w:sz w:val="28"/>
          <w:szCs w:val="28"/>
        </w:rPr>
        <w:t>安排。因公出国（境）团组</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个，因公出国（境）人次数</w:t>
      </w:r>
      <w:r>
        <w:rPr>
          <w:snapToGrid w:val="0"/>
          <w:kern w:val="0"/>
          <w:sz w:val="28"/>
          <w:szCs w:val="28"/>
        </w:rPr>
        <w:t xml:space="preserve"> 0</w:t>
      </w:r>
      <w:r>
        <w:rPr>
          <w:rFonts w:hint="eastAsia"/>
          <w:snapToGrid w:val="0"/>
          <w:kern w:val="0"/>
          <w:sz w:val="28"/>
          <w:szCs w:val="28"/>
        </w:rPr>
        <w:t>人。</w:t>
      </w:r>
    </w:p>
    <w:p>
      <w:pPr>
        <w:adjustRightInd w:val="0"/>
        <w:snapToGrid w:val="0"/>
        <w:spacing w:line="560" w:lineRule="exact"/>
        <w:rPr>
          <w:rFonts w:ascii="仿宋_GB2312" w:hAnsi="仿宋" w:eastAsia="仿宋_GB2312" w:cs="仿宋"/>
          <w:color w:val="000000"/>
          <w:sz w:val="32"/>
          <w:szCs w:val="32"/>
        </w:rPr>
      </w:pPr>
      <w:r>
        <w:rPr>
          <w:rFonts w:hint="eastAsia"/>
          <w:snapToGrid w:val="0"/>
          <w:kern w:val="0"/>
          <w:sz w:val="28"/>
          <w:szCs w:val="28"/>
        </w:rPr>
        <w:t xml:space="preserve">    </w:t>
      </w:r>
      <w:r>
        <w:rPr>
          <w:rFonts w:hint="eastAsia" w:ascii="仿宋_GB2312" w:hAnsi="仿宋" w:eastAsia="仿宋_GB2312" w:cs="仿宋"/>
          <w:color w:val="000000"/>
          <w:sz w:val="32"/>
          <w:szCs w:val="32"/>
        </w:rPr>
        <w:t xml:space="preserve">            </w:t>
      </w:r>
      <w:r>
        <w:rPr>
          <w:rFonts w:ascii="仿宋_GB2312" w:hAnsi="仿宋" w:eastAsia="仿宋_GB2312" w:cs="仿宋"/>
          <w:color w:val="000000"/>
          <w:sz w:val="32"/>
          <w:szCs w:val="32"/>
        </w:rPr>
        <w:t xml:space="preserve">                                      </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50.72万元。（2016年</w:t>
      </w:r>
      <w:r>
        <w:rPr>
          <w:snapToGrid w:val="0"/>
          <w:kern w:val="0"/>
          <w:sz w:val="28"/>
          <w:szCs w:val="28"/>
        </w:rPr>
        <w:t>度未</w:t>
      </w:r>
      <w:r>
        <w:rPr>
          <w:rFonts w:hint="eastAsia"/>
          <w:snapToGrid w:val="0"/>
          <w:kern w:val="0"/>
          <w:sz w:val="28"/>
          <w:szCs w:val="28"/>
        </w:rPr>
        <w:t>购置</w:t>
      </w:r>
      <w:r>
        <w:rPr>
          <w:snapToGrid w:val="0"/>
          <w:kern w:val="0"/>
          <w:sz w:val="28"/>
          <w:szCs w:val="28"/>
        </w:rPr>
        <w:t>公务用车，</w:t>
      </w:r>
      <w:r>
        <w:rPr>
          <w:rFonts w:hint="eastAsia"/>
          <w:snapToGrid w:val="0"/>
          <w:kern w:val="0"/>
          <w:sz w:val="28"/>
          <w:szCs w:val="28"/>
        </w:rPr>
        <w:t>年末</w:t>
      </w:r>
      <w:r>
        <w:rPr>
          <w:snapToGrid w:val="0"/>
          <w:kern w:val="0"/>
          <w:sz w:val="28"/>
          <w:szCs w:val="28"/>
        </w:rPr>
        <w:t>公务用车保有量14</w:t>
      </w:r>
      <w:r>
        <w:rPr>
          <w:rFonts w:hint="eastAsia"/>
          <w:snapToGrid w:val="0"/>
          <w:kern w:val="0"/>
          <w:sz w:val="28"/>
          <w:szCs w:val="28"/>
        </w:rPr>
        <w:t>辆。）</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0万元</w:t>
      </w:r>
      <w:r>
        <w:rPr>
          <w:snapToGrid w:val="0"/>
          <w:kern w:val="0"/>
          <w:sz w:val="28"/>
          <w:szCs w:val="28"/>
        </w:rPr>
        <w:t>，</w:t>
      </w:r>
      <w:r>
        <w:rPr>
          <w:rFonts w:hint="eastAsia"/>
          <w:snapToGrid w:val="0"/>
          <w:kern w:val="0"/>
          <w:sz w:val="28"/>
          <w:szCs w:val="28"/>
        </w:rPr>
        <w:t>减少0</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w:t>
      </w:r>
      <w:r>
        <w:rPr>
          <w:rFonts w:hint="eastAsia"/>
          <w:snapToGrid w:val="0"/>
          <w:kern w:val="0"/>
          <w:sz w:val="28"/>
          <w:szCs w:val="28"/>
        </w:rPr>
        <w:t>。主要原因：无公务用车</w:t>
      </w:r>
      <w:r>
        <w:rPr>
          <w:snapToGrid w:val="0"/>
          <w:kern w:val="0"/>
          <w:sz w:val="28"/>
          <w:szCs w:val="28"/>
        </w:rPr>
        <w:t>购置</w:t>
      </w:r>
      <w:r>
        <w:rPr>
          <w:rFonts w:hint="eastAsia"/>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公务用车运行维护费本年支出50.72万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3</w:t>
      </w:r>
      <w:r>
        <w:rPr>
          <w:snapToGrid w:val="0"/>
          <w:kern w:val="0"/>
          <w:sz w:val="28"/>
          <w:szCs w:val="28"/>
        </w:rPr>
        <w:t>8.28</w:t>
      </w:r>
      <w:r>
        <w:rPr>
          <w:rFonts w:hint="eastAsia"/>
          <w:snapToGrid w:val="0"/>
          <w:kern w:val="0"/>
          <w:sz w:val="28"/>
          <w:szCs w:val="28"/>
        </w:rPr>
        <w:t xml:space="preserve"> 万元</w:t>
      </w:r>
      <w:r>
        <w:rPr>
          <w:snapToGrid w:val="0"/>
          <w:kern w:val="0"/>
          <w:sz w:val="28"/>
          <w:szCs w:val="28"/>
        </w:rPr>
        <w:t>，减少</w:t>
      </w:r>
      <w:r>
        <w:rPr>
          <w:rFonts w:hint="eastAsia"/>
          <w:snapToGrid w:val="0"/>
          <w:kern w:val="0"/>
          <w:sz w:val="28"/>
          <w:szCs w:val="28"/>
        </w:rPr>
        <w:t>4</w:t>
      </w:r>
      <w:r>
        <w:rPr>
          <w:snapToGrid w:val="0"/>
          <w:kern w:val="0"/>
          <w:sz w:val="28"/>
          <w:szCs w:val="28"/>
        </w:rPr>
        <w:t>3.01</w:t>
      </w:r>
      <w:r>
        <w:rPr>
          <w:rFonts w:hint="eastAsia"/>
          <w:snapToGrid w:val="0"/>
          <w:kern w:val="0"/>
          <w:sz w:val="28"/>
          <w:szCs w:val="28"/>
        </w:rPr>
        <w:t xml:space="preserve"> </w:t>
      </w:r>
      <w:r>
        <w:rPr>
          <w:snapToGrid w:val="0"/>
          <w:kern w:val="0"/>
          <w:sz w:val="28"/>
          <w:szCs w:val="28"/>
        </w:rPr>
        <w:t>%；</w:t>
      </w:r>
      <w:r>
        <w:rPr>
          <w:rFonts w:hint="eastAsia"/>
          <w:snapToGrid w:val="0"/>
          <w:kern w:val="0"/>
          <w:sz w:val="28"/>
          <w:szCs w:val="28"/>
        </w:rPr>
        <w:t>较2015年增加17.47万元，增加5</w:t>
      </w:r>
      <w:r>
        <w:rPr>
          <w:snapToGrid w:val="0"/>
          <w:kern w:val="0"/>
          <w:sz w:val="28"/>
          <w:szCs w:val="28"/>
        </w:rPr>
        <w:t>2.57%。</w:t>
      </w:r>
      <w:r>
        <w:rPr>
          <w:rFonts w:hint="eastAsia"/>
          <w:snapToGrid w:val="0"/>
          <w:kern w:val="0"/>
          <w:sz w:val="28"/>
          <w:szCs w:val="28"/>
        </w:rPr>
        <w:t>主要原因2015年10月16日由区委、区政府批准，由区公安局招聘50名特警，抽调2名干警，同时配备12部警用勤务车辆，在开发区范围内执行不间断巡逻防控任务。</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2016年公务接待费全年支出1.5万元，较</w:t>
      </w:r>
      <w:r>
        <w:rPr>
          <w:snapToGrid w:val="0"/>
          <w:kern w:val="0"/>
          <w:sz w:val="28"/>
          <w:szCs w:val="28"/>
        </w:rPr>
        <w:t>预算</w:t>
      </w:r>
      <w:r>
        <w:rPr>
          <w:rFonts w:hint="eastAsia"/>
          <w:snapToGrid w:val="0"/>
          <w:kern w:val="0"/>
          <w:sz w:val="28"/>
          <w:szCs w:val="28"/>
        </w:rPr>
        <w:t>压减</w:t>
      </w:r>
      <w:r>
        <w:rPr>
          <w:snapToGrid w:val="0"/>
          <w:kern w:val="0"/>
          <w:sz w:val="28"/>
          <w:szCs w:val="28"/>
        </w:rPr>
        <w:t xml:space="preserve">  6.5</w:t>
      </w:r>
      <w:r>
        <w:rPr>
          <w:rFonts w:hint="eastAsia"/>
          <w:snapToGrid w:val="0"/>
          <w:kern w:val="0"/>
          <w:sz w:val="28"/>
          <w:szCs w:val="28"/>
        </w:rPr>
        <w:t>万元，</w:t>
      </w:r>
      <w:r>
        <w:rPr>
          <w:snapToGrid w:val="0"/>
          <w:kern w:val="0"/>
          <w:sz w:val="28"/>
          <w:szCs w:val="28"/>
        </w:rPr>
        <w:t>减少81.25%；</w:t>
      </w:r>
      <w:r>
        <w:rPr>
          <w:rFonts w:hint="eastAsia"/>
          <w:snapToGrid w:val="0"/>
          <w:kern w:val="0"/>
          <w:sz w:val="28"/>
          <w:szCs w:val="28"/>
        </w:rPr>
        <w:t>较2015年减少1.59万元，减少5</w:t>
      </w:r>
      <w:r>
        <w:rPr>
          <w:snapToGrid w:val="0"/>
          <w:kern w:val="0"/>
          <w:sz w:val="28"/>
          <w:szCs w:val="28"/>
        </w:rPr>
        <w:t>1.38%</w:t>
      </w:r>
      <w:r>
        <w:rPr>
          <w:rFonts w:hint="eastAsia"/>
          <w:snapToGrid w:val="0"/>
          <w:kern w:val="0"/>
          <w:sz w:val="28"/>
          <w:szCs w:val="28"/>
        </w:rPr>
        <w:t xml:space="preserve">。主要原因严格按上级要求控制公务接待支出。      </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国内公务接待批次11个，国内公务接待人次243人；国外公务接待批次</w:t>
      </w:r>
      <w:r>
        <w:rPr>
          <w:snapToGrid w:val="0"/>
          <w:kern w:val="0"/>
          <w:sz w:val="28"/>
          <w:szCs w:val="28"/>
        </w:rPr>
        <w:t xml:space="preserve"> </w:t>
      </w:r>
      <w:r>
        <w:rPr>
          <w:rFonts w:hint="eastAsia"/>
          <w:snapToGrid w:val="0"/>
          <w:kern w:val="0"/>
          <w:sz w:val="28"/>
          <w:szCs w:val="28"/>
        </w:rPr>
        <w:t>0个，国外公务接待人次0人。</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。如我单位的开发区管委会亮化维护费用项目，该项目年初预算安排40万元，截至年末实际支出40万元。取得了优化开发区建设投资环境、提升开发区整体形象的成果，较好的实现了预算项目绩效目标。</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pPr>
        <w:pStyle w:val="6"/>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年本部门机关运行经费支出37.64万元，比201</w:t>
      </w:r>
      <w:r>
        <w:rPr>
          <w:snapToGrid w:val="0"/>
          <w:kern w:val="0"/>
          <w:sz w:val="28"/>
          <w:szCs w:val="28"/>
        </w:rPr>
        <w:t>5</w:t>
      </w:r>
      <w:r>
        <w:rPr>
          <w:rFonts w:hint="eastAsia"/>
          <w:snapToGrid w:val="0"/>
          <w:kern w:val="0"/>
          <w:sz w:val="28"/>
          <w:szCs w:val="28"/>
        </w:rPr>
        <w:t>年减少48.23</w:t>
      </w:r>
      <w:r>
        <w:rPr>
          <w:snapToGrid w:val="0"/>
          <w:kern w:val="0"/>
          <w:sz w:val="28"/>
          <w:szCs w:val="28"/>
        </w:rPr>
        <w:t xml:space="preserve"> </w:t>
      </w:r>
      <w:r>
        <w:rPr>
          <w:rFonts w:hint="eastAsia"/>
          <w:snapToGrid w:val="0"/>
          <w:kern w:val="0"/>
          <w:sz w:val="28"/>
          <w:szCs w:val="28"/>
        </w:rPr>
        <w:t>万元，下降56.17</w:t>
      </w:r>
      <w:r>
        <w:rPr>
          <w:snapToGrid w:val="0"/>
          <w:kern w:val="0"/>
          <w:sz w:val="28"/>
          <w:szCs w:val="28"/>
        </w:rPr>
        <w:t xml:space="preserve"> </w:t>
      </w:r>
      <w:r>
        <w:rPr>
          <w:rFonts w:hint="eastAsia"/>
          <w:snapToGrid w:val="0"/>
          <w:kern w:val="0"/>
          <w:sz w:val="28"/>
          <w:szCs w:val="28"/>
        </w:rPr>
        <w:t>%。主要原因是：对会议费、招待费进行了压缩，对涉及征地及返迁的运行经费进行了压缩 。</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 xml:space="preserve">2016年度公用经费总支出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类款项合计_本年支出基本支出日常公用经费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37.64</w:t>
      </w:r>
      <w:r>
        <w:rPr>
          <w:snapToGrid w:val="0"/>
          <w:kern w:val="0"/>
          <w:sz w:val="28"/>
          <w:szCs w:val="28"/>
        </w:rPr>
        <w:fldChar w:fldCharType="end"/>
      </w:r>
      <w:r>
        <w:rPr>
          <w:rFonts w:hint="eastAsia"/>
          <w:snapToGrid w:val="0"/>
          <w:kern w:val="0"/>
          <w:sz w:val="28"/>
          <w:szCs w:val="28"/>
        </w:rPr>
        <w:t>万元，其中办公费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类款项合计_商品和服务支出办公费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7.86</w:t>
      </w:r>
      <w:r>
        <w:rPr>
          <w:snapToGrid w:val="0"/>
          <w:kern w:val="0"/>
          <w:sz w:val="28"/>
          <w:szCs w:val="28"/>
        </w:rPr>
        <w:fldChar w:fldCharType="end"/>
      </w:r>
      <w:r>
        <w:rPr>
          <w:rFonts w:hint="eastAsia"/>
          <w:snapToGrid w:val="0"/>
          <w:kern w:val="0"/>
          <w:sz w:val="28"/>
          <w:szCs w:val="28"/>
        </w:rPr>
        <w:t xml:space="preserve"> 万元、印刷费</w:t>
      </w:r>
      <w:r>
        <w:rPr>
          <w:snapToGrid w:val="0"/>
          <w:kern w:val="0"/>
          <w:sz w:val="28"/>
          <w:szCs w:val="28"/>
        </w:rPr>
        <w:t>0</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类款项合计_商品和服务支出印刷费</w:instrText>
      </w:r>
      <w:r>
        <w:rPr>
          <w:snapToGrid w:val="0"/>
          <w:kern w:val="0"/>
          <w:sz w:val="28"/>
          <w:szCs w:val="28"/>
        </w:rPr>
        <w:instrText xml:space="preserve"> </w:instrText>
      </w:r>
      <w:r>
        <w:rPr>
          <w:snapToGrid w:val="0"/>
          <w:kern w:val="0"/>
          <w:sz w:val="28"/>
          <w:szCs w:val="28"/>
        </w:rPr>
        <w:fldChar w:fldCharType="end"/>
      </w:r>
      <w:r>
        <w:rPr>
          <w:rFonts w:hint="eastAsia"/>
          <w:snapToGrid w:val="0"/>
          <w:kern w:val="0"/>
          <w:sz w:val="28"/>
          <w:szCs w:val="28"/>
        </w:rPr>
        <w:t>万元、水费</w:t>
      </w:r>
      <w:r>
        <w:rPr>
          <w:snapToGrid w:val="0"/>
          <w:kern w:val="0"/>
          <w:sz w:val="28"/>
          <w:szCs w:val="28"/>
        </w:rPr>
        <w:t>0</w:t>
      </w:r>
      <w:r>
        <w:rPr>
          <w:rFonts w:hint="eastAsia"/>
          <w:snapToGrid w:val="0"/>
          <w:kern w:val="0"/>
          <w:sz w:val="28"/>
          <w:szCs w:val="28"/>
        </w:rPr>
        <w:t>万元、电费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类款项合计_商品和服务支出电费</w:instrText>
      </w:r>
      <w:r>
        <w:rPr>
          <w:snapToGrid w:val="0"/>
          <w:kern w:val="0"/>
          <w:sz w:val="28"/>
          <w:szCs w:val="28"/>
        </w:rPr>
        <w:instrText xml:space="preserve"> </w:instrText>
      </w:r>
      <w:r>
        <w:rPr>
          <w:snapToGrid w:val="0"/>
          <w:kern w:val="0"/>
          <w:sz w:val="28"/>
          <w:szCs w:val="28"/>
        </w:rPr>
        <w:fldChar w:fldCharType="end"/>
      </w:r>
      <w:r>
        <w:rPr>
          <w:rFonts w:hint="eastAsia"/>
          <w:snapToGrid w:val="0"/>
          <w:kern w:val="0"/>
          <w:sz w:val="28"/>
          <w:szCs w:val="28"/>
        </w:rPr>
        <w:t>万元、邮电费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类款项合计_商品和服务支出邮电费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3.85</w:t>
      </w:r>
      <w:r>
        <w:rPr>
          <w:snapToGrid w:val="0"/>
          <w:kern w:val="0"/>
          <w:sz w:val="28"/>
          <w:szCs w:val="28"/>
        </w:rPr>
        <w:fldChar w:fldCharType="end"/>
      </w:r>
      <w:r>
        <w:rPr>
          <w:rFonts w:hint="eastAsia"/>
          <w:snapToGrid w:val="0"/>
          <w:kern w:val="0"/>
          <w:sz w:val="28"/>
          <w:szCs w:val="28"/>
        </w:rPr>
        <w:t xml:space="preserve"> 万元、取暖费</w:t>
      </w:r>
      <w:r>
        <w:rPr>
          <w:snapToGrid w:val="0"/>
          <w:kern w:val="0"/>
          <w:sz w:val="28"/>
          <w:szCs w:val="28"/>
        </w:rPr>
        <w:t>0</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类款项合计_商品和服务支出取暖费</w:instrText>
      </w:r>
      <w:r>
        <w:rPr>
          <w:snapToGrid w:val="0"/>
          <w:kern w:val="0"/>
          <w:sz w:val="28"/>
          <w:szCs w:val="28"/>
        </w:rPr>
        <w:instrText xml:space="preserve"> </w:instrText>
      </w:r>
      <w:r>
        <w:rPr>
          <w:snapToGrid w:val="0"/>
          <w:kern w:val="0"/>
          <w:sz w:val="28"/>
          <w:szCs w:val="28"/>
        </w:rPr>
        <w:fldChar w:fldCharType="end"/>
      </w:r>
      <w:r>
        <w:rPr>
          <w:rFonts w:hint="eastAsia"/>
          <w:snapToGrid w:val="0"/>
          <w:kern w:val="0"/>
          <w:sz w:val="28"/>
          <w:szCs w:val="28"/>
        </w:rPr>
        <w:t>万元、差旅费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类款项合计_商品和服务支出差旅费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3.17</w:t>
      </w:r>
      <w:r>
        <w:rPr>
          <w:snapToGrid w:val="0"/>
          <w:kern w:val="0"/>
          <w:sz w:val="28"/>
          <w:szCs w:val="28"/>
        </w:rPr>
        <w:fldChar w:fldCharType="end"/>
      </w:r>
      <w:r>
        <w:rPr>
          <w:rFonts w:hint="eastAsia"/>
          <w:snapToGrid w:val="0"/>
          <w:kern w:val="0"/>
          <w:sz w:val="28"/>
          <w:szCs w:val="28"/>
        </w:rPr>
        <w:t>万元、维修（护）费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类款项合计_商品和服务支出维修（护）费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0.43</w:t>
      </w:r>
      <w:r>
        <w:rPr>
          <w:snapToGrid w:val="0"/>
          <w:kern w:val="0"/>
          <w:sz w:val="28"/>
          <w:szCs w:val="28"/>
        </w:rPr>
        <w:fldChar w:fldCharType="end"/>
      </w:r>
      <w:r>
        <w:rPr>
          <w:rFonts w:hint="eastAsia"/>
          <w:snapToGrid w:val="0"/>
          <w:kern w:val="0"/>
          <w:sz w:val="28"/>
          <w:szCs w:val="28"/>
        </w:rPr>
        <w:t xml:space="preserve">万元、会议费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类款项合计_商品和服务支出会议费</w:instrText>
      </w:r>
      <w:r>
        <w:rPr>
          <w:snapToGrid w:val="0"/>
          <w:kern w:val="0"/>
          <w:sz w:val="28"/>
          <w:szCs w:val="28"/>
        </w:rPr>
        <w:instrText xml:space="preserve"> </w:instrText>
      </w:r>
      <w:r>
        <w:rPr>
          <w:snapToGrid w:val="0"/>
          <w:kern w:val="0"/>
          <w:sz w:val="28"/>
          <w:szCs w:val="28"/>
        </w:rPr>
        <w:fldChar w:fldCharType="end"/>
      </w:r>
      <w:r>
        <w:rPr>
          <w:snapToGrid w:val="0"/>
          <w:kern w:val="0"/>
          <w:sz w:val="28"/>
          <w:szCs w:val="28"/>
        </w:rPr>
        <w:t>0</w:t>
      </w:r>
      <w:r>
        <w:rPr>
          <w:rFonts w:hint="eastAsia"/>
          <w:snapToGrid w:val="0"/>
          <w:kern w:val="0"/>
          <w:sz w:val="28"/>
          <w:szCs w:val="28"/>
        </w:rPr>
        <w:t>万元、培训费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类款项合计_商品和服务支出培训费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0.06</w:t>
      </w:r>
      <w:r>
        <w:rPr>
          <w:snapToGrid w:val="0"/>
          <w:kern w:val="0"/>
          <w:sz w:val="28"/>
          <w:szCs w:val="28"/>
        </w:rPr>
        <w:fldChar w:fldCharType="end"/>
      </w:r>
      <w:r>
        <w:rPr>
          <w:rFonts w:hint="eastAsia"/>
          <w:snapToGrid w:val="0"/>
          <w:kern w:val="0"/>
          <w:sz w:val="28"/>
          <w:szCs w:val="28"/>
        </w:rPr>
        <w:t>万元、公务接待费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类款项合计_商品和服务支出公务接待费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1.36</w:t>
      </w:r>
      <w:r>
        <w:rPr>
          <w:snapToGrid w:val="0"/>
          <w:kern w:val="0"/>
          <w:sz w:val="28"/>
          <w:szCs w:val="28"/>
        </w:rPr>
        <w:fldChar w:fldCharType="end"/>
      </w:r>
      <w:r>
        <w:rPr>
          <w:rFonts w:hint="eastAsia"/>
          <w:snapToGrid w:val="0"/>
          <w:kern w:val="0"/>
          <w:sz w:val="28"/>
          <w:szCs w:val="28"/>
        </w:rPr>
        <w:t>万元、工会经费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类款项合计_商品和服务支出工会经费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1.32</w:t>
      </w:r>
      <w:r>
        <w:rPr>
          <w:snapToGrid w:val="0"/>
          <w:kern w:val="0"/>
          <w:sz w:val="28"/>
          <w:szCs w:val="28"/>
        </w:rPr>
        <w:fldChar w:fldCharType="end"/>
      </w:r>
      <w:r>
        <w:rPr>
          <w:rFonts w:hint="eastAsia"/>
          <w:snapToGrid w:val="0"/>
          <w:kern w:val="0"/>
          <w:sz w:val="28"/>
          <w:szCs w:val="28"/>
        </w:rPr>
        <w:t xml:space="preserve">万元、福利费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类款项合计_商品和服务支出福利费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1.08</w:t>
      </w:r>
      <w:r>
        <w:rPr>
          <w:snapToGrid w:val="0"/>
          <w:kern w:val="0"/>
          <w:sz w:val="28"/>
          <w:szCs w:val="28"/>
        </w:rPr>
        <w:fldChar w:fldCharType="end"/>
      </w:r>
      <w:r>
        <w:rPr>
          <w:rFonts w:hint="eastAsia"/>
          <w:snapToGrid w:val="0"/>
          <w:kern w:val="0"/>
          <w:sz w:val="28"/>
          <w:szCs w:val="28"/>
        </w:rPr>
        <w:t xml:space="preserve">万元、公务用车运行维护费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类款项合计_商品和服务支出公务用车运行维护费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4.37</w:t>
      </w:r>
      <w:r>
        <w:rPr>
          <w:snapToGrid w:val="0"/>
          <w:kern w:val="0"/>
          <w:sz w:val="28"/>
          <w:szCs w:val="28"/>
        </w:rPr>
        <w:fldChar w:fldCharType="end"/>
      </w:r>
      <w:r>
        <w:rPr>
          <w:rFonts w:hint="eastAsia"/>
          <w:snapToGrid w:val="0"/>
          <w:kern w:val="0"/>
          <w:sz w:val="28"/>
          <w:szCs w:val="28"/>
        </w:rPr>
        <w:t>万元、其他交通费用</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类款项合计_商品和服务支出其他交通费用</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4.94</w:t>
      </w:r>
      <w:r>
        <w:rPr>
          <w:snapToGrid w:val="0"/>
          <w:kern w:val="0"/>
          <w:sz w:val="28"/>
          <w:szCs w:val="28"/>
        </w:rPr>
        <w:fldChar w:fldCharType="end"/>
      </w:r>
      <w:r>
        <w:rPr>
          <w:rFonts w:hint="eastAsia"/>
          <w:snapToGrid w:val="0"/>
          <w:kern w:val="0"/>
          <w:sz w:val="28"/>
          <w:szCs w:val="28"/>
        </w:rPr>
        <w:t>万元等。</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2016年政府采购预算总额为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预算数</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211.53</w:t>
      </w:r>
      <w:r>
        <w:rPr>
          <w:snapToGrid w:val="0"/>
          <w:kern w:val="0"/>
          <w:sz w:val="28"/>
          <w:szCs w:val="28"/>
        </w:rPr>
        <w:fldChar w:fldCharType="end"/>
      </w:r>
      <w:r>
        <w:rPr>
          <w:rFonts w:hint="eastAsia"/>
          <w:snapToGrid w:val="0"/>
          <w:kern w:val="0"/>
          <w:sz w:val="28"/>
          <w:szCs w:val="28"/>
        </w:rPr>
        <w:t xml:space="preserve">万元，主要包括政府采购货物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货物_采购计划金额总计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19.5</w:t>
      </w:r>
      <w:r>
        <w:rPr>
          <w:snapToGrid w:val="0"/>
          <w:kern w:val="0"/>
          <w:sz w:val="28"/>
          <w:szCs w:val="28"/>
        </w:rPr>
        <w:fldChar w:fldCharType="end"/>
      </w:r>
      <w:r>
        <w:rPr>
          <w:rFonts w:hint="eastAsia"/>
          <w:snapToGrid w:val="0"/>
          <w:kern w:val="0"/>
          <w:sz w:val="28"/>
          <w:szCs w:val="28"/>
        </w:rPr>
        <w:t>万元，工程</w:t>
      </w:r>
      <w:r>
        <w:rPr>
          <w:snapToGrid w:val="0"/>
          <w:kern w:val="0"/>
          <w:sz w:val="28"/>
          <w:szCs w:val="28"/>
        </w:rPr>
        <w:t>0</w:t>
      </w:r>
      <w:r>
        <w:rPr>
          <w:rFonts w:hint="eastAsia"/>
          <w:snapToGrid w:val="0"/>
          <w:kern w:val="0"/>
          <w:sz w:val="28"/>
          <w:szCs w:val="28"/>
        </w:rPr>
        <w:t>万元及服务</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服务_采购计划金额总计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192.03</w:t>
      </w:r>
      <w:r>
        <w:rPr>
          <w:snapToGrid w:val="0"/>
          <w:kern w:val="0"/>
          <w:sz w:val="28"/>
          <w:szCs w:val="28"/>
        </w:rPr>
        <w:fldChar w:fldCharType="end"/>
      </w:r>
      <w:r>
        <w:rPr>
          <w:rFonts w:hint="eastAsia"/>
          <w:snapToGrid w:val="0"/>
          <w:kern w:val="0"/>
          <w:sz w:val="28"/>
          <w:szCs w:val="28"/>
        </w:rPr>
        <w:t>万元。</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w:t>
      </w:r>
      <w:r>
        <w:rPr>
          <w:snapToGrid w:val="0"/>
          <w:kern w:val="0"/>
          <w:sz w:val="28"/>
          <w:szCs w:val="28"/>
        </w:rPr>
        <w:t xml:space="preserve"> </w:t>
      </w:r>
      <w:r>
        <w:rPr>
          <w:rFonts w:hint="eastAsia"/>
          <w:snapToGrid w:val="0"/>
          <w:kern w:val="0"/>
          <w:sz w:val="28"/>
          <w:szCs w:val="28"/>
        </w:rPr>
        <w:t>181.72万元，其中：政府采购货物支出14.64万元、政府采购工程支出0万元、政府采购服务支出167.08万元。</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pPr>
        <w:pStyle w:val="6"/>
        <w:adjustRightInd w:val="0"/>
        <w:snapToGrid w:val="0"/>
        <w:spacing w:line="600" w:lineRule="exact"/>
        <w:ind w:firstLine="560"/>
        <w:rPr>
          <w:snapToGrid w:val="0"/>
          <w:kern w:val="0"/>
          <w:sz w:val="28"/>
          <w:szCs w:val="28"/>
        </w:rPr>
      </w:pPr>
      <w:r>
        <w:rPr>
          <w:rFonts w:hint="eastAsia"/>
          <w:snapToGrid w:val="0"/>
          <w:kern w:val="0"/>
          <w:sz w:val="28"/>
          <w:szCs w:val="28"/>
        </w:rPr>
        <w:t xml:space="preserve">我单位2016年末固定资产总额为333.27万元，主要包括房屋  </w:t>
      </w:r>
      <w:r>
        <w:rPr>
          <w:snapToGrid w:val="0"/>
          <w:kern w:val="0"/>
          <w:sz w:val="28"/>
          <w:szCs w:val="28"/>
        </w:rPr>
        <w:t xml:space="preserve"> </w:t>
      </w:r>
      <w:r>
        <w:rPr>
          <w:rFonts w:hint="eastAsia"/>
          <w:snapToGrid w:val="0"/>
          <w:kern w:val="0"/>
          <w:sz w:val="28"/>
          <w:szCs w:val="28"/>
        </w:rPr>
        <w:t>0平方米价值0</w:t>
      </w:r>
      <w:r>
        <w:rPr>
          <w:snapToGrid w:val="0"/>
          <w:kern w:val="0"/>
          <w:sz w:val="28"/>
          <w:szCs w:val="28"/>
        </w:rPr>
        <w:t xml:space="preserve"> </w:t>
      </w:r>
      <w:r>
        <w:rPr>
          <w:rFonts w:hint="eastAsia"/>
          <w:snapToGrid w:val="0"/>
          <w:kern w:val="0"/>
          <w:sz w:val="28"/>
          <w:szCs w:val="28"/>
        </w:rPr>
        <w:t>万元，车辆 14</w:t>
      </w:r>
      <w:r>
        <w:rPr>
          <w:snapToGrid w:val="0"/>
          <w:kern w:val="0"/>
          <w:sz w:val="28"/>
          <w:szCs w:val="28"/>
        </w:rPr>
        <w:t xml:space="preserve">  </w:t>
      </w:r>
      <w:r>
        <w:rPr>
          <w:rFonts w:hint="eastAsia"/>
          <w:snapToGrid w:val="0"/>
          <w:kern w:val="0"/>
          <w:sz w:val="28"/>
          <w:szCs w:val="28"/>
        </w:rPr>
        <w:t>辆价值86.25万元，</w:t>
      </w:r>
      <w:r>
        <w:rPr>
          <w:snapToGrid w:val="0"/>
          <w:kern w:val="0"/>
          <w:sz w:val="28"/>
          <w:szCs w:val="28"/>
        </w:rPr>
        <w:t>单价在</w:t>
      </w:r>
      <w:r>
        <w:rPr>
          <w:rFonts w:hint="eastAsia"/>
          <w:snapToGrid w:val="0"/>
          <w:kern w:val="0"/>
          <w:sz w:val="28"/>
          <w:szCs w:val="28"/>
        </w:rPr>
        <w:t>50万元</w:t>
      </w:r>
      <w:r>
        <w:rPr>
          <w:snapToGrid w:val="0"/>
          <w:kern w:val="0"/>
          <w:sz w:val="28"/>
          <w:szCs w:val="28"/>
        </w:rPr>
        <w:t>以上的设备</w:t>
      </w:r>
      <w:r>
        <w:rPr>
          <w:rFonts w:hint="eastAsia"/>
          <w:snapToGrid w:val="0"/>
          <w:kern w:val="0"/>
          <w:sz w:val="28"/>
          <w:szCs w:val="28"/>
        </w:rPr>
        <w:t>0万元</w:t>
      </w:r>
      <w:r>
        <w:rPr>
          <w:snapToGrid w:val="0"/>
          <w:kern w:val="0"/>
          <w:sz w:val="28"/>
          <w:szCs w:val="28"/>
        </w:rPr>
        <w:t>，</w:t>
      </w:r>
      <w:r>
        <w:rPr>
          <w:rFonts w:hint="eastAsia"/>
          <w:snapToGrid w:val="0"/>
          <w:kern w:val="0"/>
          <w:sz w:val="28"/>
          <w:szCs w:val="28"/>
        </w:rPr>
        <w:t xml:space="preserve">及其他固定资产247.01万元。 </w:t>
      </w:r>
    </w:p>
    <w:p>
      <w:pPr>
        <w:pStyle w:val="6"/>
        <w:adjustRightInd w:val="0"/>
        <w:snapToGrid w:val="0"/>
        <w:spacing w:line="600" w:lineRule="exact"/>
        <w:ind w:firstLine="560"/>
        <w:rPr>
          <w:snapToGrid w:val="0"/>
          <w:kern w:val="0"/>
          <w:sz w:val="28"/>
          <w:szCs w:val="28"/>
        </w:rPr>
      </w:pPr>
      <w:r>
        <w:rPr>
          <w:rFonts w:hint="eastAsia"/>
          <w:snapToGrid w:val="0"/>
          <w:kern w:val="0"/>
          <w:sz w:val="28"/>
          <w:szCs w:val="28"/>
        </w:rPr>
        <w:t>2016年资产变动情况：固定资产增加142.35万元，包括房屋增加0万元,车辆增加1辆，车辆增加 7.8万元，单价</w:t>
      </w:r>
      <w:r>
        <w:rPr>
          <w:snapToGrid w:val="0"/>
          <w:kern w:val="0"/>
          <w:sz w:val="28"/>
          <w:szCs w:val="28"/>
        </w:rPr>
        <w:t>在</w:t>
      </w:r>
      <w:r>
        <w:rPr>
          <w:rFonts w:hint="eastAsia"/>
          <w:snapToGrid w:val="0"/>
          <w:kern w:val="0"/>
          <w:sz w:val="28"/>
          <w:szCs w:val="28"/>
        </w:rPr>
        <w:t>50万元</w:t>
      </w:r>
      <w:r>
        <w:rPr>
          <w:snapToGrid w:val="0"/>
          <w:kern w:val="0"/>
          <w:sz w:val="28"/>
          <w:szCs w:val="28"/>
        </w:rPr>
        <w:t>以上的设备</w:t>
      </w:r>
      <w:r>
        <w:rPr>
          <w:rFonts w:hint="eastAsia"/>
          <w:snapToGrid w:val="0"/>
          <w:kern w:val="0"/>
          <w:sz w:val="28"/>
          <w:szCs w:val="28"/>
        </w:rPr>
        <w:t>增加0万元，</w:t>
      </w:r>
      <w:r>
        <w:rPr>
          <w:snapToGrid w:val="0"/>
          <w:kern w:val="0"/>
          <w:sz w:val="28"/>
          <w:szCs w:val="28"/>
        </w:rPr>
        <w:t>其他固定</w:t>
      </w:r>
      <w:r>
        <w:rPr>
          <w:rFonts w:hint="eastAsia"/>
          <w:snapToGrid w:val="0"/>
          <w:kern w:val="0"/>
          <w:sz w:val="28"/>
          <w:szCs w:val="28"/>
        </w:rPr>
        <w:t>资</w:t>
      </w:r>
      <w:r>
        <w:rPr>
          <w:snapToGrid w:val="0"/>
          <w:kern w:val="0"/>
          <w:sz w:val="28"/>
          <w:szCs w:val="28"/>
        </w:rPr>
        <w:t>产</w:t>
      </w:r>
      <w:r>
        <w:rPr>
          <w:rFonts w:hint="eastAsia"/>
          <w:snapToGrid w:val="0"/>
          <w:kern w:val="0"/>
          <w:sz w:val="28"/>
          <w:szCs w:val="28"/>
        </w:rPr>
        <w:t>增加 134.55万元。</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pPr>
        <w:ind w:firstLine="1267" w:firstLineChars="396"/>
        <w:rPr>
          <w:sz w:val="32"/>
          <w:szCs w:val="44"/>
        </w:rPr>
      </w:pPr>
      <w:r>
        <w:rPr>
          <w:rFonts w:hint="eastAsia"/>
          <w:sz w:val="32"/>
          <w:szCs w:val="44"/>
        </w:rPr>
        <w:t>无</w:t>
      </w:r>
    </w:p>
    <w:p>
      <w:pPr>
        <w:jc w:val="center"/>
        <w:rPr>
          <w:b/>
          <w:sz w:val="44"/>
          <w:szCs w:val="44"/>
        </w:rPr>
      </w:pPr>
      <w:r>
        <w:rPr>
          <w:rFonts w:hint="eastAsia"/>
          <w:b/>
          <w:sz w:val="44"/>
          <w:szCs w:val="44"/>
        </w:rPr>
        <w:t>第三部分      名词</w:t>
      </w:r>
      <w:r>
        <w:rPr>
          <w:b/>
          <w:sz w:val="44"/>
          <w:szCs w:val="44"/>
        </w:rPr>
        <w:t>解释</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（一）财政拨款收入：本年度从本级财政部门取得的财政拨款，包括一般公共预算财政拨款和政府性基金预算财政拨款。</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（二）事业收入：指事业单位开展专业业务活动及辅助活动所取得的收入。</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（三）其他收入：指除上述“财政拨款收入”、“事业收入”、“经营收入”等以外的收入。</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（五）年初结转和结余：指以前年度尚未完成、结转到本年仍按原规定用途继续使用的资金，或项目已完成等产生的结余资金。</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（六）结余分配：指事业单位按照事业单位会计制度的规定从非财政补助结余中分配的事业基金和职工福利基金等。</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（七）年末结转和结余：指单位按有关规定结转到下年或以后年度继续使用的资金，或项目已完成等产生的结余资金。</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（八）基本支出：填列单位为保障机构正常运转、完成日常工作任务而发生的各项支出。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（九）项目支出：填列单位为完成特定的行政工作任务或事业发展目标，在基本支出之外发生的各项支出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 xml:space="preserve">  （十三）其他交通费用：填列单位除公务用车运行维护费以外的其他交通费用。如飞机、船舶等的燃料费、维修费、过桥过路费、保险费、出租车费用、公务交通补贴等。</w:t>
      </w:r>
    </w:p>
    <w:p>
      <w:pPr>
        <w:pStyle w:val="6"/>
        <w:adjustRightInd w:val="0"/>
        <w:snapToGrid w:val="0"/>
        <w:spacing w:line="600" w:lineRule="exact"/>
        <w:ind w:left="105" w:leftChars="50" w:firstLine="560"/>
        <w:rPr>
          <w:snapToGrid w:val="0"/>
          <w:kern w:val="0"/>
          <w:sz w:val="28"/>
          <w:szCs w:val="28"/>
        </w:rPr>
      </w:pPr>
      <w:r>
        <w:rPr>
          <w:rFonts w:hint="eastAsia"/>
          <w:snapToGrid w:val="0"/>
          <w:kern w:val="0"/>
          <w:sz w:val="28"/>
          <w:szCs w:val="28"/>
        </w:rPr>
        <w:t>（十四）公务用车购置：填列单位公务用车车辆购置支出（含车辆购置税）。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GYwYTFmZGE4ZTQ2YmU5NjljNDAyNzdhNjI4MzQifQ=="/>
  </w:docVars>
  <w:rsids>
    <w:rsidRoot w:val="008423F5"/>
    <w:rsid w:val="0000164F"/>
    <w:rsid w:val="000666CD"/>
    <w:rsid w:val="000900A6"/>
    <w:rsid w:val="000B519D"/>
    <w:rsid w:val="001041EE"/>
    <w:rsid w:val="0015089B"/>
    <w:rsid w:val="00152908"/>
    <w:rsid w:val="001A12BD"/>
    <w:rsid w:val="001C673D"/>
    <w:rsid w:val="001E68F2"/>
    <w:rsid w:val="00245868"/>
    <w:rsid w:val="002E386A"/>
    <w:rsid w:val="003037A1"/>
    <w:rsid w:val="003277A3"/>
    <w:rsid w:val="00372DF7"/>
    <w:rsid w:val="003F0B48"/>
    <w:rsid w:val="003F3B34"/>
    <w:rsid w:val="003F7ED2"/>
    <w:rsid w:val="00416EE3"/>
    <w:rsid w:val="00471A6A"/>
    <w:rsid w:val="00546AB2"/>
    <w:rsid w:val="00575D5A"/>
    <w:rsid w:val="0058572E"/>
    <w:rsid w:val="005B3169"/>
    <w:rsid w:val="0060361A"/>
    <w:rsid w:val="00645B97"/>
    <w:rsid w:val="006962CB"/>
    <w:rsid w:val="006B564B"/>
    <w:rsid w:val="006E71D0"/>
    <w:rsid w:val="007437ED"/>
    <w:rsid w:val="00791B38"/>
    <w:rsid w:val="007F06B8"/>
    <w:rsid w:val="008026BF"/>
    <w:rsid w:val="0082704B"/>
    <w:rsid w:val="008423F5"/>
    <w:rsid w:val="008426C9"/>
    <w:rsid w:val="00842CBB"/>
    <w:rsid w:val="00945D0B"/>
    <w:rsid w:val="00985214"/>
    <w:rsid w:val="009B74FB"/>
    <w:rsid w:val="00A15CAE"/>
    <w:rsid w:val="00A372C2"/>
    <w:rsid w:val="00AA21A2"/>
    <w:rsid w:val="00B005DA"/>
    <w:rsid w:val="00B17297"/>
    <w:rsid w:val="00B40ED6"/>
    <w:rsid w:val="00B43D34"/>
    <w:rsid w:val="00B5799E"/>
    <w:rsid w:val="00BE471F"/>
    <w:rsid w:val="00C222CB"/>
    <w:rsid w:val="00C32459"/>
    <w:rsid w:val="00C33BE2"/>
    <w:rsid w:val="00C82568"/>
    <w:rsid w:val="00CA2480"/>
    <w:rsid w:val="00CB45AA"/>
    <w:rsid w:val="00D6325B"/>
    <w:rsid w:val="00D9008B"/>
    <w:rsid w:val="00DB7E7C"/>
    <w:rsid w:val="00DC5EA2"/>
    <w:rsid w:val="00DF6BA7"/>
    <w:rsid w:val="00E031F2"/>
    <w:rsid w:val="00E71A30"/>
    <w:rsid w:val="00EB1870"/>
    <w:rsid w:val="00F00F83"/>
    <w:rsid w:val="00F7078F"/>
    <w:rsid w:val="064A3FAD"/>
    <w:rsid w:val="0B6A15E4"/>
    <w:rsid w:val="0D6054DA"/>
    <w:rsid w:val="1AF90D88"/>
    <w:rsid w:val="1F545778"/>
    <w:rsid w:val="62A02981"/>
    <w:rsid w:val="67317415"/>
    <w:rsid w:val="6DB55011"/>
    <w:rsid w:val="6E5238A6"/>
    <w:rsid w:val="70473EC0"/>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4767</Words>
  <Characters>5159</Characters>
  <Lines>42</Lines>
  <Paragraphs>12</Paragraphs>
  <TotalTime>201</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Lenovo</cp:lastModifiedBy>
  <cp:lastPrinted>2017-08-29T03:35:00Z</cp:lastPrinted>
  <dcterms:modified xsi:type="dcterms:W3CDTF">2023-11-14T03:05:24Z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19540F1B9D294ED3AD818A1F800DEA13_12</vt:lpwstr>
  </property>
</Properties>
</file>