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rPr>
      </w:pPr>
      <w:r>
        <w:rPr>
          <w:rFonts w:hint="eastAsia"/>
          <w:b/>
          <w:sz w:val="44"/>
          <w:szCs w:val="44"/>
        </w:rPr>
        <w:t>第一部分  残联部门</w:t>
      </w:r>
      <w:r>
        <w:rPr>
          <w:b/>
          <w:sz w:val="44"/>
          <w:szCs w:val="44"/>
        </w:rPr>
        <w:t>概况</w:t>
      </w:r>
    </w:p>
    <w:p>
      <w:pPr>
        <w:ind w:firstLine="560" w:firstLineChars="200"/>
        <w:jc w:val="left"/>
        <w:rPr>
          <w:rFonts w:ascii="黑体" w:hAnsi="黑体" w:eastAsia="黑体"/>
          <w:snapToGrid w:val="0"/>
          <w:kern w:val="0"/>
          <w:sz w:val="28"/>
          <w:szCs w:val="28"/>
        </w:rPr>
      </w:pPr>
      <w:r>
        <w:rPr>
          <w:rFonts w:hint="eastAsia" w:ascii="黑体" w:hAnsi="黑体" w:eastAsia="黑体"/>
          <w:snapToGrid w:val="0"/>
          <w:kern w:val="0"/>
          <w:sz w:val="28"/>
          <w:szCs w:val="28"/>
        </w:rPr>
        <w:t>一</w:t>
      </w:r>
      <w:r>
        <w:rPr>
          <w:rFonts w:ascii="黑体" w:hAnsi="黑体" w:eastAsia="黑体"/>
          <w:snapToGrid w:val="0"/>
          <w:kern w:val="0"/>
          <w:sz w:val="28"/>
          <w:szCs w:val="28"/>
        </w:rPr>
        <w:t>、部门职责</w:t>
      </w:r>
    </w:p>
    <w:p>
      <w:pPr>
        <w:ind w:firstLine="560"/>
        <w:rPr>
          <w:rFonts w:ascii="方正仿宋_GBK" w:hAnsi="Calibri" w:eastAsia="方正仿宋_GBK" w:cs="Times New Roman"/>
          <w:sz w:val="28"/>
        </w:rPr>
      </w:pPr>
      <w:r>
        <w:rPr>
          <w:rFonts w:ascii="方正仿宋_GBK" w:hAnsi="Calibri" w:eastAsia="方正仿宋_GBK" w:cs="Times New Roman"/>
          <w:sz w:val="28"/>
        </w:rPr>
        <w:t>1</w:t>
      </w:r>
      <w:r>
        <w:rPr>
          <w:rFonts w:hint="eastAsia" w:ascii="方正仿宋_GBK" w:hAnsi="宋体" w:eastAsia="方正仿宋_GBK" w:cs="宋体"/>
          <w:sz w:val="28"/>
        </w:rPr>
        <w:t>、贯彻执行党和国家有关残疾人工作的方针、政策，配合有关部门起草有关发展残疾人事业的规范性文件；协助政府研究制定我区残疾人事业发展规划、计划。</w:t>
      </w:r>
    </w:p>
    <w:p>
      <w:pPr>
        <w:ind w:firstLine="560"/>
        <w:rPr>
          <w:rFonts w:ascii="方正仿宋_GBK" w:hAnsi="Calibri" w:eastAsia="方正仿宋_GBK" w:cs="Times New Roman"/>
          <w:sz w:val="28"/>
        </w:rPr>
      </w:pPr>
      <w:r>
        <w:rPr>
          <w:rFonts w:ascii="方正仿宋_GBK" w:hAnsi="Calibri" w:eastAsia="方正仿宋_GBK" w:cs="Times New Roman"/>
          <w:sz w:val="28"/>
        </w:rPr>
        <w:t>2</w:t>
      </w:r>
      <w:r>
        <w:rPr>
          <w:rFonts w:hint="eastAsia" w:ascii="方正仿宋_GBK" w:hAnsi="宋体" w:eastAsia="方正仿宋_GBK" w:cs="宋体"/>
          <w:sz w:val="28"/>
        </w:rPr>
        <w:t>、听取残疾人意见，反映残疾人需求，维护残疾人权益，为残疾人服务。</w:t>
      </w:r>
    </w:p>
    <w:p>
      <w:pPr>
        <w:ind w:firstLine="560"/>
        <w:rPr>
          <w:rFonts w:ascii="方正仿宋_GBK" w:hAnsi="Calibri" w:eastAsia="方正仿宋_GBK" w:cs="Times New Roman"/>
          <w:sz w:val="28"/>
        </w:rPr>
      </w:pPr>
      <w:r>
        <w:rPr>
          <w:rFonts w:ascii="方正仿宋_GBK" w:hAnsi="Calibri" w:eastAsia="方正仿宋_GBK" w:cs="Times New Roman"/>
          <w:sz w:val="28"/>
        </w:rPr>
        <w:t>3</w:t>
      </w:r>
      <w:r>
        <w:rPr>
          <w:rFonts w:hint="eastAsia" w:ascii="方正仿宋_GBK" w:hAnsi="宋体" w:eastAsia="方正仿宋_GBK" w:cs="宋体"/>
          <w:sz w:val="28"/>
        </w:rPr>
        <w:t>、开展和促进残疾人康复、教育、劳动就业、文化、体育等工作，创造良好的环境和条件，扶助残疾人平等参与社会生活。</w:t>
      </w:r>
    </w:p>
    <w:p>
      <w:pPr>
        <w:ind w:firstLine="560"/>
        <w:rPr>
          <w:rFonts w:ascii="方正仿宋_GBK" w:hAnsi="Calibri" w:eastAsia="方正仿宋_GBK" w:cs="Times New Roman"/>
          <w:sz w:val="28"/>
        </w:rPr>
      </w:pPr>
      <w:r>
        <w:rPr>
          <w:rFonts w:ascii="方正仿宋_GBK" w:hAnsi="Calibri" w:eastAsia="方正仿宋_GBK" w:cs="Times New Roman"/>
          <w:sz w:val="28"/>
        </w:rPr>
        <w:t>4</w:t>
      </w:r>
      <w:r>
        <w:rPr>
          <w:rFonts w:hint="eastAsia" w:ascii="方正仿宋_GBK" w:hAnsi="宋体" w:eastAsia="方正仿宋_GBK" w:cs="宋体"/>
          <w:sz w:val="28"/>
        </w:rPr>
        <w:t>、团结、教育残疾人遵守法律、履行应尽的义务，发扬乐观进取精神，自尊、自信、自强、自立。为社会主义建设</w:t>
      </w:r>
      <w:r>
        <w:rPr>
          <w:rFonts w:hint="eastAsia" w:ascii="方正仿宋_GBK" w:hAnsi="宋体" w:eastAsia="方正仿宋_GBK" w:cs="宋体"/>
          <w:sz w:val="28"/>
          <w:lang w:val="en-US" w:eastAsia="zh-CN"/>
        </w:rPr>
        <w:t>作</w:t>
      </w:r>
      <w:r>
        <w:rPr>
          <w:rFonts w:hint="eastAsia" w:ascii="方正仿宋_GBK" w:hAnsi="宋体" w:eastAsia="方正仿宋_GBK" w:cs="宋体"/>
          <w:sz w:val="28"/>
        </w:rPr>
        <w:t>出贡献。</w:t>
      </w:r>
      <w:bookmarkStart w:id="0" w:name="_GoBack"/>
      <w:bookmarkEnd w:id="0"/>
    </w:p>
    <w:p>
      <w:pPr>
        <w:ind w:firstLine="560"/>
        <w:rPr>
          <w:rFonts w:ascii="方正仿宋_GBK" w:hAnsi="Calibri" w:eastAsia="方正仿宋_GBK" w:cs="Times New Roman"/>
          <w:sz w:val="28"/>
        </w:rPr>
      </w:pPr>
      <w:r>
        <w:rPr>
          <w:rFonts w:ascii="方正仿宋_GBK" w:hAnsi="Calibri" w:eastAsia="方正仿宋_GBK" w:cs="Times New Roman"/>
          <w:sz w:val="28"/>
        </w:rPr>
        <w:t>5</w:t>
      </w:r>
      <w:r>
        <w:rPr>
          <w:rFonts w:hint="eastAsia" w:ascii="方正仿宋_GBK" w:hAnsi="宋体" w:eastAsia="方正仿宋_GBK" w:cs="宋体"/>
          <w:sz w:val="28"/>
        </w:rPr>
        <w:t>、沟通政府、社会与残疾人之间的联系，动员全社会理解、尊重、关心、帮助残疾人。</w:t>
      </w:r>
    </w:p>
    <w:p>
      <w:pPr>
        <w:ind w:firstLine="560"/>
        <w:rPr>
          <w:rFonts w:ascii="方正仿宋_GBK" w:hAnsi="Calibri" w:eastAsia="方正仿宋_GBK" w:cs="Times New Roman"/>
          <w:sz w:val="28"/>
        </w:rPr>
      </w:pPr>
      <w:r>
        <w:rPr>
          <w:rFonts w:ascii="方正仿宋_GBK" w:hAnsi="Calibri" w:eastAsia="方正仿宋_GBK" w:cs="Times New Roman"/>
          <w:sz w:val="28"/>
        </w:rPr>
        <w:t>6</w:t>
      </w:r>
      <w:r>
        <w:rPr>
          <w:rFonts w:hint="eastAsia" w:ascii="方正仿宋_GBK" w:hAnsi="宋体" w:eastAsia="方正仿宋_GBK" w:cs="宋体"/>
          <w:sz w:val="28"/>
        </w:rPr>
        <w:t>、承担区残疾人工作协调委员会的日常工作。</w:t>
      </w:r>
    </w:p>
    <w:p>
      <w:pPr>
        <w:ind w:firstLine="560"/>
        <w:rPr>
          <w:rFonts w:ascii="方正仿宋_GBK" w:hAnsi="Calibri" w:eastAsia="方正仿宋_GBK" w:cs="Times New Roman"/>
          <w:sz w:val="28"/>
        </w:rPr>
      </w:pPr>
      <w:r>
        <w:rPr>
          <w:rFonts w:ascii="方正仿宋_GBK" w:hAnsi="Calibri" w:eastAsia="方正仿宋_GBK" w:cs="Times New Roman"/>
          <w:sz w:val="28"/>
        </w:rPr>
        <w:t>7</w:t>
      </w:r>
      <w:r>
        <w:rPr>
          <w:rFonts w:hint="eastAsia" w:ascii="方正仿宋_GBK" w:hAnsi="宋体" w:eastAsia="方正仿宋_GBK" w:cs="宋体"/>
          <w:sz w:val="28"/>
        </w:rPr>
        <w:t>、指导和管理各类残疾人社会团体组织。</w:t>
      </w:r>
    </w:p>
    <w:p>
      <w:pPr>
        <w:ind w:firstLine="560"/>
        <w:rPr>
          <w:rFonts w:ascii="方正仿宋_GBK" w:hAnsi="Calibri" w:eastAsia="方正仿宋_GBK" w:cs="Times New Roman"/>
          <w:sz w:val="28"/>
        </w:rPr>
      </w:pPr>
      <w:r>
        <w:rPr>
          <w:rFonts w:ascii="方正仿宋_GBK" w:hAnsi="Calibri" w:eastAsia="方正仿宋_GBK" w:cs="Times New Roman"/>
          <w:sz w:val="28"/>
        </w:rPr>
        <w:t>8</w:t>
      </w:r>
      <w:r>
        <w:rPr>
          <w:rFonts w:hint="eastAsia" w:ascii="方正仿宋_GBK" w:hAnsi="宋体" w:eastAsia="方正仿宋_GBK" w:cs="宋体"/>
          <w:sz w:val="28"/>
        </w:rPr>
        <w:t>、指导乡镇残联的业务工作。</w:t>
      </w:r>
    </w:p>
    <w:p>
      <w:pPr>
        <w:ind w:firstLine="560"/>
        <w:rPr>
          <w:rFonts w:ascii="方正仿宋_GBK" w:hAnsi="Calibri" w:eastAsia="方正仿宋_GBK" w:cs="Times New Roman"/>
          <w:sz w:val="28"/>
        </w:rPr>
      </w:pPr>
      <w:r>
        <w:rPr>
          <w:rFonts w:ascii="方正仿宋_GBK" w:hAnsi="Calibri" w:eastAsia="方正仿宋_GBK" w:cs="Times New Roman"/>
          <w:sz w:val="28"/>
        </w:rPr>
        <w:t>9</w:t>
      </w:r>
      <w:r>
        <w:rPr>
          <w:rFonts w:hint="eastAsia" w:ascii="方正仿宋_GBK" w:hAnsi="宋体" w:eastAsia="方正仿宋_GBK" w:cs="宋体"/>
          <w:sz w:val="28"/>
        </w:rPr>
        <w:t>、承担区委、区政府和上级残联交办的其他工作。</w:t>
      </w:r>
    </w:p>
    <w:p>
      <w:pPr>
        <w:ind w:firstLine="560" w:firstLineChars="200"/>
        <w:jc w:val="left"/>
        <w:rPr>
          <w:rFonts w:ascii="黑体" w:hAnsi="黑体" w:eastAsia="黑体"/>
          <w:snapToGrid w:val="0"/>
          <w:kern w:val="0"/>
          <w:sz w:val="28"/>
          <w:szCs w:val="28"/>
        </w:rPr>
      </w:pPr>
      <w:r>
        <w:rPr>
          <w:rFonts w:hint="eastAsia" w:ascii="黑体" w:hAnsi="黑体" w:eastAsia="黑体"/>
          <w:snapToGrid w:val="0"/>
          <w:kern w:val="0"/>
          <w:sz w:val="28"/>
          <w:szCs w:val="28"/>
        </w:rPr>
        <w:t>二</w:t>
      </w:r>
      <w:r>
        <w:rPr>
          <w:rFonts w:ascii="黑体" w:hAnsi="黑体" w:eastAsia="黑体"/>
          <w:snapToGrid w:val="0"/>
          <w:kern w:val="0"/>
          <w:sz w:val="28"/>
          <w:szCs w:val="28"/>
        </w:rPr>
        <w:t>、部门决算单位构成</w:t>
      </w:r>
    </w:p>
    <w:p>
      <w:pPr>
        <w:adjustRightInd w:val="0"/>
        <w:snapToGrid w:val="0"/>
        <w:spacing w:line="600" w:lineRule="exact"/>
        <w:ind w:firstLine="560" w:firstLineChars="200"/>
        <w:rPr>
          <w:snapToGrid w:val="0"/>
          <w:kern w:val="0"/>
          <w:sz w:val="28"/>
          <w:szCs w:val="28"/>
        </w:rPr>
      </w:pPr>
      <w:r>
        <w:rPr>
          <w:rFonts w:hint="eastAsia"/>
          <w:snapToGrid w:val="0"/>
          <w:kern w:val="0"/>
          <w:sz w:val="28"/>
          <w:szCs w:val="28"/>
        </w:rPr>
        <w:t>根据</w:t>
      </w:r>
      <w:r>
        <w:rPr>
          <w:snapToGrid w:val="0"/>
          <w:kern w:val="0"/>
          <w:sz w:val="28"/>
          <w:szCs w:val="28"/>
        </w:rPr>
        <w:t>上述职责</w:t>
      </w:r>
      <w:r>
        <w:rPr>
          <w:rFonts w:hint="eastAsia"/>
          <w:snapToGrid w:val="0"/>
          <w:kern w:val="0"/>
          <w:sz w:val="28"/>
          <w:szCs w:val="28"/>
        </w:rPr>
        <w:t>，</w:t>
      </w:r>
      <w:r>
        <w:rPr>
          <w:snapToGrid w:val="0"/>
          <w:kern w:val="0"/>
          <w:sz w:val="28"/>
          <w:szCs w:val="28"/>
        </w:rPr>
        <w:t>我单位独立核算机构</w:t>
      </w:r>
      <w:r>
        <w:rPr>
          <w:rFonts w:hint="eastAsia"/>
          <w:snapToGrid w:val="0"/>
          <w:kern w:val="0"/>
          <w:sz w:val="28"/>
          <w:szCs w:val="28"/>
        </w:rPr>
        <w:t>1个，本单位设1个</w:t>
      </w:r>
      <w:r>
        <w:rPr>
          <w:snapToGrid w:val="0"/>
          <w:kern w:val="0"/>
          <w:sz w:val="28"/>
          <w:szCs w:val="28"/>
        </w:rPr>
        <w:t>内设机构：</w:t>
      </w:r>
      <w:r>
        <w:rPr>
          <w:rFonts w:hint="eastAsia"/>
          <w:snapToGrid w:val="0"/>
          <w:kern w:val="0"/>
          <w:sz w:val="28"/>
          <w:szCs w:val="28"/>
        </w:rPr>
        <w:t>综合股 。无下属</w:t>
      </w:r>
      <w:r>
        <w:rPr>
          <w:snapToGrid w:val="0"/>
          <w:kern w:val="0"/>
          <w:sz w:val="28"/>
          <w:szCs w:val="28"/>
        </w:rPr>
        <w:t>事业单位。</w:t>
      </w:r>
    </w:p>
    <w:p>
      <w:pPr>
        <w:adjustRightInd w:val="0"/>
        <w:snapToGrid w:val="0"/>
        <w:spacing w:line="600" w:lineRule="exact"/>
        <w:ind w:firstLine="560" w:firstLineChars="200"/>
        <w:rPr>
          <w:snapToGrid w:val="0"/>
          <w:kern w:val="0"/>
          <w:sz w:val="28"/>
          <w:szCs w:val="28"/>
        </w:rPr>
      </w:pPr>
      <w:r>
        <w:rPr>
          <w:snapToGrid w:val="0"/>
          <w:kern w:val="0"/>
          <w:sz w:val="28"/>
          <w:szCs w:val="28"/>
        </w:rPr>
        <w:t>年末</w:t>
      </w:r>
      <w:r>
        <w:rPr>
          <w:rFonts w:hint="eastAsia"/>
          <w:snapToGrid w:val="0"/>
          <w:kern w:val="0"/>
          <w:sz w:val="28"/>
          <w:szCs w:val="28"/>
        </w:rPr>
        <w:t>实</w:t>
      </w:r>
      <w:r>
        <w:rPr>
          <w:snapToGrid w:val="0"/>
          <w:kern w:val="0"/>
          <w:sz w:val="28"/>
          <w:szCs w:val="28"/>
        </w:rPr>
        <w:t>有人数</w:t>
      </w:r>
      <w:r>
        <w:rPr>
          <w:rFonts w:hint="eastAsia"/>
          <w:snapToGrid w:val="0"/>
          <w:kern w:val="0"/>
          <w:sz w:val="28"/>
          <w:szCs w:val="28"/>
        </w:rPr>
        <w:t>8人</w:t>
      </w:r>
      <w:r>
        <w:rPr>
          <w:snapToGrid w:val="0"/>
          <w:kern w:val="0"/>
          <w:sz w:val="28"/>
          <w:szCs w:val="28"/>
        </w:rPr>
        <w:t>，</w:t>
      </w:r>
      <w:r>
        <w:rPr>
          <w:rFonts w:hint="eastAsia"/>
          <w:snapToGrid w:val="0"/>
          <w:kern w:val="0"/>
          <w:sz w:val="28"/>
          <w:szCs w:val="28"/>
        </w:rPr>
        <w:t>其中</w:t>
      </w:r>
      <w:r>
        <w:rPr>
          <w:snapToGrid w:val="0"/>
          <w:kern w:val="0"/>
          <w:sz w:val="28"/>
          <w:szCs w:val="28"/>
        </w:rPr>
        <w:t>在职人员</w:t>
      </w:r>
      <w:r>
        <w:rPr>
          <w:rFonts w:hint="eastAsia"/>
          <w:snapToGrid w:val="0"/>
          <w:kern w:val="0"/>
          <w:sz w:val="28"/>
          <w:szCs w:val="28"/>
        </w:rPr>
        <w:t>6人</w:t>
      </w:r>
      <w:r>
        <w:rPr>
          <w:snapToGrid w:val="0"/>
          <w:kern w:val="0"/>
          <w:sz w:val="28"/>
          <w:szCs w:val="28"/>
        </w:rPr>
        <w:t>，离休人员</w:t>
      </w:r>
      <w:r>
        <w:rPr>
          <w:rFonts w:hint="eastAsia"/>
          <w:snapToGrid w:val="0"/>
          <w:kern w:val="0"/>
          <w:sz w:val="28"/>
          <w:szCs w:val="28"/>
        </w:rPr>
        <w:t>0人</w:t>
      </w:r>
      <w:r>
        <w:rPr>
          <w:snapToGrid w:val="0"/>
          <w:kern w:val="0"/>
          <w:sz w:val="28"/>
          <w:szCs w:val="28"/>
        </w:rPr>
        <w:t>，退休人员</w:t>
      </w:r>
      <w:r>
        <w:rPr>
          <w:rFonts w:hint="eastAsia"/>
          <w:snapToGrid w:val="0"/>
          <w:kern w:val="0"/>
          <w:sz w:val="28"/>
          <w:szCs w:val="28"/>
        </w:rPr>
        <w:t>2人</w:t>
      </w:r>
      <w:r>
        <w:rPr>
          <w:snapToGrid w:val="0"/>
          <w:kern w:val="0"/>
          <w:sz w:val="28"/>
          <w:szCs w:val="28"/>
        </w:rPr>
        <w:t>。</w:t>
      </w:r>
    </w:p>
    <w:p>
      <w:pPr>
        <w:jc w:val="center"/>
        <w:rPr>
          <w:b/>
          <w:sz w:val="44"/>
          <w:szCs w:val="44"/>
        </w:rPr>
      </w:pPr>
      <w:r>
        <w:rPr>
          <w:rFonts w:hint="eastAsia"/>
          <w:b/>
          <w:sz w:val="44"/>
          <w:szCs w:val="44"/>
        </w:rPr>
        <w:t>第二部分  残联部门2017年</w:t>
      </w:r>
      <w:r>
        <w:rPr>
          <w:b/>
          <w:sz w:val="44"/>
          <w:szCs w:val="44"/>
        </w:rPr>
        <w:t>部门决算</w:t>
      </w:r>
    </w:p>
    <w:p>
      <w:pPr>
        <w:jc w:val="center"/>
        <w:rPr>
          <w:b/>
          <w:sz w:val="44"/>
          <w:szCs w:val="44"/>
        </w:rPr>
      </w:pPr>
      <w:r>
        <w:rPr>
          <w:rFonts w:hint="eastAsia"/>
          <w:b/>
          <w:sz w:val="44"/>
          <w:szCs w:val="44"/>
        </w:rPr>
        <w:t xml:space="preserve">       </w:t>
      </w:r>
      <w:r>
        <w:rPr>
          <w:b/>
          <w:sz w:val="44"/>
          <w:szCs w:val="44"/>
        </w:rPr>
        <w:t>情况说明</w:t>
      </w:r>
    </w:p>
    <w:p>
      <w:pPr>
        <w:adjustRightInd w:val="0"/>
        <w:snapToGrid w:val="0"/>
        <w:spacing w:line="600" w:lineRule="exact"/>
        <w:ind w:firstLine="560" w:firstLineChars="200"/>
        <w:rPr>
          <w:rFonts w:ascii="黑体" w:hAnsi="黑体" w:eastAsia="黑体"/>
          <w:snapToGrid w:val="0"/>
          <w:kern w:val="0"/>
          <w:sz w:val="28"/>
          <w:szCs w:val="28"/>
        </w:rPr>
      </w:pPr>
      <w:r>
        <w:rPr>
          <w:rFonts w:hint="eastAsia" w:ascii="黑体" w:hAnsi="黑体" w:eastAsia="黑体"/>
          <w:snapToGrid w:val="0"/>
          <w:kern w:val="0"/>
          <w:sz w:val="28"/>
          <w:szCs w:val="28"/>
        </w:rPr>
        <w:t>一、</w:t>
      </w:r>
      <w:r>
        <w:rPr>
          <w:rFonts w:ascii="黑体" w:hAnsi="黑体" w:eastAsia="黑体"/>
          <w:snapToGrid w:val="0"/>
          <w:kern w:val="0"/>
          <w:sz w:val="28"/>
          <w:szCs w:val="28"/>
        </w:rPr>
        <w:t>收入支出决算总体情况说明</w:t>
      </w:r>
    </w:p>
    <w:p>
      <w:pPr>
        <w:adjustRightInd w:val="0"/>
        <w:snapToGrid w:val="0"/>
        <w:spacing w:line="600" w:lineRule="exact"/>
        <w:ind w:firstLine="560" w:firstLineChars="200"/>
        <w:rPr>
          <w:snapToGrid w:val="0"/>
          <w:kern w:val="0"/>
          <w:sz w:val="28"/>
          <w:szCs w:val="28"/>
        </w:rPr>
      </w:pPr>
      <w:r>
        <w:rPr>
          <w:rFonts w:hint="eastAsia"/>
          <w:snapToGrid w:val="0"/>
          <w:kern w:val="0"/>
          <w:sz w:val="28"/>
          <w:szCs w:val="28"/>
        </w:rPr>
        <w:t>本部门2017年本</w:t>
      </w:r>
      <w:r>
        <w:rPr>
          <w:snapToGrid w:val="0"/>
          <w:kern w:val="0"/>
          <w:sz w:val="28"/>
          <w:szCs w:val="28"/>
        </w:rPr>
        <w:t>年收入总计</w:t>
      </w:r>
      <w:r>
        <w:rPr>
          <w:rFonts w:hint="eastAsia"/>
          <w:snapToGrid w:val="0"/>
          <w:kern w:val="0"/>
          <w:sz w:val="28"/>
          <w:szCs w:val="28"/>
        </w:rPr>
        <w:t>167.54万</w:t>
      </w:r>
      <w:r>
        <w:rPr>
          <w:snapToGrid w:val="0"/>
          <w:kern w:val="0"/>
          <w:sz w:val="28"/>
          <w:szCs w:val="28"/>
        </w:rPr>
        <w:t>元，</w:t>
      </w:r>
      <w:r>
        <w:rPr>
          <w:rFonts w:hint="eastAsia"/>
          <w:snapToGrid w:val="0"/>
          <w:kern w:val="0"/>
          <w:sz w:val="28"/>
          <w:szCs w:val="28"/>
        </w:rPr>
        <w:t>较</w:t>
      </w:r>
      <w:r>
        <w:rPr>
          <w:snapToGrid w:val="0"/>
          <w:kern w:val="0"/>
          <w:sz w:val="28"/>
          <w:szCs w:val="28"/>
        </w:rPr>
        <w:t>上年增长</w:t>
      </w:r>
      <w:r>
        <w:rPr>
          <w:rFonts w:hint="eastAsia"/>
          <w:snapToGrid w:val="0"/>
          <w:kern w:val="0"/>
          <w:sz w:val="28"/>
          <w:szCs w:val="28"/>
        </w:rPr>
        <w:t>16.51</w:t>
      </w:r>
      <w:r>
        <w:rPr>
          <w:snapToGrid w:val="0"/>
          <w:kern w:val="0"/>
          <w:sz w:val="28"/>
          <w:szCs w:val="28"/>
        </w:rPr>
        <w:t>%，增</w:t>
      </w:r>
      <w:r>
        <w:rPr>
          <w:rFonts w:hint="eastAsia"/>
          <w:snapToGrid w:val="0"/>
          <w:kern w:val="0"/>
          <w:sz w:val="28"/>
          <w:szCs w:val="28"/>
        </w:rPr>
        <w:t>收 23.74万</w:t>
      </w:r>
      <w:r>
        <w:rPr>
          <w:snapToGrid w:val="0"/>
          <w:kern w:val="0"/>
          <w:sz w:val="28"/>
          <w:szCs w:val="28"/>
        </w:rPr>
        <w:t>元</w:t>
      </w:r>
      <w:r>
        <w:rPr>
          <w:rFonts w:hint="eastAsia"/>
          <w:snapToGrid w:val="0"/>
          <w:kern w:val="0"/>
          <w:sz w:val="28"/>
          <w:szCs w:val="28"/>
        </w:rPr>
        <w:t>，</w:t>
      </w:r>
      <w:r>
        <w:rPr>
          <w:snapToGrid w:val="0"/>
          <w:kern w:val="0"/>
          <w:sz w:val="28"/>
          <w:szCs w:val="28"/>
        </w:rPr>
        <w:t>原因：</w:t>
      </w:r>
      <w:r>
        <w:rPr>
          <w:rFonts w:hint="eastAsia" w:asciiTheme="minorEastAsia" w:hAnsiTheme="minorEastAsia"/>
          <w:sz w:val="28"/>
          <w:szCs w:val="28"/>
        </w:rPr>
        <w:t>增加项目资金</w:t>
      </w:r>
      <w:r>
        <w:rPr>
          <w:snapToGrid w:val="0"/>
          <w:kern w:val="0"/>
          <w:sz w:val="28"/>
          <w:szCs w:val="28"/>
        </w:rPr>
        <w:t>；</w:t>
      </w:r>
      <w:r>
        <w:rPr>
          <w:rFonts w:hint="eastAsia"/>
          <w:snapToGrid w:val="0"/>
          <w:kern w:val="0"/>
          <w:sz w:val="28"/>
          <w:szCs w:val="28"/>
        </w:rPr>
        <w:t>本</w:t>
      </w:r>
      <w:r>
        <w:rPr>
          <w:snapToGrid w:val="0"/>
          <w:kern w:val="0"/>
          <w:sz w:val="28"/>
          <w:szCs w:val="28"/>
        </w:rPr>
        <w:t>年支出总计</w:t>
      </w:r>
      <w:r>
        <w:rPr>
          <w:rFonts w:hint="eastAsia"/>
          <w:snapToGrid w:val="0"/>
          <w:kern w:val="0"/>
          <w:sz w:val="28"/>
          <w:szCs w:val="28"/>
        </w:rPr>
        <w:t>204.24万</w:t>
      </w:r>
      <w:r>
        <w:rPr>
          <w:snapToGrid w:val="0"/>
          <w:kern w:val="0"/>
          <w:sz w:val="28"/>
          <w:szCs w:val="28"/>
        </w:rPr>
        <w:t>元，较上年增长</w:t>
      </w:r>
      <w:r>
        <w:rPr>
          <w:rFonts w:hint="eastAsia"/>
          <w:snapToGrid w:val="0"/>
          <w:kern w:val="0"/>
          <w:sz w:val="28"/>
          <w:szCs w:val="28"/>
        </w:rPr>
        <w:t>72.89</w:t>
      </w:r>
      <w:r>
        <w:rPr>
          <w:snapToGrid w:val="0"/>
          <w:kern w:val="0"/>
          <w:sz w:val="28"/>
          <w:szCs w:val="28"/>
        </w:rPr>
        <w:t>%，增支</w:t>
      </w:r>
      <w:r>
        <w:rPr>
          <w:rFonts w:hint="eastAsia" w:ascii="仿宋_GB2312" w:hAnsi="仿宋" w:eastAsia="仿宋_GB2312"/>
          <w:sz w:val="32"/>
          <w:szCs w:val="32"/>
        </w:rPr>
        <w:t>86.11</w:t>
      </w:r>
      <w:r>
        <w:rPr>
          <w:rFonts w:hint="eastAsia"/>
          <w:snapToGrid w:val="0"/>
          <w:kern w:val="0"/>
          <w:sz w:val="28"/>
          <w:szCs w:val="28"/>
        </w:rPr>
        <w:t>万</w:t>
      </w:r>
      <w:r>
        <w:rPr>
          <w:snapToGrid w:val="0"/>
          <w:kern w:val="0"/>
          <w:sz w:val="28"/>
          <w:szCs w:val="28"/>
        </w:rPr>
        <w:t>元</w:t>
      </w:r>
      <w:r>
        <w:rPr>
          <w:rFonts w:hint="eastAsia"/>
          <w:snapToGrid w:val="0"/>
          <w:kern w:val="0"/>
          <w:sz w:val="28"/>
          <w:szCs w:val="28"/>
        </w:rPr>
        <w:t>，原因</w:t>
      </w:r>
      <w:r>
        <w:rPr>
          <w:snapToGrid w:val="0"/>
          <w:kern w:val="0"/>
          <w:sz w:val="28"/>
          <w:szCs w:val="28"/>
        </w:rPr>
        <w:t>：</w:t>
      </w:r>
      <w:r>
        <w:rPr>
          <w:rFonts w:hint="eastAsia" w:asciiTheme="minorEastAsia" w:hAnsiTheme="minorEastAsia"/>
          <w:sz w:val="28"/>
          <w:szCs w:val="28"/>
        </w:rPr>
        <w:t>增加项目资金支出</w:t>
      </w:r>
      <w:r>
        <w:rPr>
          <w:rFonts w:hint="eastAsia"/>
          <w:snapToGrid w:val="0"/>
          <w:kern w:val="0"/>
          <w:sz w:val="28"/>
          <w:szCs w:val="28"/>
        </w:rPr>
        <w:t>；</w:t>
      </w:r>
      <w:r>
        <w:rPr>
          <w:snapToGrid w:val="0"/>
          <w:kern w:val="0"/>
          <w:sz w:val="28"/>
          <w:szCs w:val="28"/>
        </w:rPr>
        <w:t>年末结转结余</w:t>
      </w:r>
      <w:r>
        <w:rPr>
          <w:rFonts w:hint="eastAsia"/>
          <w:snapToGrid w:val="0"/>
          <w:kern w:val="0"/>
          <w:sz w:val="28"/>
          <w:szCs w:val="28"/>
        </w:rPr>
        <w:t>77.72万</w:t>
      </w:r>
      <w:r>
        <w:rPr>
          <w:snapToGrid w:val="0"/>
          <w:kern w:val="0"/>
          <w:sz w:val="28"/>
          <w:szCs w:val="28"/>
        </w:rPr>
        <w:t>元。</w:t>
      </w:r>
    </w:p>
    <w:p>
      <w:pPr>
        <w:adjustRightInd w:val="0"/>
        <w:snapToGrid w:val="0"/>
        <w:spacing w:line="600" w:lineRule="exact"/>
        <w:ind w:firstLine="560" w:firstLineChars="200"/>
        <w:rPr>
          <w:rFonts w:ascii="黑体" w:hAnsi="黑体" w:eastAsia="黑体"/>
          <w:snapToGrid w:val="0"/>
          <w:kern w:val="0"/>
          <w:sz w:val="28"/>
          <w:szCs w:val="28"/>
        </w:rPr>
      </w:pPr>
      <w:r>
        <w:rPr>
          <w:rFonts w:hint="eastAsia" w:ascii="黑体" w:hAnsi="黑体" w:eastAsia="黑体"/>
          <w:snapToGrid w:val="0"/>
          <w:kern w:val="0"/>
          <w:sz w:val="28"/>
          <w:szCs w:val="28"/>
        </w:rPr>
        <w:t>二</w:t>
      </w:r>
      <w:r>
        <w:rPr>
          <w:rFonts w:ascii="黑体" w:hAnsi="黑体" w:eastAsia="黑体"/>
          <w:snapToGrid w:val="0"/>
          <w:kern w:val="0"/>
          <w:sz w:val="28"/>
          <w:szCs w:val="28"/>
        </w:rPr>
        <w:t>、</w:t>
      </w:r>
      <w:r>
        <w:rPr>
          <w:rFonts w:hint="eastAsia" w:ascii="黑体" w:hAnsi="黑体" w:eastAsia="黑体"/>
          <w:snapToGrid w:val="0"/>
          <w:kern w:val="0"/>
          <w:sz w:val="28"/>
          <w:szCs w:val="28"/>
        </w:rPr>
        <w:t>收入</w:t>
      </w:r>
      <w:r>
        <w:rPr>
          <w:rFonts w:ascii="黑体" w:hAnsi="黑体" w:eastAsia="黑体"/>
          <w:snapToGrid w:val="0"/>
          <w:kern w:val="0"/>
          <w:sz w:val="28"/>
          <w:szCs w:val="28"/>
        </w:rPr>
        <w:t>决算情况说明</w:t>
      </w:r>
    </w:p>
    <w:p>
      <w:pPr>
        <w:adjustRightInd w:val="0"/>
        <w:snapToGrid w:val="0"/>
        <w:spacing w:line="600" w:lineRule="exact"/>
        <w:ind w:firstLine="560" w:firstLineChars="200"/>
        <w:rPr>
          <w:snapToGrid w:val="0"/>
          <w:kern w:val="0"/>
          <w:sz w:val="28"/>
          <w:szCs w:val="28"/>
        </w:rPr>
      </w:pPr>
      <w:r>
        <w:rPr>
          <w:rFonts w:hint="eastAsia"/>
          <w:snapToGrid w:val="0"/>
          <w:kern w:val="0"/>
          <w:sz w:val="28"/>
          <w:szCs w:val="28"/>
        </w:rPr>
        <w:t>本</w:t>
      </w:r>
      <w:r>
        <w:rPr>
          <w:snapToGrid w:val="0"/>
          <w:kern w:val="0"/>
          <w:sz w:val="28"/>
          <w:szCs w:val="28"/>
        </w:rPr>
        <w:t>部门</w:t>
      </w:r>
      <w:r>
        <w:rPr>
          <w:rFonts w:hint="eastAsia"/>
          <w:snapToGrid w:val="0"/>
          <w:kern w:val="0"/>
          <w:sz w:val="28"/>
          <w:szCs w:val="28"/>
        </w:rPr>
        <w:t>2017年</w:t>
      </w:r>
      <w:r>
        <w:rPr>
          <w:snapToGrid w:val="0"/>
          <w:kern w:val="0"/>
          <w:sz w:val="28"/>
          <w:szCs w:val="28"/>
        </w:rPr>
        <w:t>度</w:t>
      </w:r>
      <w:r>
        <w:rPr>
          <w:rFonts w:hint="eastAsia"/>
          <w:snapToGrid w:val="0"/>
          <w:kern w:val="0"/>
          <w:sz w:val="28"/>
          <w:szCs w:val="28"/>
        </w:rPr>
        <w:t>收</w:t>
      </w:r>
      <w:r>
        <w:rPr>
          <w:snapToGrid w:val="0"/>
          <w:kern w:val="0"/>
          <w:sz w:val="28"/>
          <w:szCs w:val="28"/>
        </w:rPr>
        <w:t>入总计</w:t>
      </w:r>
      <w:r>
        <w:rPr>
          <w:rFonts w:hint="eastAsia"/>
          <w:snapToGrid w:val="0"/>
          <w:kern w:val="0"/>
          <w:sz w:val="28"/>
          <w:szCs w:val="28"/>
        </w:rPr>
        <w:t>167.54万元</w:t>
      </w:r>
      <w:r>
        <w:rPr>
          <w:snapToGrid w:val="0"/>
          <w:kern w:val="0"/>
          <w:sz w:val="28"/>
          <w:szCs w:val="28"/>
        </w:rPr>
        <w:t>，其中</w:t>
      </w:r>
      <w:r>
        <w:rPr>
          <w:rFonts w:hint="eastAsia"/>
          <w:snapToGrid w:val="0"/>
          <w:kern w:val="0"/>
          <w:sz w:val="28"/>
          <w:szCs w:val="28"/>
        </w:rPr>
        <w:t>财政</w:t>
      </w:r>
      <w:r>
        <w:rPr>
          <w:snapToGrid w:val="0"/>
          <w:kern w:val="0"/>
          <w:sz w:val="28"/>
          <w:szCs w:val="28"/>
        </w:rPr>
        <w:t>拨款</w:t>
      </w:r>
      <w:r>
        <w:rPr>
          <w:rFonts w:hint="eastAsia"/>
          <w:snapToGrid w:val="0"/>
          <w:kern w:val="0"/>
          <w:sz w:val="28"/>
          <w:szCs w:val="28"/>
        </w:rPr>
        <w:t>收</w:t>
      </w:r>
      <w:r>
        <w:rPr>
          <w:snapToGrid w:val="0"/>
          <w:kern w:val="0"/>
          <w:sz w:val="28"/>
          <w:szCs w:val="28"/>
        </w:rPr>
        <w:t>入</w:t>
      </w:r>
      <w:r>
        <w:rPr>
          <w:rFonts w:hint="eastAsia"/>
          <w:snapToGrid w:val="0"/>
          <w:kern w:val="0"/>
          <w:sz w:val="28"/>
          <w:szCs w:val="28"/>
        </w:rPr>
        <w:t>158.96万元</w:t>
      </w:r>
      <w:r>
        <w:rPr>
          <w:snapToGrid w:val="0"/>
          <w:kern w:val="0"/>
          <w:sz w:val="28"/>
          <w:szCs w:val="28"/>
        </w:rPr>
        <w:t>，</w:t>
      </w:r>
      <w:r>
        <w:rPr>
          <w:rFonts w:hint="eastAsia"/>
          <w:snapToGrid w:val="0"/>
          <w:kern w:val="0"/>
          <w:sz w:val="28"/>
          <w:szCs w:val="28"/>
        </w:rPr>
        <w:t>较上年</w:t>
      </w:r>
      <w:r>
        <w:rPr>
          <w:snapToGrid w:val="0"/>
          <w:kern w:val="0"/>
          <w:sz w:val="28"/>
          <w:szCs w:val="28"/>
        </w:rPr>
        <w:t>增长</w:t>
      </w:r>
      <w:r>
        <w:rPr>
          <w:rFonts w:hint="eastAsia"/>
          <w:snapToGrid w:val="0"/>
          <w:kern w:val="0"/>
          <w:sz w:val="28"/>
          <w:szCs w:val="28"/>
        </w:rPr>
        <w:t>57.91</w:t>
      </w:r>
      <w:r>
        <w:rPr>
          <w:snapToGrid w:val="0"/>
          <w:kern w:val="0"/>
          <w:sz w:val="28"/>
          <w:szCs w:val="28"/>
        </w:rPr>
        <w:t>%，增收</w:t>
      </w:r>
      <w:r>
        <w:rPr>
          <w:rFonts w:hint="eastAsia"/>
          <w:snapToGrid w:val="0"/>
          <w:kern w:val="0"/>
          <w:sz w:val="28"/>
          <w:szCs w:val="28"/>
        </w:rPr>
        <w:t>58.3万元，</w:t>
      </w:r>
      <w:r>
        <w:rPr>
          <w:snapToGrid w:val="0"/>
          <w:kern w:val="0"/>
          <w:sz w:val="28"/>
          <w:szCs w:val="28"/>
        </w:rPr>
        <w:t>主要原因</w:t>
      </w:r>
      <w:r>
        <w:rPr>
          <w:rFonts w:hint="eastAsia"/>
          <w:snapToGrid w:val="0"/>
          <w:kern w:val="0"/>
          <w:sz w:val="28"/>
          <w:szCs w:val="28"/>
        </w:rPr>
        <w:t>：</w:t>
      </w:r>
      <w:r>
        <w:rPr>
          <w:rFonts w:hint="eastAsia" w:asciiTheme="minorEastAsia" w:hAnsiTheme="minorEastAsia"/>
          <w:sz w:val="28"/>
          <w:szCs w:val="28"/>
        </w:rPr>
        <w:t>增加项目资金</w:t>
      </w:r>
      <w:r>
        <w:rPr>
          <w:rFonts w:hint="eastAsia"/>
          <w:snapToGrid w:val="0"/>
          <w:kern w:val="0"/>
          <w:sz w:val="28"/>
          <w:szCs w:val="28"/>
        </w:rPr>
        <w:t>；上</w:t>
      </w:r>
      <w:r>
        <w:rPr>
          <w:snapToGrid w:val="0"/>
          <w:kern w:val="0"/>
          <w:sz w:val="28"/>
          <w:szCs w:val="28"/>
        </w:rPr>
        <w:t>级补助收入</w:t>
      </w:r>
      <w:r>
        <w:rPr>
          <w:rFonts w:hint="eastAsia"/>
          <w:snapToGrid w:val="0"/>
          <w:kern w:val="0"/>
          <w:sz w:val="28"/>
          <w:szCs w:val="28"/>
        </w:rPr>
        <w:t>8.39万</w:t>
      </w:r>
      <w:r>
        <w:rPr>
          <w:snapToGrid w:val="0"/>
          <w:kern w:val="0"/>
          <w:sz w:val="28"/>
          <w:szCs w:val="28"/>
        </w:rPr>
        <w:t>元</w:t>
      </w:r>
      <w:r>
        <w:rPr>
          <w:rFonts w:hint="eastAsia"/>
          <w:snapToGrid w:val="0"/>
          <w:kern w:val="0"/>
          <w:sz w:val="28"/>
          <w:szCs w:val="28"/>
        </w:rPr>
        <w:t>，</w:t>
      </w:r>
      <w:r>
        <w:rPr>
          <w:snapToGrid w:val="0"/>
          <w:kern w:val="0"/>
          <w:sz w:val="28"/>
          <w:szCs w:val="28"/>
        </w:rPr>
        <w:t>较上年增长</w:t>
      </w:r>
      <w:r>
        <w:rPr>
          <w:rFonts w:hint="eastAsia"/>
          <w:snapToGrid w:val="0"/>
          <w:kern w:val="0"/>
          <w:sz w:val="28"/>
          <w:szCs w:val="28"/>
        </w:rPr>
        <w:t>100</w:t>
      </w:r>
      <w:r>
        <w:rPr>
          <w:snapToGrid w:val="0"/>
          <w:kern w:val="0"/>
          <w:sz w:val="28"/>
          <w:szCs w:val="28"/>
        </w:rPr>
        <w:t>%，增收</w:t>
      </w:r>
      <w:r>
        <w:rPr>
          <w:rFonts w:hint="eastAsia"/>
          <w:snapToGrid w:val="0"/>
          <w:kern w:val="0"/>
          <w:sz w:val="28"/>
          <w:szCs w:val="28"/>
        </w:rPr>
        <w:t>8.39万元，</w:t>
      </w:r>
      <w:r>
        <w:rPr>
          <w:snapToGrid w:val="0"/>
          <w:kern w:val="0"/>
          <w:sz w:val="28"/>
          <w:szCs w:val="28"/>
        </w:rPr>
        <w:t>主要原因</w:t>
      </w:r>
      <w:r>
        <w:rPr>
          <w:rFonts w:hint="eastAsia"/>
          <w:snapToGrid w:val="0"/>
          <w:kern w:val="0"/>
          <w:sz w:val="28"/>
          <w:szCs w:val="28"/>
        </w:rPr>
        <w:t>：</w:t>
      </w:r>
      <w:r>
        <w:rPr>
          <w:rFonts w:hint="eastAsia" w:asciiTheme="minorEastAsia" w:hAnsiTheme="minorEastAsia"/>
          <w:sz w:val="28"/>
          <w:szCs w:val="28"/>
        </w:rPr>
        <w:t>上级残联拨入残疾人事业发展补助资金</w:t>
      </w:r>
      <w:r>
        <w:rPr>
          <w:rFonts w:hint="eastAsia"/>
          <w:snapToGrid w:val="0"/>
          <w:kern w:val="0"/>
          <w:sz w:val="28"/>
          <w:szCs w:val="28"/>
        </w:rPr>
        <w:t>；事业</w:t>
      </w:r>
      <w:r>
        <w:rPr>
          <w:snapToGrid w:val="0"/>
          <w:kern w:val="0"/>
          <w:sz w:val="28"/>
          <w:szCs w:val="28"/>
        </w:rPr>
        <w:t>收入</w:t>
      </w:r>
      <w:r>
        <w:rPr>
          <w:rFonts w:hint="eastAsia"/>
          <w:snapToGrid w:val="0"/>
          <w:kern w:val="0"/>
          <w:sz w:val="28"/>
          <w:szCs w:val="28"/>
        </w:rPr>
        <w:t>0万</w:t>
      </w:r>
      <w:r>
        <w:rPr>
          <w:snapToGrid w:val="0"/>
          <w:kern w:val="0"/>
          <w:sz w:val="28"/>
          <w:szCs w:val="28"/>
        </w:rPr>
        <w:t>元</w:t>
      </w:r>
      <w:r>
        <w:rPr>
          <w:rFonts w:hint="eastAsia"/>
          <w:snapToGrid w:val="0"/>
          <w:kern w:val="0"/>
          <w:sz w:val="28"/>
          <w:szCs w:val="28"/>
        </w:rPr>
        <w:t>；</w:t>
      </w:r>
      <w:r>
        <w:rPr>
          <w:snapToGrid w:val="0"/>
          <w:kern w:val="0"/>
          <w:sz w:val="28"/>
          <w:szCs w:val="28"/>
        </w:rPr>
        <w:t>其他收入</w:t>
      </w:r>
      <w:r>
        <w:rPr>
          <w:rFonts w:hint="eastAsia"/>
          <w:snapToGrid w:val="0"/>
          <w:kern w:val="0"/>
          <w:sz w:val="28"/>
          <w:szCs w:val="28"/>
        </w:rPr>
        <w:t>0.19万</w:t>
      </w:r>
      <w:r>
        <w:rPr>
          <w:snapToGrid w:val="0"/>
          <w:kern w:val="0"/>
          <w:sz w:val="28"/>
          <w:szCs w:val="28"/>
        </w:rPr>
        <w:t>元</w:t>
      </w:r>
      <w:r>
        <w:rPr>
          <w:rFonts w:hint="eastAsia"/>
          <w:snapToGrid w:val="0"/>
          <w:kern w:val="0"/>
          <w:sz w:val="28"/>
          <w:szCs w:val="28"/>
        </w:rPr>
        <w:t>，</w:t>
      </w:r>
      <w:r>
        <w:rPr>
          <w:snapToGrid w:val="0"/>
          <w:kern w:val="0"/>
          <w:sz w:val="28"/>
          <w:szCs w:val="28"/>
        </w:rPr>
        <w:t>较上年</w:t>
      </w:r>
      <w:r>
        <w:rPr>
          <w:rFonts w:hint="eastAsia"/>
          <w:snapToGrid w:val="0"/>
          <w:kern w:val="0"/>
          <w:sz w:val="28"/>
          <w:szCs w:val="28"/>
        </w:rPr>
        <w:t>减少99.56</w:t>
      </w:r>
      <w:r>
        <w:rPr>
          <w:snapToGrid w:val="0"/>
          <w:kern w:val="0"/>
          <w:sz w:val="28"/>
          <w:szCs w:val="28"/>
        </w:rPr>
        <w:t>%，</w:t>
      </w:r>
      <w:r>
        <w:rPr>
          <w:rFonts w:hint="eastAsia"/>
          <w:snapToGrid w:val="0"/>
          <w:kern w:val="0"/>
          <w:sz w:val="28"/>
          <w:szCs w:val="28"/>
        </w:rPr>
        <w:t>减少42.95万元，</w:t>
      </w:r>
      <w:r>
        <w:rPr>
          <w:snapToGrid w:val="0"/>
          <w:kern w:val="0"/>
          <w:sz w:val="28"/>
          <w:szCs w:val="28"/>
        </w:rPr>
        <w:t>主要原因</w:t>
      </w:r>
      <w:r>
        <w:rPr>
          <w:rFonts w:hint="eastAsia"/>
          <w:snapToGrid w:val="0"/>
          <w:kern w:val="0"/>
          <w:sz w:val="28"/>
          <w:szCs w:val="28"/>
        </w:rPr>
        <w:t xml:space="preserve"> ：上年度上级补助收入列入到其他收入中。</w:t>
      </w:r>
    </w:p>
    <w:p>
      <w:pPr>
        <w:adjustRightInd w:val="0"/>
        <w:snapToGrid w:val="0"/>
        <w:spacing w:line="600" w:lineRule="exact"/>
        <w:ind w:firstLine="560" w:firstLineChars="200"/>
        <w:rPr>
          <w:rFonts w:ascii="黑体" w:hAnsi="黑体" w:eastAsia="黑体"/>
          <w:snapToGrid w:val="0"/>
          <w:kern w:val="0"/>
          <w:sz w:val="28"/>
          <w:szCs w:val="28"/>
        </w:rPr>
      </w:pPr>
      <w:r>
        <w:rPr>
          <w:rFonts w:hint="eastAsia" w:ascii="黑体" w:hAnsi="黑体" w:eastAsia="黑体"/>
          <w:snapToGrid w:val="0"/>
          <w:kern w:val="0"/>
          <w:sz w:val="28"/>
          <w:szCs w:val="28"/>
        </w:rPr>
        <w:t>三</w:t>
      </w:r>
      <w:r>
        <w:rPr>
          <w:rFonts w:ascii="黑体" w:hAnsi="黑体" w:eastAsia="黑体"/>
          <w:snapToGrid w:val="0"/>
          <w:kern w:val="0"/>
          <w:sz w:val="28"/>
          <w:szCs w:val="28"/>
        </w:rPr>
        <w:t>、支出决算情况说明</w:t>
      </w:r>
    </w:p>
    <w:p>
      <w:pPr>
        <w:adjustRightInd w:val="0"/>
        <w:snapToGrid w:val="0"/>
        <w:spacing w:line="600" w:lineRule="exact"/>
        <w:ind w:firstLine="560" w:firstLineChars="200"/>
        <w:rPr>
          <w:snapToGrid w:val="0"/>
          <w:kern w:val="0"/>
          <w:sz w:val="28"/>
          <w:szCs w:val="28"/>
        </w:rPr>
      </w:pPr>
      <w:r>
        <w:rPr>
          <w:rFonts w:hint="eastAsia"/>
          <w:snapToGrid w:val="0"/>
          <w:kern w:val="0"/>
          <w:sz w:val="28"/>
          <w:szCs w:val="28"/>
        </w:rPr>
        <w:t>本</w:t>
      </w:r>
      <w:r>
        <w:rPr>
          <w:snapToGrid w:val="0"/>
          <w:kern w:val="0"/>
          <w:sz w:val="28"/>
          <w:szCs w:val="28"/>
        </w:rPr>
        <w:t>部门</w:t>
      </w:r>
      <w:r>
        <w:rPr>
          <w:rFonts w:hint="eastAsia"/>
          <w:snapToGrid w:val="0"/>
          <w:kern w:val="0"/>
          <w:sz w:val="28"/>
          <w:szCs w:val="28"/>
        </w:rPr>
        <w:t>2017年</w:t>
      </w:r>
      <w:r>
        <w:rPr>
          <w:snapToGrid w:val="0"/>
          <w:kern w:val="0"/>
          <w:sz w:val="28"/>
          <w:szCs w:val="28"/>
        </w:rPr>
        <w:t>度支出总计</w:t>
      </w:r>
      <w:r>
        <w:rPr>
          <w:rFonts w:hint="eastAsia"/>
          <w:snapToGrid w:val="0"/>
          <w:kern w:val="0"/>
          <w:sz w:val="28"/>
          <w:szCs w:val="28"/>
        </w:rPr>
        <w:t>204.24万</w:t>
      </w:r>
      <w:r>
        <w:rPr>
          <w:snapToGrid w:val="0"/>
          <w:kern w:val="0"/>
          <w:sz w:val="28"/>
          <w:szCs w:val="28"/>
        </w:rPr>
        <w:t>元，其中</w:t>
      </w:r>
      <w:r>
        <w:rPr>
          <w:rFonts w:hint="eastAsia"/>
          <w:snapToGrid w:val="0"/>
          <w:kern w:val="0"/>
          <w:sz w:val="28"/>
          <w:szCs w:val="28"/>
        </w:rPr>
        <w:t>基本</w:t>
      </w:r>
      <w:r>
        <w:rPr>
          <w:snapToGrid w:val="0"/>
          <w:kern w:val="0"/>
          <w:sz w:val="28"/>
          <w:szCs w:val="28"/>
        </w:rPr>
        <w:t>支出</w:t>
      </w:r>
      <w:r>
        <w:rPr>
          <w:rFonts w:hint="eastAsia"/>
          <w:snapToGrid w:val="0"/>
          <w:kern w:val="0"/>
          <w:sz w:val="28"/>
          <w:szCs w:val="28"/>
        </w:rPr>
        <w:t>85.48万</w:t>
      </w:r>
      <w:r>
        <w:rPr>
          <w:snapToGrid w:val="0"/>
          <w:kern w:val="0"/>
          <w:sz w:val="28"/>
          <w:szCs w:val="28"/>
        </w:rPr>
        <w:t>元，</w:t>
      </w:r>
      <w:r>
        <w:rPr>
          <w:rFonts w:hint="eastAsia"/>
          <w:snapToGrid w:val="0"/>
          <w:kern w:val="0"/>
          <w:sz w:val="28"/>
          <w:szCs w:val="28"/>
        </w:rPr>
        <w:t>占</w:t>
      </w:r>
      <w:r>
        <w:rPr>
          <w:snapToGrid w:val="0"/>
          <w:kern w:val="0"/>
          <w:sz w:val="28"/>
          <w:szCs w:val="28"/>
        </w:rPr>
        <w:t>总支出</w:t>
      </w:r>
      <w:r>
        <w:rPr>
          <w:rFonts w:hint="eastAsia"/>
          <w:snapToGrid w:val="0"/>
          <w:kern w:val="0"/>
          <w:sz w:val="28"/>
          <w:szCs w:val="28"/>
        </w:rPr>
        <w:t>41.85</w:t>
      </w:r>
      <w:r>
        <w:rPr>
          <w:snapToGrid w:val="0"/>
          <w:kern w:val="0"/>
          <w:sz w:val="28"/>
          <w:szCs w:val="28"/>
        </w:rPr>
        <w:t>%</w:t>
      </w:r>
      <w:r>
        <w:rPr>
          <w:rFonts w:hint="eastAsia"/>
          <w:snapToGrid w:val="0"/>
          <w:kern w:val="0"/>
          <w:sz w:val="28"/>
          <w:szCs w:val="28"/>
        </w:rPr>
        <w:t>；</w:t>
      </w:r>
      <w:r>
        <w:rPr>
          <w:snapToGrid w:val="0"/>
          <w:kern w:val="0"/>
          <w:sz w:val="28"/>
          <w:szCs w:val="28"/>
        </w:rPr>
        <w:t>项目支出</w:t>
      </w:r>
      <w:r>
        <w:rPr>
          <w:rFonts w:hint="eastAsia"/>
          <w:snapToGrid w:val="0"/>
          <w:kern w:val="0"/>
          <w:sz w:val="28"/>
          <w:szCs w:val="28"/>
        </w:rPr>
        <w:t>118.76万</w:t>
      </w:r>
      <w:r>
        <w:rPr>
          <w:snapToGrid w:val="0"/>
          <w:kern w:val="0"/>
          <w:sz w:val="28"/>
          <w:szCs w:val="28"/>
        </w:rPr>
        <w:t>元</w:t>
      </w:r>
      <w:r>
        <w:rPr>
          <w:rFonts w:hint="eastAsia"/>
          <w:snapToGrid w:val="0"/>
          <w:kern w:val="0"/>
          <w:sz w:val="28"/>
          <w:szCs w:val="28"/>
        </w:rPr>
        <w:t>，</w:t>
      </w:r>
      <w:r>
        <w:rPr>
          <w:snapToGrid w:val="0"/>
          <w:kern w:val="0"/>
          <w:sz w:val="28"/>
          <w:szCs w:val="28"/>
        </w:rPr>
        <w:t>占总支出</w:t>
      </w:r>
      <w:r>
        <w:rPr>
          <w:rFonts w:hint="eastAsia"/>
          <w:snapToGrid w:val="0"/>
          <w:kern w:val="0"/>
          <w:sz w:val="28"/>
          <w:szCs w:val="28"/>
        </w:rPr>
        <w:t>58.15</w:t>
      </w:r>
      <w:r>
        <w:rPr>
          <w:snapToGrid w:val="0"/>
          <w:kern w:val="0"/>
          <w:sz w:val="28"/>
          <w:szCs w:val="28"/>
        </w:rPr>
        <w:t>%</w:t>
      </w:r>
      <w:r>
        <w:rPr>
          <w:rFonts w:hint="eastAsia"/>
          <w:snapToGrid w:val="0"/>
          <w:kern w:val="0"/>
          <w:sz w:val="28"/>
          <w:szCs w:val="28"/>
        </w:rPr>
        <w:t>。</w:t>
      </w:r>
    </w:p>
    <w:p>
      <w:pPr>
        <w:adjustRightInd w:val="0"/>
        <w:snapToGrid w:val="0"/>
        <w:spacing w:line="600" w:lineRule="exact"/>
        <w:ind w:firstLine="560" w:firstLineChars="200"/>
        <w:rPr>
          <w:rFonts w:ascii="黑体" w:hAnsi="黑体" w:eastAsia="黑体"/>
          <w:snapToGrid w:val="0"/>
          <w:kern w:val="0"/>
          <w:sz w:val="28"/>
          <w:szCs w:val="28"/>
        </w:rPr>
      </w:pPr>
      <w:r>
        <w:rPr>
          <w:rFonts w:hint="eastAsia" w:ascii="黑体" w:hAnsi="黑体" w:eastAsia="黑体"/>
          <w:snapToGrid w:val="0"/>
          <w:kern w:val="0"/>
          <w:sz w:val="28"/>
          <w:szCs w:val="28"/>
        </w:rPr>
        <w:t>四</w:t>
      </w:r>
      <w:r>
        <w:rPr>
          <w:rFonts w:ascii="黑体" w:hAnsi="黑体" w:eastAsia="黑体"/>
          <w:snapToGrid w:val="0"/>
          <w:kern w:val="0"/>
          <w:sz w:val="28"/>
          <w:szCs w:val="28"/>
        </w:rPr>
        <w:t>、财政拨款收入支出</w:t>
      </w:r>
      <w:r>
        <w:rPr>
          <w:rFonts w:hint="eastAsia" w:ascii="黑体" w:hAnsi="黑体" w:eastAsia="黑体"/>
          <w:snapToGrid w:val="0"/>
          <w:kern w:val="0"/>
          <w:sz w:val="28"/>
          <w:szCs w:val="28"/>
        </w:rPr>
        <w:t>决算</w:t>
      </w:r>
      <w:r>
        <w:rPr>
          <w:rFonts w:ascii="黑体" w:hAnsi="黑体" w:eastAsia="黑体"/>
          <w:snapToGrid w:val="0"/>
          <w:kern w:val="0"/>
          <w:sz w:val="28"/>
          <w:szCs w:val="28"/>
        </w:rPr>
        <w:t>总体情况说明</w:t>
      </w:r>
    </w:p>
    <w:p>
      <w:pPr>
        <w:adjustRightInd w:val="0"/>
        <w:snapToGrid w:val="0"/>
        <w:spacing w:line="600" w:lineRule="exact"/>
        <w:ind w:firstLine="560" w:firstLineChars="200"/>
        <w:rPr>
          <w:snapToGrid w:val="0"/>
          <w:kern w:val="0"/>
          <w:sz w:val="28"/>
          <w:szCs w:val="28"/>
        </w:rPr>
      </w:pPr>
      <w:r>
        <w:rPr>
          <w:rFonts w:hint="eastAsia"/>
          <w:snapToGrid w:val="0"/>
          <w:kern w:val="0"/>
          <w:sz w:val="28"/>
          <w:szCs w:val="28"/>
        </w:rPr>
        <w:t>本</w:t>
      </w:r>
      <w:r>
        <w:rPr>
          <w:snapToGrid w:val="0"/>
          <w:kern w:val="0"/>
          <w:sz w:val="28"/>
          <w:szCs w:val="28"/>
        </w:rPr>
        <w:t>部门2017</w:t>
      </w:r>
      <w:r>
        <w:rPr>
          <w:rFonts w:hint="eastAsia"/>
          <w:snapToGrid w:val="0"/>
          <w:kern w:val="0"/>
          <w:sz w:val="28"/>
          <w:szCs w:val="28"/>
        </w:rPr>
        <w:t>年</w:t>
      </w:r>
      <w:r>
        <w:rPr>
          <w:snapToGrid w:val="0"/>
          <w:kern w:val="0"/>
          <w:sz w:val="28"/>
          <w:szCs w:val="28"/>
        </w:rPr>
        <w:t>度</w:t>
      </w:r>
      <w:r>
        <w:rPr>
          <w:rFonts w:hint="eastAsia"/>
          <w:snapToGrid w:val="0"/>
          <w:kern w:val="0"/>
          <w:sz w:val="28"/>
          <w:szCs w:val="28"/>
        </w:rPr>
        <w:t>财政</w:t>
      </w:r>
      <w:r>
        <w:rPr>
          <w:snapToGrid w:val="0"/>
          <w:kern w:val="0"/>
          <w:sz w:val="28"/>
          <w:szCs w:val="28"/>
        </w:rPr>
        <w:t>拨款收入</w:t>
      </w:r>
      <w:r>
        <w:rPr>
          <w:rFonts w:hint="eastAsia"/>
          <w:snapToGrid w:val="0"/>
          <w:kern w:val="0"/>
          <w:sz w:val="28"/>
          <w:szCs w:val="28"/>
        </w:rPr>
        <w:t>总</w:t>
      </w:r>
      <w:r>
        <w:rPr>
          <w:snapToGrid w:val="0"/>
          <w:kern w:val="0"/>
          <w:sz w:val="28"/>
          <w:szCs w:val="28"/>
        </w:rPr>
        <w:t>计</w:t>
      </w:r>
      <w:r>
        <w:rPr>
          <w:rFonts w:hint="eastAsia"/>
          <w:snapToGrid w:val="0"/>
          <w:kern w:val="0"/>
          <w:sz w:val="28"/>
          <w:szCs w:val="28"/>
        </w:rPr>
        <w:t>158.96万</w:t>
      </w:r>
      <w:r>
        <w:rPr>
          <w:snapToGrid w:val="0"/>
          <w:kern w:val="0"/>
          <w:sz w:val="28"/>
          <w:szCs w:val="28"/>
        </w:rPr>
        <w:t>元，较上年增长</w:t>
      </w:r>
      <w:r>
        <w:rPr>
          <w:rFonts w:hint="eastAsia"/>
          <w:snapToGrid w:val="0"/>
          <w:kern w:val="0"/>
          <w:sz w:val="28"/>
          <w:szCs w:val="28"/>
        </w:rPr>
        <w:t>57.92</w:t>
      </w:r>
      <w:r>
        <w:rPr>
          <w:snapToGrid w:val="0"/>
          <w:kern w:val="0"/>
          <w:sz w:val="28"/>
          <w:szCs w:val="28"/>
        </w:rPr>
        <w:t>%，增收</w:t>
      </w:r>
      <w:r>
        <w:rPr>
          <w:rFonts w:hint="eastAsia"/>
          <w:snapToGrid w:val="0"/>
          <w:kern w:val="0"/>
          <w:sz w:val="28"/>
          <w:szCs w:val="28"/>
        </w:rPr>
        <w:t>58.3万</w:t>
      </w:r>
      <w:r>
        <w:rPr>
          <w:snapToGrid w:val="0"/>
          <w:kern w:val="0"/>
          <w:sz w:val="28"/>
          <w:szCs w:val="28"/>
        </w:rPr>
        <w:t>元</w:t>
      </w:r>
      <w:r>
        <w:rPr>
          <w:rFonts w:hint="eastAsia"/>
          <w:snapToGrid w:val="0"/>
          <w:kern w:val="0"/>
          <w:sz w:val="28"/>
          <w:szCs w:val="28"/>
        </w:rPr>
        <w:t>；</w:t>
      </w:r>
      <w:r>
        <w:rPr>
          <w:snapToGrid w:val="0"/>
          <w:kern w:val="0"/>
          <w:sz w:val="28"/>
          <w:szCs w:val="28"/>
        </w:rPr>
        <w:t>财政拨款支出总计</w:t>
      </w:r>
      <w:r>
        <w:rPr>
          <w:rFonts w:hint="eastAsia"/>
          <w:snapToGrid w:val="0"/>
          <w:kern w:val="0"/>
          <w:sz w:val="28"/>
          <w:szCs w:val="28"/>
        </w:rPr>
        <w:t>153.18万</w:t>
      </w:r>
      <w:r>
        <w:rPr>
          <w:snapToGrid w:val="0"/>
          <w:kern w:val="0"/>
          <w:sz w:val="28"/>
          <w:szCs w:val="28"/>
        </w:rPr>
        <w:t>元，</w:t>
      </w:r>
      <w:r>
        <w:rPr>
          <w:rFonts w:hint="eastAsia"/>
          <w:snapToGrid w:val="0"/>
          <w:kern w:val="0"/>
          <w:sz w:val="28"/>
          <w:szCs w:val="28"/>
        </w:rPr>
        <w:t>较</w:t>
      </w:r>
      <w:r>
        <w:rPr>
          <w:snapToGrid w:val="0"/>
          <w:kern w:val="0"/>
          <w:sz w:val="28"/>
          <w:szCs w:val="28"/>
        </w:rPr>
        <w:t>上年</w:t>
      </w:r>
      <w:r>
        <w:rPr>
          <w:rFonts w:hint="eastAsia"/>
          <w:snapToGrid w:val="0"/>
          <w:kern w:val="0"/>
          <w:sz w:val="28"/>
          <w:szCs w:val="28"/>
        </w:rPr>
        <w:t>增</w:t>
      </w:r>
      <w:r>
        <w:rPr>
          <w:snapToGrid w:val="0"/>
          <w:kern w:val="0"/>
          <w:sz w:val="28"/>
          <w:szCs w:val="28"/>
        </w:rPr>
        <w:t>长</w:t>
      </w:r>
      <w:r>
        <w:rPr>
          <w:rFonts w:hint="eastAsia"/>
          <w:snapToGrid w:val="0"/>
          <w:kern w:val="0"/>
          <w:sz w:val="28"/>
          <w:szCs w:val="28"/>
        </w:rPr>
        <w:t>91.33</w:t>
      </w:r>
      <w:r>
        <w:rPr>
          <w:snapToGrid w:val="0"/>
          <w:kern w:val="0"/>
          <w:sz w:val="28"/>
          <w:szCs w:val="28"/>
        </w:rPr>
        <w:t>%，增支</w:t>
      </w:r>
      <w:r>
        <w:rPr>
          <w:rFonts w:hint="eastAsia"/>
          <w:snapToGrid w:val="0"/>
          <w:kern w:val="0"/>
          <w:sz w:val="28"/>
          <w:szCs w:val="28"/>
        </w:rPr>
        <w:t>73.12万</w:t>
      </w:r>
      <w:r>
        <w:rPr>
          <w:snapToGrid w:val="0"/>
          <w:kern w:val="0"/>
          <w:sz w:val="28"/>
          <w:szCs w:val="28"/>
        </w:rPr>
        <w:t>元，</w:t>
      </w:r>
      <w:r>
        <w:rPr>
          <w:rFonts w:hint="eastAsia"/>
          <w:snapToGrid w:val="0"/>
          <w:kern w:val="0"/>
          <w:sz w:val="28"/>
          <w:szCs w:val="28"/>
        </w:rPr>
        <w:t>主要</w:t>
      </w:r>
      <w:r>
        <w:rPr>
          <w:snapToGrid w:val="0"/>
          <w:kern w:val="0"/>
          <w:sz w:val="28"/>
          <w:szCs w:val="28"/>
        </w:rPr>
        <w:t>原因是：</w:t>
      </w:r>
      <w:r>
        <w:rPr>
          <w:rFonts w:hint="eastAsia" w:asciiTheme="minorEastAsia" w:hAnsiTheme="minorEastAsia"/>
          <w:sz w:val="28"/>
          <w:szCs w:val="28"/>
        </w:rPr>
        <w:t>增加项目资金支出</w:t>
      </w:r>
      <w:r>
        <w:rPr>
          <w:rFonts w:hint="eastAsia"/>
          <w:snapToGrid w:val="0"/>
          <w:kern w:val="0"/>
          <w:sz w:val="28"/>
          <w:szCs w:val="28"/>
        </w:rPr>
        <w:t>；年</w:t>
      </w:r>
      <w:r>
        <w:rPr>
          <w:snapToGrid w:val="0"/>
          <w:kern w:val="0"/>
          <w:sz w:val="28"/>
          <w:szCs w:val="28"/>
        </w:rPr>
        <w:t>末财政拨款结转结余</w:t>
      </w:r>
      <w:r>
        <w:rPr>
          <w:rFonts w:hint="eastAsia"/>
          <w:snapToGrid w:val="0"/>
          <w:kern w:val="0"/>
          <w:sz w:val="28"/>
          <w:szCs w:val="28"/>
        </w:rPr>
        <w:t>37.52万</w:t>
      </w:r>
      <w:r>
        <w:rPr>
          <w:snapToGrid w:val="0"/>
          <w:kern w:val="0"/>
          <w:sz w:val="28"/>
          <w:szCs w:val="28"/>
        </w:rPr>
        <w:t>元。</w:t>
      </w:r>
    </w:p>
    <w:p>
      <w:pPr>
        <w:adjustRightInd w:val="0"/>
        <w:snapToGrid w:val="0"/>
        <w:spacing w:line="600" w:lineRule="exact"/>
        <w:ind w:firstLine="560" w:firstLineChars="200"/>
        <w:rPr>
          <w:snapToGrid w:val="0"/>
          <w:kern w:val="0"/>
          <w:sz w:val="28"/>
          <w:szCs w:val="28"/>
        </w:rPr>
      </w:pPr>
      <w:r>
        <w:rPr>
          <w:rFonts w:hint="eastAsia"/>
          <w:snapToGrid w:val="0"/>
          <w:kern w:val="0"/>
          <w:sz w:val="28"/>
          <w:szCs w:val="28"/>
        </w:rPr>
        <w:t xml:space="preserve"> </w:t>
      </w:r>
      <w:r>
        <w:rPr>
          <w:snapToGrid w:val="0"/>
          <w:kern w:val="0"/>
          <w:sz w:val="28"/>
          <w:szCs w:val="28"/>
        </w:rPr>
        <w:t>2017</w:t>
      </w:r>
      <w:r>
        <w:rPr>
          <w:rFonts w:hint="eastAsia"/>
          <w:snapToGrid w:val="0"/>
          <w:kern w:val="0"/>
          <w:sz w:val="28"/>
          <w:szCs w:val="28"/>
        </w:rPr>
        <w:t>年财政</w:t>
      </w:r>
      <w:r>
        <w:rPr>
          <w:snapToGrid w:val="0"/>
          <w:kern w:val="0"/>
          <w:sz w:val="28"/>
          <w:szCs w:val="28"/>
        </w:rPr>
        <w:t>拨款支出年初预算数为</w:t>
      </w:r>
      <w:r>
        <w:rPr>
          <w:rFonts w:hint="eastAsia"/>
          <w:snapToGrid w:val="0"/>
          <w:kern w:val="0"/>
          <w:sz w:val="28"/>
          <w:szCs w:val="28"/>
        </w:rPr>
        <w:t>148.99万元</w:t>
      </w:r>
      <w:r>
        <w:rPr>
          <w:snapToGrid w:val="0"/>
          <w:kern w:val="0"/>
          <w:sz w:val="28"/>
          <w:szCs w:val="28"/>
        </w:rPr>
        <w:t>，本年支出决算数</w:t>
      </w:r>
      <w:r>
        <w:rPr>
          <w:rFonts w:hint="eastAsia"/>
          <w:snapToGrid w:val="0"/>
          <w:kern w:val="0"/>
          <w:sz w:val="28"/>
          <w:szCs w:val="28"/>
        </w:rPr>
        <w:t>为153.18元</w:t>
      </w:r>
      <w:r>
        <w:rPr>
          <w:snapToGrid w:val="0"/>
          <w:kern w:val="0"/>
          <w:sz w:val="28"/>
          <w:szCs w:val="28"/>
        </w:rPr>
        <w:t>，占年初预算数的</w:t>
      </w:r>
      <w:r>
        <w:rPr>
          <w:rFonts w:hint="eastAsia"/>
          <w:snapToGrid w:val="0"/>
          <w:kern w:val="0"/>
          <w:sz w:val="28"/>
          <w:szCs w:val="28"/>
        </w:rPr>
        <w:t>102.81%，</w:t>
      </w:r>
      <w:r>
        <w:rPr>
          <w:snapToGrid w:val="0"/>
          <w:kern w:val="0"/>
          <w:sz w:val="28"/>
          <w:szCs w:val="28"/>
        </w:rPr>
        <w:t>主要原因：</w:t>
      </w:r>
      <w:r>
        <w:rPr>
          <w:rFonts w:hint="eastAsia"/>
          <w:snapToGrid w:val="0"/>
          <w:kern w:val="0"/>
          <w:sz w:val="28"/>
          <w:szCs w:val="28"/>
        </w:rPr>
        <w:t>上年度财政补助结转资金支出。</w:t>
      </w:r>
    </w:p>
    <w:p>
      <w:pPr>
        <w:adjustRightInd w:val="0"/>
        <w:snapToGrid w:val="0"/>
        <w:spacing w:line="600" w:lineRule="exact"/>
        <w:ind w:firstLine="560" w:firstLineChars="200"/>
        <w:rPr>
          <w:rFonts w:ascii="黑体" w:hAnsi="黑体" w:eastAsia="黑体"/>
          <w:snapToGrid w:val="0"/>
          <w:kern w:val="0"/>
          <w:sz w:val="28"/>
          <w:szCs w:val="28"/>
        </w:rPr>
      </w:pPr>
      <w:r>
        <w:rPr>
          <w:rFonts w:hint="eastAsia" w:ascii="黑体" w:hAnsi="黑体" w:eastAsia="黑体"/>
          <w:snapToGrid w:val="0"/>
          <w:kern w:val="0"/>
          <w:sz w:val="28"/>
          <w:szCs w:val="28"/>
        </w:rPr>
        <w:t>五</w:t>
      </w:r>
      <w:r>
        <w:rPr>
          <w:rFonts w:ascii="黑体" w:hAnsi="黑体" w:eastAsia="黑体"/>
          <w:snapToGrid w:val="0"/>
          <w:kern w:val="0"/>
          <w:sz w:val="28"/>
          <w:szCs w:val="28"/>
        </w:rPr>
        <w:t>、一般公共预算财政拨款“三公”经费支出决算情况说明</w:t>
      </w:r>
    </w:p>
    <w:p>
      <w:pPr>
        <w:adjustRightInd w:val="0"/>
        <w:snapToGrid w:val="0"/>
        <w:spacing w:line="560" w:lineRule="exact"/>
        <w:ind w:firstLine="560" w:firstLineChars="200"/>
        <w:rPr>
          <w:snapToGrid w:val="0"/>
          <w:kern w:val="0"/>
          <w:sz w:val="28"/>
          <w:szCs w:val="28"/>
        </w:rPr>
      </w:pPr>
      <w:r>
        <w:rPr>
          <w:rFonts w:hint="eastAsia"/>
          <w:snapToGrid w:val="0"/>
          <w:kern w:val="0"/>
          <w:sz w:val="28"/>
          <w:szCs w:val="28"/>
        </w:rPr>
        <w:t>2017年</w:t>
      </w:r>
      <w:r>
        <w:rPr>
          <w:snapToGrid w:val="0"/>
          <w:kern w:val="0"/>
          <w:sz w:val="28"/>
          <w:szCs w:val="28"/>
        </w:rPr>
        <w:t>，在做好各项工作的前提下，节省各项开支，尤其严格控制</w:t>
      </w:r>
      <w:r>
        <w:rPr>
          <w:rFonts w:hint="eastAsia"/>
          <w:snapToGrid w:val="0"/>
          <w:kern w:val="0"/>
          <w:sz w:val="28"/>
          <w:szCs w:val="28"/>
        </w:rPr>
        <w:t>“三公”经费</w:t>
      </w:r>
      <w:r>
        <w:rPr>
          <w:snapToGrid w:val="0"/>
          <w:kern w:val="0"/>
          <w:sz w:val="28"/>
          <w:szCs w:val="28"/>
        </w:rPr>
        <w:t>的支出，全年一般公共预算财政拨款</w:t>
      </w:r>
      <w:r>
        <w:rPr>
          <w:rFonts w:hint="eastAsia"/>
          <w:snapToGrid w:val="0"/>
          <w:kern w:val="0"/>
          <w:sz w:val="28"/>
          <w:szCs w:val="28"/>
        </w:rPr>
        <w:t>“三公”经费</w:t>
      </w:r>
      <w:r>
        <w:rPr>
          <w:snapToGrid w:val="0"/>
          <w:kern w:val="0"/>
          <w:sz w:val="28"/>
          <w:szCs w:val="28"/>
        </w:rPr>
        <w:t>支出合计</w:t>
      </w:r>
      <w:r>
        <w:rPr>
          <w:rFonts w:hint="eastAsia"/>
          <w:snapToGrid w:val="0"/>
          <w:kern w:val="0"/>
          <w:sz w:val="28"/>
          <w:szCs w:val="28"/>
        </w:rPr>
        <w:t>1.31万元</w:t>
      </w:r>
      <w:r>
        <w:rPr>
          <w:snapToGrid w:val="0"/>
          <w:kern w:val="0"/>
          <w:sz w:val="28"/>
          <w:szCs w:val="28"/>
        </w:rPr>
        <w:t>，较</w:t>
      </w:r>
      <w:r>
        <w:rPr>
          <w:rFonts w:hint="eastAsia"/>
          <w:snapToGrid w:val="0"/>
          <w:kern w:val="0"/>
          <w:sz w:val="28"/>
          <w:szCs w:val="28"/>
        </w:rPr>
        <w:t>2016年</w:t>
      </w:r>
      <w:r>
        <w:rPr>
          <w:snapToGrid w:val="0"/>
          <w:kern w:val="0"/>
          <w:sz w:val="28"/>
          <w:szCs w:val="28"/>
        </w:rPr>
        <w:t>减少</w:t>
      </w:r>
      <w:r>
        <w:rPr>
          <w:rFonts w:hint="eastAsia"/>
          <w:snapToGrid w:val="0"/>
          <w:kern w:val="0"/>
          <w:sz w:val="28"/>
          <w:szCs w:val="28"/>
        </w:rPr>
        <w:t>1.97万元</w:t>
      </w:r>
      <w:r>
        <w:rPr>
          <w:snapToGrid w:val="0"/>
          <w:kern w:val="0"/>
          <w:sz w:val="28"/>
          <w:szCs w:val="28"/>
        </w:rPr>
        <w:t>，减少</w:t>
      </w:r>
      <w:r>
        <w:rPr>
          <w:rFonts w:hint="eastAsia"/>
          <w:snapToGrid w:val="0"/>
          <w:kern w:val="0"/>
          <w:sz w:val="28"/>
          <w:szCs w:val="28"/>
        </w:rPr>
        <w:t>60.1</w:t>
      </w:r>
      <w:r>
        <w:rPr>
          <w:snapToGrid w:val="0"/>
          <w:kern w:val="0"/>
          <w:sz w:val="28"/>
          <w:szCs w:val="28"/>
        </w:rPr>
        <w:t xml:space="preserve"> %</w:t>
      </w:r>
      <w:r>
        <w:rPr>
          <w:rFonts w:hint="eastAsia"/>
          <w:snapToGrid w:val="0"/>
          <w:kern w:val="0"/>
          <w:sz w:val="28"/>
          <w:szCs w:val="28"/>
        </w:rPr>
        <w:t>。</w:t>
      </w:r>
    </w:p>
    <w:p>
      <w:pPr>
        <w:adjustRightInd w:val="0"/>
        <w:snapToGrid w:val="0"/>
        <w:spacing w:line="560" w:lineRule="exact"/>
        <w:ind w:firstLine="560" w:firstLineChars="200"/>
        <w:rPr>
          <w:snapToGrid w:val="0"/>
          <w:kern w:val="0"/>
          <w:sz w:val="28"/>
          <w:szCs w:val="28"/>
        </w:rPr>
      </w:pPr>
      <w:r>
        <w:rPr>
          <w:rFonts w:hint="eastAsia"/>
          <w:snapToGrid w:val="0"/>
          <w:kern w:val="0"/>
          <w:sz w:val="28"/>
          <w:szCs w:val="28"/>
        </w:rPr>
        <w:t>1、</w:t>
      </w:r>
      <w:r>
        <w:rPr>
          <w:snapToGrid w:val="0"/>
          <w:kern w:val="0"/>
          <w:sz w:val="28"/>
          <w:szCs w:val="28"/>
        </w:rPr>
        <w:t>本部门</w:t>
      </w:r>
      <w:r>
        <w:rPr>
          <w:rFonts w:hint="eastAsia"/>
          <w:snapToGrid w:val="0"/>
          <w:kern w:val="0"/>
          <w:sz w:val="28"/>
          <w:szCs w:val="28"/>
        </w:rPr>
        <w:t>2017年因公出国（境）费本年支出0万元</w:t>
      </w:r>
      <w:r>
        <w:rPr>
          <w:snapToGrid w:val="0"/>
          <w:kern w:val="0"/>
          <w:sz w:val="28"/>
          <w:szCs w:val="28"/>
        </w:rPr>
        <w:t>，</w:t>
      </w:r>
      <w:r>
        <w:rPr>
          <w:rFonts w:hint="eastAsia"/>
          <w:snapToGrid w:val="0"/>
          <w:kern w:val="0"/>
          <w:sz w:val="28"/>
          <w:szCs w:val="28"/>
        </w:rPr>
        <w:t>较</w:t>
      </w:r>
      <w:r>
        <w:rPr>
          <w:snapToGrid w:val="0"/>
          <w:kern w:val="0"/>
          <w:sz w:val="28"/>
          <w:szCs w:val="28"/>
        </w:rPr>
        <w:t>预算压减</w:t>
      </w:r>
      <w:r>
        <w:rPr>
          <w:rFonts w:hint="eastAsia"/>
          <w:snapToGrid w:val="0"/>
          <w:kern w:val="0"/>
          <w:sz w:val="28"/>
          <w:szCs w:val="28"/>
        </w:rPr>
        <w:t>0万元</w:t>
      </w:r>
      <w:r>
        <w:rPr>
          <w:snapToGrid w:val="0"/>
          <w:kern w:val="0"/>
          <w:sz w:val="28"/>
          <w:szCs w:val="28"/>
        </w:rPr>
        <w:t>，减少</w:t>
      </w:r>
      <w:r>
        <w:rPr>
          <w:rFonts w:hint="eastAsia"/>
          <w:snapToGrid w:val="0"/>
          <w:kern w:val="0"/>
          <w:sz w:val="28"/>
          <w:szCs w:val="28"/>
        </w:rPr>
        <w:t>0</w:t>
      </w:r>
      <w:r>
        <w:rPr>
          <w:snapToGrid w:val="0"/>
          <w:kern w:val="0"/>
          <w:sz w:val="28"/>
          <w:szCs w:val="28"/>
        </w:rPr>
        <w:t>%</w:t>
      </w:r>
      <w:r>
        <w:rPr>
          <w:rFonts w:hint="eastAsia"/>
          <w:snapToGrid w:val="0"/>
          <w:kern w:val="0"/>
          <w:sz w:val="28"/>
          <w:szCs w:val="28"/>
        </w:rPr>
        <w:t>，与</w:t>
      </w:r>
      <w:r>
        <w:rPr>
          <w:snapToGrid w:val="0"/>
          <w:kern w:val="0"/>
          <w:sz w:val="28"/>
          <w:szCs w:val="28"/>
        </w:rPr>
        <w:t>年初预算</w:t>
      </w:r>
      <w:r>
        <w:rPr>
          <w:rFonts w:hint="eastAsia"/>
          <w:snapToGrid w:val="0"/>
          <w:kern w:val="0"/>
          <w:sz w:val="28"/>
          <w:szCs w:val="28"/>
        </w:rPr>
        <w:t>一致</w:t>
      </w:r>
      <w:r>
        <w:rPr>
          <w:snapToGrid w:val="0"/>
          <w:kern w:val="0"/>
          <w:sz w:val="28"/>
          <w:szCs w:val="28"/>
        </w:rPr>
        <w:t>；</w:t>
      </w:r>
      <w:r>
        <w:rPr>
          <w:rFonts w:hint="eastAsia"/>
          <w:snapToGrid w:val="0"/>
          <w:kern w:val="0"/>
          <w:sz w:val="28"/>
          <w:szCs w:val="28"/>
        </w:rPr>
        <w:t>与</w:t>
      </w:r>
      <w:r>
        <w:rPr>
          <w:snapToGrid w:val="0"/>
          <w:kern w:val="0"/>
          <w:sz w:val="28"/>
          <w:szCs w:val="28"/>
        </w:rPr>
        <w:t>2016</w:t>
      </w:r>
      <w:r>
        <w:rPr>
          <w:rFonts w:hint="eastAsia"/>
          <w:snapToGrid w:val="0"/>
          <w:kern w:val="0"/>
          <w:sz w:val="28"/>
          <w:szCs w:val="28"/>
        </w:rPr>
        <w:t>年一致。</w:t>
      </w:r>
      <w:r>
        <w:rPr>
          <w:snapToGrid w:val="0"/>
          <w:kern w:val="0"/>
          <w:sz w:val="28"/>
          <w:szCs w:val="28"/>
        </w:rPr>
        <w:t>因公出国（</w:t>
      </w:r>
      <w:r>
        <w:rPr>
          <w:rFonts w:hint="eastAsia"/>
          <w:snapToGrid w:val="0"/>
          <w:kern w:val="0"/>
          <w:sz w:val="28"/>
          <w:szCs w:val="28"/>
        </w:rPr>
        <w:t>境</w:t>
      </w:r>
      <w:r>
        <w:rPr>
          <w:snapToGrid w:val="0"/>
          <w:kern w:val="0"/>
          <w:sz w:val="28"/>
          <w:szCs w:val="28"/>
        </w:rPr>
        <w:t>）</w:t>
      </w:r>
      <w:r>
        <w:rPr>
          <w:rFonts w:hint="eastAsia"/>
          <w:snapToGrid w:val="0"/>
          <w:kern w:val="0"/>
          <w:sz w:val="28"/>
          <w:szCs w:val="28"/>
        </w:rPr>
        <w:t>团</w:t>
      </w:r>
      <w:r>
        <w:rPr>
          <w:snapToGrid w:val="0"/>
          <w:kern w:val="0"/>
          <w:sz w:val="28"/>
          <w:szCs w:val="28"/>
        </w:rPr>
        <w:t>组</w:t>
      </w:r>
      <w:r>
        <w:rPr>
          <w:rFonts w:hint="eastAsia"/>
          <w:snapToGrid w:val="0"/>
          <w:kern w:val="0"/>
          <w:sz w:val="28"/>
          <w:szCs w:val="28"/>
        </w:rPr>
        <w:t>0个</w:t>
      </w:r>
      <w:r>
        <w:rPr>
          <w:snapToGrid w:val="0"/>
          <w:kern w:val="0"/>
          <w:sz w:val="28"/>
          <w:szCs w:val="28"/>
        </w:rPr>
        <w:t>，因公出国（</w:t>
      </w:r>
      <w:r>
        <w:rPr>
          <w:rFonts w:hint="eastAsia"/>
          <w:snapToGrid w:val="0"/>
          <w:kern w:val="0"/>
          <w:sz w:val="28"/>
          <w:szCs w:val="28"/>
        </w:rPr>
        <w:t>境</w:t>
      </w:r>
      <w:r>
        <w:rPr>
          <w:snapToGrid w:val="0"/>
          <w:kern w:val="0"/>
          <w:sz w:val="28"/>
          <w:szCs w:val="28"/>
        </w:rPr>
        <w:t>）</w:t>
      </w:r>
      <w:r>
        <w:rPr>
          <w:rFonts w:hint="eastAsia"/>
          <w:snapToGrid w:val="0"/>
          <w:kern w:val="0"/>
          <w:sz w:val="28"/>
          <w:szCs w:val="28"/>
        </w:rPr>
        <w:t>人次</w:t>
      </w:r>
      <w:r>
        <w:rPr>
          <w:snapToGrid w:val="0"/>
          <w:kern w:val="0"/>
          <w:sz w:val="28"/>
          <w:szCs w:val="28"/>
        </w:rPr>
        <w:t>数</w:t>
      </w:r>
      <w:r>
        <w:rPr>
          <w:rFonts w:hint="eastAsia"/>
          <w:snapToGrid w:val="0"/>
          <w:kern w:val="0"/>
          <w:sz w:val="28"/>
          <w:szCs w:val="28"/>
        </w:rPr>
        <w:t>0人</w:t>
      </w:r>
      <w:r>
        <w:rPr>
          <w:snapToGrid w:val="0"/>
          <w:kern w:val="0"/>
          <w:sz w:val="28"/>
          <w:szCs w:val="28"/>
        </w:rPr>
        <w:t>。</w:t>
      </w:r>
    </w:p>
    <w:p>
      <w:pPr>
        <w:adjustRightInd w:val="0"/>
        <w:snapToGrid w:val="0"/>
        <w:spacing w:line="600" w:lineRule="exact"/>
        <w:ind w:left="105" w:leftChars="50" w:firstLine="560" w:firstLineChars="200"/>
        <w:rPr>
          <w:snapToGrid w:val="0"/>
          <w:kern w:val="0"/>
          <w:sz w:val="28"/>
          <w:szCs w:val="28"/>
        </w:rPr>
      </w:pPr>
      <w:r>
        <w:rPr>
          <w:snapToGrid w:val="0"/>
          <w:kern w:val="0"/>
          <w:sz w:val="28"/>
          <w:szCs w:val="28"/>
        </w:rPr>
        <w:t>2</w:t>
      </w:r>
      <w:r>
        <w:rPr>
          <w:rFonts w:hint="eastAsia"/>
          <w:snapToGrid w:val="0"/>
          <w:kern w:val="0"/>
          <w:sz w:val="28"/>
          <w:szCs w:val="28"/>
        </w:rPr>
        <w:t>、本</w:t>
      </w:r>
      <w:r>
        <w:rPr>
          <w:snapToGrid w:val="0"/>
          <w:kern w:val="0"/>
          <w:sz w:val="28"/>
          <w:szCs w:val="28"/>
        </w:rPr>
        <w:t>部门</w:t>
      </w:r>
      <w:r>
        <w:rPr>
          <w:rFonts w:hint="eastAsia"/>
          <w:snapToGrid w:val="0"/>
          <w:kern w:val="0"/>
          <w:sz w:val="28"/>
          <w:szCs w:val="28"/>
        </w:rPr>
        <w:t>2017年</w:t>
      </w:r>
      <w:r>
        <w:rPr>
          <w:snapToGrid w:val="0"/>
          <w:kern w:val="0"/>
          <w:sz w:val="28"/>
          <w:szCs w:val="28"/>
        </w:rPr>
        <w:t>度</w:t>
      </w:r>
      <w:r>
        <w:rPr>
          <w:rFonts w:hint="eastAsia"/>
          <w:snapToGrid w:val="0"/>
          <w:kern w:val="0"/>
          <w:sz w:val="28"/>
          <w:szCs w:val="28"/>
        </w:rPr>
        <w:t>公务用车</w:t>
      </w:r>
      <w:r>
        <w:rPr>
          <w:snapToGrid w:val="0"/>
          <w:kern w:val="0"/>
          <w:sz w:val="28"/>
          <w:szCs w:val="28"/>
        </w:rPr>
        <w:t>购置</w:t>
      </w:r>
      <w:r>
        <w:rPr>
          <w:rFonts w:hint="eastAsia"/>
          <w:snapToGrid w:val="0"/>
          <w:kern w:val="0"/>
          <w:sz w:val="28"/>
          <w:szCs w:val="28"/>
        </w:rPr>
        <w:t>及运行维护费本年</w:t>
      </w:r>
      <w:r>
        <w:rPr>
          <w:snapToGrid w:val="0"/>
          <w:kern w:val="0"/>
          <w:sz w:val="28"/>
          <w:szCs w:val="28"/>
        </w:rPr>
        <w:t>支出</w:t>
      </w:r>
      <w:r>
        <w:rPr>
          <w:rFonts w:hint="eastAsia"/>
          <w:snapToGrid w:val="0"/>
          <w:kern w:val="0"/>
          <w:sz w:val="28"/>
          <w:szCs w:val="28"/>
        </w:rPr>
        <w:t>1.31万元。（2017年</w:t>
      </w:r>
      <w:r>
        <w:rPr>
          <w:snapToGrid w:val="0"/>
          <w:kern w:val="0"/>
          <w:sz w:val="28"/>
          <w:szCs w:val="28"/>
        </w:rPr>
        <w:t>度</w:t>
      </w:r>
      <w:r>
        <w:rPr>
          <w:rFonts w:hint="eastAsia"/>
          <w:snapToGrid w:val="0"/>
          <w:kern w:val="0"/>
          <w:sz w:val="28"/>
          <w:szCs w:val="28"/>
        </w:rPr>
        <w:t>末</w:t>
      </w:r>
      <w:r>
        <w:rPr>
          <w:snapToGrid w:val="0"/>
          <w:kern w:val="0"/>
          <w:sz w:val="28"/>
          <w:szCs w:val="28"/>
        </w:rPr>
        <w:t>购置公务用车</w:t>
      </w:r>
      <w:r>
        <w:rPr>
          <w:rFonts w:hint="eastAsia"/>
          <w:snapToGrid w:val="0"/>
          <w:kern w:val="0"/>
          <w:sz w:val="28"/>
          <w:szCs w:val="28"/>
        </w:rPr>
        <w:t>0辆</w:t>
      </w:r>
      <w:r>
        <w:rPr>
          <w:snapToGrid w:val="0"/>
          <w:kern w:val="0"/>
          <w:sz w:val="28"/>
          <w:szCs w:val="28"/>
        </w:rPr>
        <w:t>，年末公务用车保有量</w:t>
      </w:r>
      <w:r>
        <w:rPr>
          <w:rFonts w:hint="eastAsia"/>
          <w:snapToGrid w:val="0"/>
          <w:kern w:val="0"/>
          <w:sz w:val="28"/>
          <w:szCs w:val="28"/>
        </w:rPr>
        <w:t>1辆</w:t>
      </w:r>
      <w:r>
        <w:rPr>
          <w:snapToGrid w:val="0"/>
          <w:kern w:val="0"/>
          <w:sz w:val="28"/>
          <w:szCs w:val="28"/>
        </w:rPr>
        <w:t>。</w:t>
      </w:r>
      <w:r>
        <w:rPr>
          <w:rFonts w:hint="eastAsia"/>
          <w:snapToGrid w:val="0"/>
          <w:kern w:val="0"/>
          <w:sz w:val="28"/>
          <w:szCs w:val="28"/>
        </w:rPr>
        <w:t>）</w:t>
      </w:r>
    </w:p>
    <w:p>
      <w:pPr>
        <w:adjustRightInd w:val="0"/>
        <w:snapToGrid w:val="0"/>
        <w:spacing w:line="600" w:lineRule="exact"/>
        <w:ind w:left="105" w:leftChars="50" w:firstLine="560" w:firstLineChars="200"/>
        <w:rPr>
          <w:snapToGrid w:val="0"/>
          <w:kern w:val="0"/>
          <w:sz w:val="28"/>
          <w:szCs w:val="28"/>
        </w:rPr>
      </w:pPr>
      <w:r>
        <w:rPr>
          <w:rFonts w:hint="eastAsia"/>
          <w:snapToGrid w:val="0"/>
          <w:kern w:val="0"/>
          <w:sz w:val="28"/>
          <w:szCs w:val="28"/>
        </w:rPr>
        <w:t>公务用车购置费本年支出0万</w:t>
      </w:r>
      <w:r>
        <w:rPr>
          <w:snapToGrid w:val="0"/>
          <w:kern w:val="0"/>
          <w:sz w:val="28"/>
          <w:szCs w:val="28"/>
        </w:rPr>
        <w:t>元</w:t>
      </w:r>
      <w:r>
        <w:rPr>
          <w:rFonts w:hint="eastAsia"/>
          <w:snapToGrid w:val="0"/>
          <w:kern w:val="0"/>
          <w:sz w:val="28"/>
          <w:szCs w:val="28"/>
        </w:rPr>
        <w:t>；与</w:t>
      </w:r>
      <w:r>
        <w:rPr>
          <w:snapToGrid w:val="0"/>
          <w:kern w:val="0"/>
          <w:sz w:val="28"/>
          <w:szCs w:val="28"/>
        </w:rPr>
        <w:t>年初预算</w:t>
      </w:r>
      <w:r>
        <w:rPr>
          <w:rFonts w:hint="eastAsia"/>
          <w:snapToGrid w:val="0"/>
          <w:kern w:val="0"/>
          <w:sz w:val="28"/>
          <w:szCs w:val="28"/>
        </w:rPr>
        <w:t>一致；与</w:t>
      </w:r>
      <w:r>
        <w:rPr>
          <w:snapToGrid w:val="0"/>
          <w:kern w:val="0"/>
          <w:sz w:val="28"/>
          <w:szCs w:val="28"/>
        </w:rPr>
        <w:t>2016</w:t>
      </w:r>
      <w:r>
        <w:rPr>
          <w:rFonts w:hint="eastAsia"/>
          <w:snapToGrid w:val="0"/>
          <w:kern w:val="0"/>
          <w:sz w:val="28"/>
          <w:szCs w:val="28"/>
        </w:rPr>
        <w:t>年一致。</w:t>
      </w:r>
    </w:p>
    <w:p>
      <w:pPr>
        <w:adjustRightInd w:val="0"/>
        <w:snapToGrid w:val="0"/>
        <w:spacing w:line="600" w:lineRule="exact"/>
        <w:ind w:left="105" w:leftChars="50" w:firstLine="560" w:firstLineChars="200"/>
        <w:rPr>
          <w:snapToGrid w:val="0"/>
          <w:kern w:val="0"/>
          <w:sz w:val="28"/>
          <w:szCs w:val="28"/>
        </w:rPr>
      </w:pPr>
    </w:p>
    <w:p>
      <w:pPr>
        <w:adjustRightInd w:val="0"/>
        <w:snapToGrid w:val="0"/>
        <w:spacing w:line="600" w:lineRule="exact"/>
        <w:ind w:left="105" w:leftChars="50" w:firstLine="560" w:firstLineChars="200"/>
        <w:rPr>
          <w:snapToGrid w:val="0"/>
          <w:kern w:val="0"/>
          <w:sz w:val="28"/>
          <w:szCs w:val="28"/>
        </w:rPr>
      </w:pPr>
      <w:r>
        <w:rPr>
          <w:rFonts w:hint="eastAsia"/>
          <w:snapToGrid w:val="0"/>
          <w:kern w:val="0"/>
          <w:sz w:val="28"/>
          <w:szCs w:val="28"/>
        </w:rPr>
        <w:t>公务用车运行维护费本年支出1.31万</w:t>
      </w:r>
      <w:r>
        <w:rPr>
          <w:snapToGrid w:val="0"/>
          <w:kern w:val="0"/>
          <w:sz w:val="28"/>
          <w:szCs w:val="28"/>
        </w:rPr>
        <w:t>元</w:t>
      </w:r>
      <w:r>
        <w:rPr>
          <w:rFonts w:hint="eastAsia"/>
          <w:snapToGrid w:val="0"/>
          <w:kern w:val="0"/>
          <w:sz w:val="28"/>
          <w:szCs w:val="28"/>
        </w:rPr>
        <w:t>；较预算</w:t>
      </w:r>
      <w:r>
        <w:rPr>
          <w:snapToGrid w:val="0"/>
          <w:kern w:val="0"/>
          <w:sz w:val="28"/>
          <w:szCs w:val="28"/>
        </w:rPr>
        <w:t>压减</w:t>
      </w:r>
      <w:r>
        <w:rPr>
          <w:rFonts w:hint="eastAsia"/>
          <w:snapToGrid w:val="0"/>
          <w:kern w:val="0"/>
          <w:sz w:val="28"/>
          <w:szCs w:val="28"/>
        </w:rPr>
        <w:t>1.69万元</w:t>
      </w:r>
      <w:r>
        <w:rPr>
          <w:snapToGrid w:val="0"/>
          <w:kern w:val="0"/>
          <w:sz w:val="28"/>
          <w:szCs w:val="28"/>
        </w:rPr>
        <w:t>，减少</w:t>
      </w:r>
      <w:r>
        <w:rPr>
          <w:rFonts w:hint="eastAsia"/>
          <w:snapToGrid w:val="0"/>
          <w:kern w:val="0"/>
          <w:sz w:val="28"/>
          <w:szCs w:val="28"/>
        </w:rPr>
        <w:t>56.33</w:t>
      </w:r>
      <w:r>
        <w:rPr>
          <w:snapToGrid w:val="0"/>
          <w:kern w:val="0"/>
          <w:sz w:val="28"/>
          <w:szCs w:val="28"/>
        </w:rPr>
        <w:t>%；</w:t>
      </w:r>
      <w:r>
        <w:rPr>
          <w:rFonts w:hint="eastAsia"/>
          <w:snapToGrid w:val="0"/>
          <w:kern w:val="0"/>
          <w:sz w:val="28"/>
          <w:szCs w:val="28"/>
        </w:rPr>
        <w:t>较201</w:t>
      </w:r>
      <w:r>
        <w:rPr>
          <w:snapToGrid w:val="0"/>
          <w:kern w:val="0"/>
          <w:sz w:val="28"/>
          <w:szCs w:val="28"/>
        </w:rPr>
        <w:t>6</w:t>
      </w:r>
      <w:r>
        <w:rPr>
          <w:rFonts w:hint="eastAsia"/>
          <w:snapToGrid w:val="0"/>
          <w:kern w:val="0"/>
          <w:sz w:val="28"/>
          <w:szCs w:val="28"/>
        </w:rPr>
        <w:t>年减少1.97万元，减少60.1</w:t>
      </w:r>
      <w:r>
        <w:rPr>
          <w:snapToGrid w:val="0"/>
          <w:kern w:val="0"/>
          <w:sz w:val="28"/>
          <w:szCs w:val="28"/>
        </w:rPr>
        <w:t>%</w:t>
      </w:r>
      <w:r>
        <w:rPr>
          <w:rFonts w:hint="eastAsia"/>
          <w:snapToGrid w:val="0"/>
          <w:kern w:val="0"/>
          <w:sz w:val="28"/>
          <w:szCs w:val="28"/>
        </w:rPr>
        <w:t>。主要原因：新车损耗减小及严格执行中央八项规定。</w:t>
      </w:r>
    </w:p>
    <w:p>
      <w:pPr>
        <w:adjustRightInd w:val="0"/>
        <w:snapToGrid w:val="0"/>
        <w:spacing w:line="600" w:lineRule="exact"/>
        <w:ind w:left="105" w:leftChars="50" w:firstLine="560" w:firstLineChars="200"/>
        <w:rPr>
          <w:snapToGrid w:val="0"/>
          <w:kern w:val="0"/>
          <w:sz w:val="28"/>
          <w:szCs w:val="28"/>
        </w:rPr>
      </w:pPr>
      <w:r>
        <w:rPr>
          <w:snapToGrid w:val="0"/>
          <w:kern w:val="0"/>
          <w:sz w:val="28"/>
          <w:szCs w:val="28"/>
        </w:rPr>
        <w:t>3</w:t>
      </w:r>
      <w:r>
        <w:rPr>
          <w:rFonts w:hint="eastAsia"/>
          <w:snapToGrid w:val="0"/>
          <w:kern w:val="0"/>
          <w:sz w:val="28"/>
          <w:szCs w:val="28"/>
        </w:rPr>
        <w:t>、本</w:t>
      </w:r>
      <w:r>
        <w:rPr>
          <w:snapToGrid w:val="0"/>
          <w:kern w:val="0"/>
          <w:sz w:val="28"/>
          <w:szCs w:val="28"/>
        </w:rPr>
        <w:t>部门</w:t>
      </w:r>
      <w:r>
        <w:rPr>
          <w:rFonts w:hint="eastAsia"/>
          <w:snapToGrid w:val="0"/>
          <w:kern w:val="0"/>
          <w:sz w:val="28"/>
          <w:szCs w:val="28"/>
        </w:rPr>
        <w:t>2017年公务接待费全年支出0万元，较</w:t>
      </w:r>
      <w:r>
        <w:rPr>
          <w:snapToGrid w:val="0"/>
          <w:kern w:val="0"/>
          <w:sz w:val="28"/>
          <w:szCs w:val="28"/>
        </w:rPr>
        <w:t>预算</w:t>
      </w:r>
      <w:r>
        <w:rPr>
          <w:rFonts w:hint="eastAsia"/>
          <w:snapToGrid w:val="0"/>
          <w:kern w:val="0"/>
          <w:sz w:val="28"/>
          <w:szCs w:val="28"/>
        </w:rPr>
        <w:t>减少0.3万元</w:t>
      </w:r>
      <w:r>
        <w:rPr>
          <w:snapToGrid w:val="0"/>
          <w:kern w:val="0"/>
          <w:sz w:val="28"/>
          <w:szCs w:val="28"/>
        </w:rPr>
        <w:t>，</w:t>
      </w:r>
      <w:r>
        <w:rPr>
          <w:rFonts w:hint="eastAsia"/>
          <w:snapToGrid w:val="0"/>
          <w:kern w:val="0"/>
          <w:sz w:val="28"/>
          <w:szCs w:val="28"/>
        </w:rPr>
        <w:t>减少100</w:t>
      </w:r>
      <w:r>
        <w:rPr>
          <w:snapToGrid w:val="0"/>
          <w:kern w:val="0"/>
          <w:sz w:val="28"/>
          <w:szCs w:val="28"/>
        </w:rPr>
        <w:t>%；</w:t>
      </w:r>
      <w:r>
        <w:rPr>
          <w:rFonts w:hint="eastAsia"/>
          <w:snapToGrid w:val="0"/>
          <w:kern w:val="0"/>
          <w:sz w:val="28"/>
          <w:szCs w:val="28"/>
        </w:rPr>
        <w:t>与</w:t>
      </w:r>
      <w:r>
        <w:rPr>
          <w:snapToGrid w:val="0"/>
          <w:kern w:val="0"/>
          <w:sz w:val="28"/>
          <w:szCs w:val="28"/>
        </w:rPr>
        <w:t>2016</w:t>
      </w:r>
      <w:r>
        <w:rPr>
          <w:rFonts w:hint="eastAsia"/>
          <w:snapToGrid w:val="0"/>
          <w:kern w:val="0"/>
          <w:sz w:val="28"/>
          <w:szCs w:val="28"/>
        </w:rPr>
        <w:t>年持平，主要原因 ：严格执行中央八项规定。</w:t>
      </w:r>
    </w:p>
    <w:p>
      <w:pPr>
        <w:adjustRightInd w:val="0"/>
        <w:snapToGrid w:val="0"/>
        <w:spacing w:line="600" w:lineRule="exact"/>
        <w:ind w:left="105" w:leftChars="50" w:firstLine="560" w:firstLineChars="200"/>
        <w:rPr>
          <w:snapToGrid w:val="0"/>
          <w:kern w:val="0"/>
          <w:sz w:val="28"/>
          <w:szCs w:val="28"/>
        </w:rPr>
      </w:pPr>
      <w:r>
        <w:rPr>
          <w:rFonts w:hint="eastAsia"/>
          <w:snapToGrid w:val="0"/>
          <w:kern w:val="0"/>
          <w:sz w:val="28"/>
          <w:szCs w:val="28"/>
        </w:rPr>
        <w:t>国内公务接待批次0个，国内公务接待人次0人；国外公务接待批次0个，国外公务接待人次0人。</w:t>
      </w:r>
    </w:p>
    <w:p>
      <w:pPr>
        <w:adjustRightInd w:val="0"/>
        <w:snapToGrid w:val="0"/>
        <w:spacing w:line="600" w:lineRule="exact"/>
        <w:ind w:firstLine="560" w:firstLineChars="200"/>
        <w:rPr>
          <w:rFonts w:ascii="黑体" w:hAnsi="黑体" w:eastAsia="黑体"/>
          <w:snapToGrid w:val="0"/>
          <w:kern w:val="0"/>
          <w:sz w:val="28"/>
          <w:szCs w:val="28"/>
        </w:rPr>
      </w:pPr>
      <w:r>
        <w:rPr>
          <w:rFonts w:hint="eastAsia" w:ascii="黑体" w:hAnsi="黑体" w:eastAsia="黑体"/>
          <w:snapToGrid w:val="0"/>
          <w:kern w:val="0"/>
          <w:sz w:val="28"/>
          <w:szCs w:val="28"/>
        </w:rPr>
        <w:t>六</w:t>
      </w:r>
      <w:r>
        <w:rPr>
          <w:rFonts w:ascii="黑体" w:hAnsi="黑体" w:eastAsia="黑体"/>
          <w:snapToGrid w:val="0"/>
          <w:kern w:val="0"/>
          <w:sz w:val="28"/>
          <w:szCs w:val="28"/>
        </w:rPr>
        <w:t>、</w:t>
      </w:r>
      <w:r>
        <w:rPr>
          <w:rFonts w:hint="eastAsia" w:ascii="黑体" w:hAnsi="黑体" w:eastAsia="黑体"/>
          <w:snapToGrid w:val="0"/>
          <w:kern w:val="0"/>
          <w:sz w:val="28"/>
          <w:szCs w:val="28"/>
        </w:rPr>
        <w:t>预算</w:t>
      </w:r>
      <w:r>
        <w:rPr>
          <w:rFonts w:ascii="黑体" w:hAnsi="黑体" w:eastAsia="黑体"/>
          <w:snapToGrid w:val="0"/>
          <w:kern w:val="0"/>
          <w:sz w:val="28"/>
          <w:szCs w:val="28"/>
        </w:rPr>
        <w:t>绩效管理工作开展情况说明</w:t>
      </w:r>
    </w:p>
    <w:p>
      <w:pPr>
        <w:spacing w:after="222" w:line="560" w:lineRule="exact"/>
        <w:ind w:firstLine="420" w:firstLineChars="150"/>
        <w:rPr>
          <w:rFonts w:asciiTheme="minorEastAsia" w:hAnsiTheme="minorEastAsia"/>
          <w:sz w:val="28"/>
          <w:szCs w:val="28"/>
        </w:rPr>
      </w:pPr>
      <w:r>
        <w:rPr>
          <w:rFonts w:asciiTheme="minorEastAsia" w:hAnsiTheme="minorEastAsia"/>
          <w:sz w:val="28"/>
          <w:szCs w:val="28"/>
        </w:rPr>
        <w:t xml:space="preserve">（一）预算绩效管理工作开展情况 </w:t>
      </w:r>
    </w:p>
    <w:p>
      <w:pPr>
        <w:spacing w:after="222" w:line="560" w:lineRule="exact"/>
        <w:ind w:left="-17" w:firstLine="560" w:firstLineChars="200"/>
        <w:rPr>
          <w:rFonts w:asciiTheme="minorEastAsia" w:hAnsiTheme="minorEastAsia"/>
          <w:sz w:val="28"/>
          <w:szCs w:val="28"/>
        </w:rPr>
      </w:pPr>
      <w:r>
        <w:rPr>
          <w:rFonts w:hint="eastAsia" w:asciiTheme="minorEastAsia" w:hAnsiTheme="minorEastAsia"/>
          <w:sz w:val="28"/>
          <w:szCs w:val="28"/>
        </w:rPr>
        <w:t>根据省财政预算绩效管理要求，省财政厅部门以“部门职责</w:t>
      </w:r>
      <w:r>
        <w:rPr>
          <w:rFonts w:asciiTheme="minorEastAsia" w:hAnsiTheme="minorEastAsia"/>
          <w:sz w:val="28"/>
          <w:szCs w:val="28"/>
        </w:rPr>
        <w:t xml:space="preserve"> —工作活动”为依据，确定部门预算项目和预算额度，清晰描述预算项目开支范围和内容，确定预算项目的绩效目标、绩效指标和评价标准，为预算绩效控制、绩效分析、绩效评价打下好的基础。 </w:t>
      </w:r>
    </w:p>
    <w:p>
      <w:pPr>
        <w:spacing w:after="222" w:line="560" w:lineRule="exact"/>
        <w:ind w:left="-17" w:firstLine="560" w:firstLineChars="200"/>
        <w:rPr>
          <w:rFonts w:asciiTheme="minorEastAsia" w:hAnsiTheme="minorEastAsia"/>
          <w:sz w:val="28"/>
          <w:szCs w:val="28"/>
        </w:rPr>
      </w:pPr>
      <w:r>
        <w:rPr>
          <w:rFonts w:hint="eastAsia" w:asciiTheme="minorEastAsia" w:hAnsiTheme="minorEastAsia"/>
          <w:sz w:val="28"/>
          <w:szCs w:val="28"/>
        </w:rPr>
        <w:t>（二）预算项目绩效评价开展情况</w:t>
      </w:r>
      <w:r>
        <w:rPr>
          <w:rFonts w:asciiTheme="minorEastAsia" w:hAnsiTheme="minorEastAsia"/>
          <w:sz w:val="28"/>
          <w:szCs w:val="28"/>
        </w:rPr>
        <w:t xml:space="preserve"> </w:t>
      </w:r>
    </w:p>
    <w:p>
      <w:pPr>
        <w:spacing w:after="222" w:line="560" w:lineRule="exact"/>
        <w:ind w:left="-17" w:firstLine="560" w:firstLineChars="200"/>
        <w:rPr>
          <w:rFonts w:asciiTheme="minorEastAsia" w:hAnsiTheme="minorEastAsia"/>
          <w:sz w:val="28"/>
          <w:szCs w:val="28"/>
        </w:rPr>
      </w:pPr>
      <w:r>
        <w:rPr>
          <w:rFonts w:hint="eastAsia" w:asciiTheme="minorEastAsia" w:hAnsiTheme="minorEastAsia"/>
          <w:sz w:val="28"/>
          <w:szCs w:val="28"/>
        </w:rPr>
        <w:t>按照省财政预算绩效管理要求，我单位对</w:t>
      </w:r>
      <w:r>
        <w:rPr>
          <w:rFonts w:asciiTheme="minorEastAsia" w:hAnsiTheme="minorEastAsia"/>
          <w:sz w:val="28"/>
          <w:szCs w:val="28"/>
        </w:rPr>
        <w:t>2017年初确定的部门一般公共预算支出专项项目全面开展了绩效自评。部门决算专项项目</w:t>
      </w:r>
      <w:r>
        <w:rPr>
          <w:rFonts w:hint="eastAsia" w:asciiTheme="minorEastAsia" w:hAnsiTheme="minorEastAsia"/>
          <w:sz w:val="28"/>
          <w:szCs w:val="28"/>
        </w:rPr>
        <w:t>1</w:t>
      </w:r>
      <w:r>
        <w:rPr>
          <w:rFonts w:asciiTheme="minorEastAsia" w:hAnsiTheme="minorEastAsia"/>
          <w:sz w:val="28"/>
          <w:szCs w:val="28"/>
        </w:rPr>
        <w:t>项，涉及预算资金</w:t>
      </w:r>
      <w:r>
        <w:rPr>
          <w:rFonts w:hint="eastAsia" w:asciiTheme="minorEastAsia" w:hAnsiTheme="minorEastAsia"/>
          <w:sz w:val="28"/>
          <w:szCs w:val="28"/>
        </w:rPr>
        <w:t>63.15</w:t>
      </w:r>
      <w:r>
        <w:rPr>
          <w:rFonts w:asciiTheme="minorEastAsia" w:hAnsiTheme="minorEastAsia"/>
          <w:sz w:val="28"/>
          <w:szCs w:val="28"/>
        </w:rPr>
        <w:t xml:space="preserve">万元，绩效自评覆盖率达到100%。 </w:t>
      </w:r>
    </w:p>
    <w:p>
      <w:pPr>
        <w:spacing w:after="222" w:line="560" w:lineRule="exact"/>
        <w:ind w:firstLine="420" w:firstLineChars="150"/>
        <w:rPr>
          <w:rFonts w:asciiTheme="minorEastAsia" w:hAnsiTheme="minorEastAsia"/>
          <w:sz w:val="28"/>
          <w:szCs w:val="28"/>
        </w:rPr>
      </w:pPr>
      <w:r>
        <w:rPr>
          <w:rFonts w:hint="eastAsia" w:asciiTheme="minorEastAsia" w:hAnsiTheme="minorEastAsia"/>
          <w:sz w:val="28"/>
          <w:szCs w:val="28"/>
        </w:rPr>
        <w:t>（三）预算项目绩效自评选例</w:t>
      </w:r>
      <w:r>
        <w:rPr>
          <w:rFonts w:asciiTheme="minorEastAsia" w:hAnsiTheme="minorEastAsia"/>
          <w:sz w:val="28"/>
          <w:szCs w:val="28"/>
        </w:rPr>
        <w:t xml:space="preserve"> </w:t>
      </w:r>
    </w:p>
    <w:p>
      <w:pPr>
        <w:widowControl/>
        <w:spacing w:line="432" w:lineRule="auto"/>
        <w:ind w:firstLine="420" w:firstLineChars="150"/>
        <w:textAlignment w:val="top"/>
        <w:outlineLvl w:val="1"/>
        <w:rPr>
          <w:rFonts w:asciiTheme="minorEastAsia" w:hAnsiTheme="minorEastAsia"/>
          <w:color w:val="333333"/>
          <w:sz w:val="28"/>
          <w:szCs w:val="28"/>
          <w:shd w:val="clear" w:color="auto" w:fill="FFFFFF"/>
        </w:rPr>
      </w:pPr>
      <w:r>
        <w:rPr>
          <w:rFonts w:hint="eastAsia" w:asciiTheme="minorEastAsia" w:hAnsiTheme="minorEastAsia"/>
          <w:sz w:val="28"/>
          <w:szCs w:val="28"/>
        </w:rPr>
        <w:t>“残疾人就业保障金征收工作经费”项目。残疾人就业保障金征收工作经费是</w:t>
      </w:r>
      <w:r>
        <w:rPr>
          <w:rFonts w:hint="eastAsia" w:asciiTheme="minorEastAsia" w:hAnsiTheme="minorEastAsia"/>
          <w:color w:val="333333"/>
          <w:sz w:val="28"/>
          <w:szCs w:val="28"/>
          <w:shd w:val="clear" w:color="auto" w:fill="FFFFFF"/>
        </w:rPr>
        <w:t>地方税务机关代征残疾人就业保障金所需经费按10%的比例，从同级年代征保障金中提取支出。按规定，2013年至2015年三年间，付我区地税局残疾人就业保障金代征收工作经费63.15万元。</w:t>
      </w:r>
    </w:p>
    <w:p>
      <w:pPr>
        <w:spacing w:after="222" w:line="560" w:lineRule="exact"/>
        <w:ind w:left="-17" w:firstLine="560" w:firstLineChars="200"/>
        <w:rPr>
          <w:rFonts w:asciiTheme="minorEastAsia" w:hAnsiTheme="minorEastAsia"/>
          <w:sz w:val="28"/>
          <w:szCs w:val="28"/>
        </w:rPr>
      </w:pPr>
      <w:r>
        <w:rPr>
          <w:rFonts w:hint="eastAsia" w:asciiTheme="minorEastAsia" w:hAnsiTheme="minorEastAsia"/>
          <w:sz w:val="28"/>
          <w:szCs w:val="28"/>
        </w:rPr>
        <w:t>按照政策要求和项目实施目的，设定该项目产出指标为征收经费是否及时、足额支付到位，实际支付资金占项目总金额的比例100</w:t>
      </w:r>
      <w:r>
        <w:rPr>
          <w:rFonts w:asciiTheme="minorEastAsia" w:hAnsiTheme="minorEastAsia"/>
          <w:sz w:val="28"/>
          <w:szCs w:val="28"/>
        </w:rPr>
        <w:t>%</w:t>
      </w:r>
      <w:r>
        <w:rPr>
          <w:rFonts w:hint="eastAsia" w:asciiTheme="minorEastAsia" w:hAnsiTheme="minorEastAsia"/>
          <w:sz w:val="28"/>
          <w:szCs w:val="28"/>
        </w:rPr>
        <w:t>为优</w:t>
      </w:r>
      <w:r>
        <w:rPr>
          <w:rFonts w:asciiTheme="minorEastAsia" w:hAnsiTheme="minorEastAsia"/>
          <w:sz w:val="28"/>
          <w:szCs w:val="28"/>
        </w:rPr>
        <w:t>；</w:t>
      </w:r>
      <w:r>
        <w:rPr>
          <w:rFonts w:hint="eastAsia" w:asciiTheme="minorEastAsia" w:hAnsiTheme="minorEastAsia"/>
          <w:sz w:val="28"/>
          <w:szCs w:val="28"/>
        </w:rPr>
        <w:t>实际支付资金占项目总金额的比例90</w:t>
      </w:r>
      <w:r>
        <w:rPr>
          <w:rFonts w:asciiTheme="minorEastAsia" w:hAnsiTheme="minorEastAsia"/>
          <w:sz w:val="28"/>
          <w:szCs w:val="28"/>
        </w:rPr>
        <w:t>%</w:t>
      </w:r>
      <w:r>
        <w:rPr>
          <w:rFonts w:hint="eastAsia" w:asciiTheme="minorEastAsia" w:hAnsiTheme="minorEastAsia"/>
          <w:sz w:val="28"/>
          <w:szCs w:val="28"/>
        </w:rPr>
        <w:t>为良；实际支付资金占项目总金额的比例80</w:t>
      </w:r>
      <w:r>
        <w:rPr>
          <w:rFonts w:asciiTheme="minorEastAsia" w:hAnsiTheme="minorEastAsia"/>
          <w:sz w:val="28"/>
          <w:szCs w:val="28"/>
        </w:rPr>
        <w:t>%</w:t>
      </w:r>
      <w:r>
        <w:rPr>
          <w:rFonts w:hint="eastAsia" w:asciiTheme="minorEastAsia" w:hAnsiTheme="minorEastAsia"/>
          <w:sz w:val="28"/>
          <w:szCs w:val="28"/>
        </w:rPr>
        <w:t>为中；实际支付资金占项目总金额的比例70</w:t>
      </w:r>
      <w:r>
        <w:rPr>
          <w:rFonts w:asciiTheme="minorEastAsia" w:hAnsiTheme="minorEastAsia"/>
          <w:sz w:val="28"/>
          <w:szCs w:val="28"/>
        </w:rPr>
        <w:t>%</w:t>
      </w:r>
      <w:r>
        <w:rPr>
          <w:rFonts w:hint="eastAsia" w:asciiTheme="minorEastAsia" w:hAnsiTheme="minorEastAsia"/>
          <w:sz w:val="28"/>
          <w:szCs w:val="28"/>
        </w:rPr>
        <w:t>为差。</w:t>
      </w:r>
      <w:r>
        <w:rPr>
          <w:rFonts w:asciiTheme="minorEastAsia" w:hAnsiTheme="minorEastAsia"/>
          <w:sz w:val="28"/>
          <w:szCs w:val="28"/>
        </w:rPr>
        <w:t>绩效自评</w:t>
      </w:r>
      <w:r>
        <w:rPr>
          <w:rFonts w:hint="eastAsia" w:asciiTheme="minorEastAsia" w:hAnsiTheme="minorEastAsia"/>
          <w:sz w:val="28"/>
          <w:szCs w:val="28"/>
        </w:rPr>
        <w:t>100分，</w:t>
      </w:r>
      <w:r>
        <w:rPr>
          <w:rFonts w:asciiTheme="minorEastAsia" w:hAnsiTheme="minorEastAsia"/>
          <w:sz w:val="28"/>
          <w:szCs w:val="28"/>
        </w:rPr>
        <w:t>等级为“优”。</w:t>
      </w:r>
    </w:p>
    <w:p>
      <w:pPr>
        <w:adjustRightInd w:val="0"/>
        <w:snapToGrid w:val="0"/>
        <w:spacing w:line="600" w:lineRule="exact"/>
        <w:ind w:firstLine="420" w:firstLineChars="150"/>
        <w:rPr>
          <w:rFonts w:ascii="黑体" w:hAnsi="黑体" w:eastAsia="黑体"/>
          <w:snapToGrid w:val="0"/>
          <w:kern w:val="0"/>
          <w:sz w:val="28"/>
          <w:szCs w:val="28"/>
        </w:rPr>
      </w:pPr>
      <w:r>
        <w:rPr>
          <w:rFonts w:hint="eastAsia" w:ascii="黑体" w:hAnsi="黑体" w:eastAsia="黑体"/>
          <w:snapToGrid w:val="0"/>
          <w:kern w:val="0"/>
          <w:sz w:val="28"/>
          <w:szCs w:val="28"/>
        </w:rPr>
        <w:t>七</w:t>
      </w:r>
      <w:r>
        <w:rPr>
          <w:rFonts w:ascii="黑体" w:hAnsi="黑体" w:eastAsia="黑体"/>
          <w:snapToGrid w:val="0"/>
          <w:kern w:val="0"/>
          <w:sz w:val="28"/>
          <w:szCs w:val="28"/>
        </w:rPr>
        <w:t>、</w:t>
      </w:r>
      <w:r>
        <w:rPr>
          <w:rFonts w:hint="eastAsia" w:ascii="黑体" w:hAnsi="黑体" w:eastAsia="黑体"/>
          <w:snapToGrid w:val="0"/>
          <w:kern w:val="0"/>
          <w:sz w:val="28"/>
          <w:szCs w:val="28"/>
        </w:rPr>
        <w:t>其他</w:t>
      </w:r>
      <w:r>
        <w:rPr>
          <w:rFonts w:ascii="黑体" w:hAnsi="黑体" w:eastAsia="黑体"/>
          <w:snapToGrid w:val="0"/>
          <w:kern w:val="0"/>
          <w:sz w:val="28"/>
          <w:szCs w:val="28"/>
        </w:rPr>
        <w:t>重要事项的说明</w:t>
      </w:r>
    </w:p>
    <w:p>
      <w:pPr>
        <w:adjustRightInd w:val="0"/>
        <w:snapToGrid w:val="0"/>
        <w:spacing w:line="600" w:lineRule="exact"/>
        <w:ind w:firstLine="560" w:firstLineChars="200"/>
        <w:rPr>
          <w:snapToGrid w:val="0"/>
          <w:kern w:val="0"/>
          <w:sz w:val="28"/>
          <w:szCs w:val="28"/>
        </w:rPr>
      </w:pPr>
      <w:r>
        <w:rPr>
          <w:snapToGrid w:val="0"/>
          <w:kern w:val="0"/>
          <w:sz w:val="28"/>
          <w:szCs w:val="28"/>
        </w:rPr>
        <w:t>1</w:t>
      </w:r>
      <w:r>
        <w:rPr>
          <w:rFonts w:hint="eastAsia"/>
          <w:snapToGrid w:val="0"/>
          <w:kern w:val="0"/>
          <w:sz w:val="28"/>
          <w:szCs w:val="28"/>
        </w:rPr>
        <w:t>、</w:t>
      </w:r>
      <w:r>
        <w:rPr>
          <w:snapToGrid w:val="0"/>
          <w:kern w:val="0"/>
          <w:sz w:val="28"/>
          <w:szCs w:val="28"/>
        </w:rPr>
        <w:t>机关运</w:t>
      </w:r>
      <w:r>
        <w:rPr>
          <w:rFonts w:hint="eastAsia"/>
          <w:snapToGrid w:val="0"/>
          <w:kern w:val="0"/>
          <w:sz w:val="28"/>
          <w:szCs w:val="28"/>
        </w:rPr>
        <w:t>行</w:t>
      </w:r>
      <w:r>
        <w:rPr>
          <w:snapToGrid w:val="0"/>
          <w:kern w:val="0"/>
          <w:sz w:val="28"/>
          <w:szCs w:val="28"/>
        </w:rPr>
        <w:t>经费</w:t>
      </w:r>
      <w:r>
        <w:rPr>
          <w:rFonts w:hint="eastAsia"/>
          <w:snapToGrid w:val="0"/>
          <w:kern w:val="0"/>
          <w:sz w:val="28"/>
          <w:szCs w:val="28"/>
        </w:rPr>
        <w:t>支出</w:t>
      </w:r>
      <w:r>
        <w:rPr>
          <w:snapToGrid w:val="0"/>
          <w:kern w:val="0"/>
          <w:sz w:val="28"/>
          <w:szCs w:val="28"/>
        </w:rPr>
        <w:t>情况说明</w:t>
      </w:r>
    </w:p>
    <w:p>
      <w:pPr>
        <w:adjustRightInd w:val="0"/>
        <w:snapToGrid w:val="0"/>
        <w:spacing w:line="600" w:lineRule="exact"/>
        <w:ind w:firstLine="560" w:firstLineChars="200"/>
        <w:rPr>
          <w:snapToGrid w:val="0"/>
          <w:kern w:val="0"/>
          <w:sz w:val="28"/>
          <w:szCs w:val="28"/>
        </w:rPr>
      </w:pPr>
      <w:r>
        <w:rPr>
          <w:rFonts w:hint="eastAsia"/>
          <w:snapToGrid w:val="0"/>
          <w:kern w:val="0"/>
          <w:sz w:val="28"/>
          <w:szCs w:val="28"/>
        </w:rPr>
        <w:t>201</w:t>
      </w:r>
      <w:r>
        <w:rPr>
          <w:snapToGrid w:val="0"/>
          <w:kern w:val="0"/>
          <w:sz w:val="28"/>
          <w:szCs w:val="28"/>
        </w:rPr>
        <w:t>7</w:t>
      </w:r>
      <w:r>
        <w:rPr>
          <w:rFonts w:hint="eastAsia"/>
          <w:snapToGrid w:val="0"/>
          <w:kern w:val="0"/>
          <w:sz w:val="28"/>
          <w:szCs w:val="28"/>
        </w:rPr>
        <w:t>年度公用经费总支出16.37万元，其中办公费2.21万元、印刷费0万元、水费0万元、电费3万元、邮电费3.06万元、取暖费0万元、差旅费0万元、维修（护）费1万元、会议费0万元、培训费0万元、公务接待费0万元、工会经费0.93万元、福利费0.35万元、公务用车运行维护费1.31万元、其他交通费用3.5万元等。</w:t>
      </w:r>
    </w:p>
    <w:p>
      <w:pPr>
        <w:pStyle w:val="8"/>
        <w:adjustRightInd w:val="0"/>
        <w:snapToGrid w:val="0"/>
        <w:spacing w:line="600" w:lineRule="exact"/>
        <w:ind w:left="210" w:leftChars="100" w:firstLineChars="150"/>
        <w:rPr>
          <w:snapToGrid w:val="0"/>
          <w:kern w:val="0"/>
          <w:sz w:val="28"/>
          <w:szCs w:val="28"/>
        </w:rPr>
      </w:pPr>
      <w:r>
        <w:rPr>
          <w:rFonts w:hint="eastAsia"/>
          <w:snapToGrid w:val="0"/>
          <w:kern w:val="0"/>
          <w:sz w:val="28"/>
          <w:szCs w:val="28"/>
        </w:rPr>
        <w:t>2017年本部门机关运行经费支出13.15万元，比201</w:t>
      </w:r>
      <w:r>
        <w:rPr>
          <w:snapToGrid w:val="0"/>
          <w:kern w:val="0"/>
          <w:sz w:val="28"/>
          <w:szCs w:val="28"/>
        </w:rPr>
        <w:t>6</w:t>
      </w:r>
      <w:r>
        <w:rPr>
          <w:rFonts w:hint="eastAsia"/>
          <w:snapToGrid w:val="0"/>
          <w:kern w:val="0"/>
          <w:sz w:val="28"/>
          <w:szCs w:val="28"/>
        </w:rPr>
        <w:t>年增加4.23万元，增长47.42%。主要原因是： 更换电脑、办公桌椅等办公设备，发放通讯费补贴。</w:t>
      </w:r>
    </w:p>
    <w:p>
      <w:pPr>
        <w:adjustRightInd w:val="0"/>
        <w:snapToGrid w:val="0"/>
        <w:spacing w:line="600" w:lineRule="exact"/>
        <w:ind w:firstLine="560" w:firstLineChars="200"/>
        <w:rPr>
          <w:snapToGrid w:val="0"/>
          <w:kern w:val="0"/>
          <w:sz w:val="28"/>
          <w:szCs w:val="28"/>
        </w:rPr>
      </w:pPr>
      <w:r>
        <w:rPr>
          <w:rFonts w:hint="eastAsia"/>
          <w:snapToGrid w:val="0"/>
          <w:kern w:val="0"/>
          <w:sz w:val="28"/>
          <w:szCs w:val="28"/>
        </w:rPr>
        <w:t>2</w:t>
      </w:r>
      <w:r>
        <w:rPr>
          <w:snapToGrid w:val="0"/>
          <w:kern w:val="0"/>
          <w:sz w:val="28"/>
          <w:szCs w:val="28"/>
        </w:rPr>
        <w:t>、政府采购情况说明</w:t>
      </w:r>
    </w:p>
    <w:p>
      <w:pPr>
        <w:adjustRightInd w:val="0"/>
        <w:snapToGrid w:val="0"/>
        <w:spacing w:line="600" w:lineRule="exact"/>
        <w:ind w:left="210" w:leftChars="100" w:firstLine="280" w:firstLineChars="100"/>
        <w:rPr>
          <w:snapToGrid w:val="0"/>
          <w:kern w:val="0"/>
          <w:sz w:val="28"/>
          <w:szCs w:val="28"/>
        </w:rPr>
      </w:pPr>
      <w:r>
        <w:rPr>
          <w:rFonts w:hint="eastAsia"/>
          <w:snapToGrid w:val="0"/>
          <w:kern w:val="0"/>
          <w:sz w:val="28"/>
          <w:szCs w:val="28"/>
        </w:rPr>
        <w:t>201</w:t>
      </w:r>
      <w:r>
        <w:rPr>
          <w:snapToGrid w:val="0"/>
          <w:kern w:val="0"/>
          <w:sz w:val="28"/>
          <w:szCs w:val="28"/>
        </w:rPr>
        <w:t>7</w:t>
      </w:r>
      <w:r>
        <w:rPr>
          <w:rFonts w:hint="eastAsia"/>
          <w:snapToGrid w:val="0"/>
          <w:kern w:val="0"/>
          <w:sz w:val="28"/>
          <w:szCs w:val="28"/>
        </w:rPr>
        <w:t>年政府采购预算总额为0万元。</w:t>
      </w:r>
    </w:p>
    <w:p>
      <w:pPr>
        <w:pStyle w:val="8"/>
        <w:adjustRightInd w:val="0"/>
        <w:snapToGrid w:val="0"/>
        <w:spacing w:line="600" w:lineRule="exact"/>
        <w:ind w:left="105" w:leftChars="50" w:firstLine="560"/>
        <w:rPr>
          <w:snapToGrid w:val="0"/>
          <w:kern w:val="0"/>
          <w:sz w:val="28"/>
          <w:szCs w:val="28"/>
        </w:rPr>
      </w:pPr>
      <w:r>
        <w:rPr>
          <w:rFonts w:hint="eastAsia"/>
          <w:snapToGrid w:val="0"/>
          <w:kern w:val="0"/>
          <w:sz w:val="28"/>
          <w:szCs w:val="28"/>
        </w:rPr>
        <w:t>2017年本部门政府采购支出总额0万元。</w:t>
      </w:r>
    </w:p>
    <w:p>
      <w:pPr>
        <w:pStyle w:val="8"/>
        <w:adjustRightInd w:val="0"/>
        <w:snapToGrid w:val="0"/>
        <w:spacing w:line="600" w:lineRule="exact"/>
        <w:ind w:left="105" w:leftChars="50" w:firstLine="560"/>
        <w:rPr>
          <w:snapToGrid w:val="0"/>
          <w:kern w:val="0"/>
          <w:sz w:val="28"/>
          <w:szCs w:val="28"/>
        </w:rPr>
      </w:pPr>
      <w:r>
        <w:rPr>
          <w:rFonts w:hint="eastAsia"/>
          <w:snapToGrid w:val="0"/>
          <w:kern w:val="0"/>
          <w:sz w:val="28"/>
          <w:szCs w:val="28"/>
        </w:rPr>
        <w:t>3、</w:t>
      </w:r>
      <w:r>
        <w:rPr>
          <w:snapToGrid w:val="0"/>
          <w:kern w:val="0"/>
          <w:sz w:val="28"/>
          <w:szCs w:val="28"/>
        </w:rPr>
        <w:t>国有资产占用情况</w:t>
      </w:r>
    </w:p>
    <w:p>
      <w:pPr>
        <w:pStyle w:val="8"/>
        <w:adjustRightInd w:val="0"/>
        <w:snapToGrid w:val="0"/>
        <w:spacing w:line="600" w:lineRule="exact"/>
        <w:ind w:firstLine="560"/>
        <w:rPr>
          <w:snapToGrid w:val="0"/>
          <w:kern w:val="0"/>
          <w:sz w:val="28"/>
          <w:szCs w:val="28"/>
        </w:rPr>
      </w:pPr>
      <w:r>
        <w:rPr>
          <w:rFonts w:hint="eastAsia"/>
          <w:snapToGrid w:val="0"/>
          <w:kern w:val="0"/>
          <w:sz w:val="28"/>
          <w:szCs w:val="28"/>
        </w:rPr>
        <w:t>我单位201</w:t>
      </w:r>
      <w:r>
        <w:rPr>
          <w:snapToGrid w:val="0"/>
          <w:kern w:val="0"/>
          <w:sz w:val="28"/>
          <w:szCs w:val="28"/>
        </w:rPr>
        <w:t>7</w:t>
      </w:r>
      <w:r>
        <w:rPr>
          <w:rFonts w:hint="eastAsia"/>
          <w:snapToGrid w:val="0"/>
          <w:kern w:val="0"/>
          <w:sz w:val="28"/>
          <w:szCs w:val="28"/>
        </w:rPr>
        <w:t>年末固定资产总额为22.55万元，主要包括房屋0平方米价值0万元，车辆1辆价值15.03万元，单价在</w:t>
      </w:r>
      <w:r>
        <w:rPr>
          <w:snapToGrid w:val="0"/>
          <w:kern w:val="0"/>
          <w:sz w:val="28"/>
          <w:szCs w:val="28"/>
        </w:rPr>
        <w:t>50</w:t>
      </w:r>
      <w:r>
        <w:rPr>
          <w:rFonts w:hint="eastAsia"/>
          <w:snapToGrid w:val="0"/>
          <w:kern w:val="0"/>
          <w:sz w:val="28"/>
          <w:szCs w:val="28"/>
        </w:rPr>
        <w:t xml:space="preserve">万元以上的设备0台，及其他固定资产7.52万元。 </w:t>
      </w:r>
    </w:p>
    <w:p>
      <w:pPr>
        <w:pStyle w:val="8"/>
        <w:adjustRightInd w:val="0"/>
        <w:snapToGrid w:val="0"/>
        <w:spacing w:line="600" w:lineRule="exact"/>
        <w:ind w:firstLine="560"/>
        <w:rPr>
          <w:snapToGrid w:val="0"/>
          <w:kern w:val="0"/>
          <w:sz w:val="28"/>
          <w:szCs w:val="28"/>
        </w:rPr>
      </w:pPr>
      <w:r>
        <w:rPr>
          <w:rFonts w:hint="eastAsia"/>
          <w:snapToGrid w:val="0"/>
          <w:kern w:val="0"/>
          <w:sz w:val="28"/>
          <w:szCs w:val="28"/>
        </w:rPr>
        <w:t>201</w:t>
      </w:r>
      <w:r>
        <w:rPr>
          <w:snapToGrid w:val="0"/>
          <w:kern w:val="0"/>
          <w:sz w:val="28"/>
          <w:szCs w:val="28"/>
        </w:rPr>
        <w:t>7</w:t>
      </w:r>
      <w:r>
        <w:rPr>
          <w:rFonts w:hint="eastAsia"/>
          <w:snapToGrid w:val="0"/>
          <w:kern w:val="0"/>
          <w:sz w:val="28"/>
          <w:szCs w:val="28"/>
        </w:rPr>
        <w:t>年资产变动情况：固定资产减少13.85万元，包括房屋变化0万元,车辆减少15.83万元，单价在50万元以上的设备变化0万元，其他固定资产增加1.99万元。</w:t>
      </w:r>
    </w:p>
    <w:p>
      <w:pPr>
        <w:pStyle w:val="8"/>
        <w:adjustRightInd w:val="0"/>
        <w:snapToGrid w:val="0"/>
        <w:spacing w:line="600" w:lineRule="exact"/>
        <w:ind w:left="105" w:leftChars="50" w:firstLine="560"/>
        <w:rPr>
          <w:snapToGrid w:val="0"/>
          <w:kern w:val="0"/>
          <w:sz w:val="28"/>
          <w:szCs w:val="28"/>
        </w:rPr>
      </w:pPr>
      <w:r>
        <w:rPr>
          <w:rFonts w:hint="eastAsia"/>
          <w:snapToGrid w:val="0"/>
          <w:kern w:val="0"/>
          <w:sz w:val="28"/>
          <w:szCs w:val="28"/>
        </w:rPr>
        <w:t>4、</w:t>
      </w:r>
      <w:r>
        <w:rPr>
          <w:snapToGrid w:val="0"/>
          <w:kern w:val="0"/>
          <w:sz w:val="28"/>
          <w:szCs w:val="28"/>
        </w:rPr>
        <w:t>其他需要说明的</w:t>
      </w:r>
      <w:r>
        <w:rPr>
          <w:rFonts w:hint="eastAsia"/>
          <w:snapToGrid w:val="0"/>
          <w:kern w:val="0"/>
          <w:sz w:val="28"/>
          <w:szCs w:val="28"/>
        </w:rPr>
        <w:t>情况</w:t>
      </w:r>
    </w:p>
    <w:p>
      <w:pPr>
        <w:pStyle w:val="8"/>
        <w:adjustRightInd w:val="0"/>
        <w:snapToGrid w:val="0"/>
        <w:spacing w:line="600" w:lineRule="exact"/>
        <w:ind w:left="105" w:leftChars="50" w:firstLine="560"/>
        <w:rPr>
          <w:snapToGrid w:val="0"/>
          <w:kern w:val="0"/>
          <w:sz w:val="28"/>
          <w:szCs w:val="28"/>
        </w:rPr>
      </w:pPr>
      <w:r>
        <w:rPr>
          <w:rFonts w:hint="eastAsia"/>
          <w:snapToGrid w:val="0"/>
          <w:kern w:val="0"/>
          <w:sz w:val="28"/>
          <w:szCs w:val="28"/>
        </w:rPr>
        <w:t>无</w:t>
      </w:r>
    </w:p>
    <w:p>
      <w:pPr>
        <w:jc w:val="center"/>
        <w:rPr>
          <w:b/>
          <w:sz w:val="44"/>
          <w:szCs w:val="44"/>
        </w:rPr>
      </w:pPr>
    </w:p>
    <w:p>
      <w:pPr>
        <w:jc w:val="center"/>
        <w:rPr>
          <w:b/>
          <w:sz w:val="44"/>
          <w:szCs w:val="44"/>
        </w:rPr>
      </w:pPr>
      <w:r>
        <w:rPr>
          <w:rFonts w:hint="eastAsia"/>
          <w:b/>
          <w:sz w:val="44"/>
          <w:szCs w:val="44"/>
        </w:rPr>
        <w:t>第三部分      名词</w:t>
      </w:r>
      <w:r>
        <w:rPr>
          <w:b/>
          <w:sz w:val="44"/>
          <w:szCs w:val="44"/>
        </w:rPr>
        <w:t>解释</w:t>
      </w:r>
    </w:p>
    <w:p>
      <w:pPr>
        <w:spacing w:line="500" w:lineRule="exact"/>
        <w:ind w:firstLine="562" w:firstLineChars="200"/>
        <w:jc w:val="left"/>
        <w:outlineLvl w:val="0"/>
        <w:rPr>
          <w:rFonts w:cs="Times New Roman" w:asciiTheme="minorEastAsia" w:hAnsiTheme="minorEastAsia"/>
          <w:sz w:val="28"/>
          <w:szCs w:val="28"/>
        </w:rPr>
      </w:pPr>
      <w:r>
        <w:rPr>
          <w:rFonts w:hint="eastAsia" w:cs="Times New Roman" w:asciiTheme="minorEastAsia" w:hAnsiTheme="minorEastAsia"/>
          <w:b/>
          <w:sz w:val="28"/>
          <w:szCs w:val="28"/>
        </w:rPr>
        <w:t>1、财政拨款收入：</w:t>
      </w:r>
      <w:r>
        <w:rPr>
          <w:rFonts w:hint="eastAsia" w:cs="Times New Roman" w:asciiTheme="minorEastAsia" w:hAnsiTheme="minorEastAsia"/>
          <w:sz w:val="28"/>
          <w:szCs w:val="28"/>
        </w:rPr>
        <w:t>指区级财政当年拨付的资金。</w:t>
      </w:r>
    </w:p>
    <w:p>
      <w:pPr>
        <w:spacing w:line="500" w:lineRule="exact"/>
        <w:ind w:firstLine="562" w:firstLineChars="200"/>
        <w:jc w:val="left"/>
        <w:outlineLvl w:val="0"/>
        <w:rPr>
          <w:rFonts w:cs="Times New Roman" w:asciiTheme="minorEastAsia" w:hAnsiTheme="minorEastAsia"/>
          <w:sz w:val="28"/>
          <w:szCs w:val="28"/>
        </w:rPr>
      </w:pPr>
      <w:r>
        <w:rPr>
          <w:rFonts w:hint="eastAsia" w:cs="Times New Roman" w:asciiTheme="minorEastAsia" w:hAnsiTheme="minorEastAsia"/>
          <w:b/>
          <w:sz w:val="28"/>
          <w:szCs w:val="28"/>
        </w:rPr>
        <w:t>2、其他收入：</w:t>
      </w:r>
      <w:r>
        <w:rPr>
          <w:rFonts w:hint="eastAsia" w:cs="Times New Roman" w:asciiTheme="minorEastAsia" w:hAnsiTheme="minorEastAsia"/>
          <w:sz w:val="28"/>
          <w:szCs w:val="28"/>
        </w:rPr>
        <w:t>指除上述“财政拨款收入”、“事业收入”、“上级补助收入”等以外的收入。</w:t>
      </w:r>
    </w:p>
    <w:p>
      <w:pPr>
        <w:spacing w:line="500" w:lineRule="exact"/>
        <w:ind w:firstLine="562" w:firstLineChars="200"/>
        <w:jc w:val="left"/>
        <w:outlineLvl w:val="0"/>
        <w:rPr>
          <w:rFonts w:cs="Times New Roman" w:asciiTheme="minorEastAsia" w:hAnsiTheme="minorEastAsia"/>
          <w:sz w:val="28"/>
          <w:szCs w:val="28"/>
        </w:rPr>
      </w:pPr>
      <w:r>
        <w:rPr>
          <w:rFonts w:hint="eastAsia" w:cs="Times New Roman" w:asciiTheme="minorEastAsia" w:hAnsiTheme="minorEastAsia"/>
          <w:b/>
          <w:sz w:val="28"/>
          <w:szCs w:val="28"/>
        </w:rPr>
        <w:t>3、基本支出：</w:t>
      </w:r>
      <w:r>
        <w:rPr>
          <w:rFonts w:hint="eastAsia" w:cs="Times New Roman" w:asciiTheme="minorEastAsia" w:hAnsiTheme="minorEastAsia"/>
          <w:sz w:val="28"/>
          <w:szCs w:val="28"/>
        </w:rPr>
        <w:t>指为保障机构正常运转、完成日常工作任务而发生的人员支出和公用支出。</w:t>
      </w:r>
    </w:p>
    <w:p>
      <w:pPr>
        <w:spacing w:line="500" w:lineRule="exact"/>
        <w:ind w:firstLine="562" w:firstLineChars="200"/>
        <w:jc w:val="left"/>
        <w:outlineLvl w:val="0"/>
        <w:rPr>
          <w:rFonts w:cs="Times New Roman" w:asciiTheme="minorEastAsia" w:hAnsiTheme="minorEastAsia"/>
          <w:sz w:val="28"/>
          <w:szCs w:val="28"/>
        </w:rPr>
      </w:pPr>
      <w:r>
        <w:rPr>
          <w:rFonts w:hint="eastAsia" w:cs="Times New Roman" w:asciiTheme="minorEastAsia" w:hAnsiTheme="minorEastAsia"/>
          <w:b/>
          <w:sz w:val="28"/>
          <w:szCs w:val="28"/>
        </w:rPr>
        <w:t>4、项目支出：</w:t>
      </w:r>
      <w:r>
        <w:rPr>
          <w:rFonts w:hint="eastAsia" w:cs="Times New Roman" w:asciiTheme="minorEastAsia" w:hAnsiTheme="minorEastAsia"/>
          <w:sz w:val="28"/>
          <w:szCs w:val="28"/>
        </w:rPr>
        <w:t>指在基本支出之外为完成特定行政任务和事业发展目标所发生的支出。</w:t>
      </w:r>
    </w:p>
    <w:p>
      <w:pPr>
        <w:spacing w:line="500" w:lineRule="exact"/>
        <w:ind w:firstLine="562" w:firstLineChars="200"/>
        <w:jc w:val="left"/>
        <w:outlineLvl w:val="0"/>
        <w:rPr>
          <w:rFonts w:cs="Times New Roman" w:asciiTheme="minorEastAsia" w:hAnsiTheme="minorEastAsia"/>
          <w:sz w:val="28"/>
          <w:szCs w:val="28"/>
        </w:rPr>
      </w:pPr>
      <w:r>
        <w:rPr>
          <w:rFonts w:hint="eastAsia" w:cs="Times New Roman" w:asciiTheme="minorEastAsia" w:hAnsiTheme="minorEastAsia"/>
          <w:b/>
          <w:sz w:val="28"/>
          <w:szCs w:val="28"/>
        </w:rPr>
        <w:t>5、“三公”经费：</w:t>
      </w:r>
      <w:r>
        <w:rPr>
          <w:rFonts w:hint="eastAsia" w:cs="Times New Roman" w:asciiTheme="minorEastAsia" w:hAnsiTheme="minorEastAsia"/>
          <w:sz w:val="28"/>
          <w:szCs w:val="28"/>
        </w:rPr>
        <w:t>纳入区级财政预算管理的“三公”经费，是指区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ind w:firstLine="703" w:firstLineChars="250"/>
        <w:rPr>
          <w:rFonts w:cs="Times New Roman" w:asciiTheme="minorEastAsia" w:hAnsiTheme="minorEastAsia"/>
          <w:sz w:val="28"/>
          <w:szCs w:val="28"/>
        </w:rPr>
      </w:pPr>
      <w:r>
        <w:rPr>
          <w:rFonts w:hint="eastAsia" w:cs="Times New Roman" w:asciiTheme="minorEastAsia" w:hAnsiTheme="minorEastAsia"/>
          <w:b/>
          <w:sz w:val="28"/>
          <w:szCs w:val="28"/>
        </w:rPr>
        <w:t>6、机关运行费：</w:t>
      </w:r>
      <w:r>
        <w:rPr>
          <w:rFonts w:hint="eastAsia" w:cs="Times New Roman" w:asciiTheme="minorEastAsia" w:hAnsiTheme="minorEastAsia"/>
          <w:sz w:val="28"/>
          <w:szCs w:val="28"/>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703" w:firstLineChars="250"/>
        <w:rPr>
          <w:rFonts w:cs="Times New Roman" w:asciiTheme="minorEastAsia" w:hAnsiTheme="minorEastAsia"/>
          <w:sz w:val="28"/>
          <w:szCs w:val="28"/>
        </w:rPr>
      </w:pPr>
      <w:r>
        <w:rPr>
          <w:rFonts w:hint="eastAsia" w:cs="Times New Roman" w:asciiTheme="minorEastAsia" w:hAnsiTheme="minorEastAsia"/>
          <w:b/>
          <w:sz w:val="28"/>
          <w:szCs w:val="28"/>
        </w:rPr>
        <w:t>7、公务费：</w:t>
      </w:r>
      <w:r>
        <w:rPr>
          <w:rFonts w:hint="eastAsia" w:cs="Times New Roman" w:asciiTheme="minorEastAsia" w:hAnsiTheme="minorEastAsia"/>
          <w:sz w:val="28"/>
          <w:szCs w:val="28"/>
        </w:rPr>
        <w:t>包括办公费、水电费、邮电费、取暖费、交通费、一般会议费和物业管理费之和。</w:t>
      </w:r>
    </w:p>
    <w:p>
      <w:pPr>
        <w:spacing w:line="500" w:lineRule="exact"/>
        <w:ind w:firstLine="560" w:firstLineChars="200"/>
        <w:jc w:val="left"/>
        <w:outlineLvl w:val="0"/>
        <w:rPr>
          <w:snapToGrid w:val="0"/>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宋体"/>
    <w:panose1 w:val="00000000000000000000"/>
    <w:charset w:val="86"/>
    <w:family w:val="roman"/>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kMzg2ZmI1NmMxYjgyNjY0ZGYwZmUxYTEzMzI1ODIifQ=="/>
  </w:docVars>
  <w:rsids>
    <w:rsidRoot w:val="008423F5"/>
    <w:rsid w:val="00001BF2"/>
    <w:rsid w:val="00066507"/>
    <w:rsid w:val="001041EE"/>
    <w:rsid w:val="00125943"/>
    <w:rsid w:val="001470C3"/>
    <w:rsid w:val="0015089B"/>
    <w:rsid w:val="00152908"/>
    <w:rsid w:val="001C673D"/>
    <w:rsid w:val="001E68F2"/>
    <w:rsid w:val="00205EA6"/>
    <w:rsid w:val="0021328E"/>
    <w:rsid w:val="00217785"/>
    <w:rsid w:val="002262ED"/>
    <w:rsid w:val="0027472F"/>
    <w:rsid w:val="002C0CEB"/>
    <w:rsid w:val="002E6BAE"/>
    <w:rsid w:val="002F3E67"/>
    <w:rsid w:val="003277A3"/>
    <w:rsid w:val="0033701B"/>
    <w:rsid w:val="00372DF7"/>
    <w:rsid w:val="00390D5C"/>
    <w:rsid w:val="003F0B48"/>
    <w:rsid w:val="003F3B34"/>
    <w:rsid w:val="00450336"/>
    <w:rsid w:val="00471A6A"/>
    <w:rsid w:val="005767CC"/>
    <w:rsid w:val="0058572E"/>
    <w:rsid w:val="005A2763"/>
    <w:rsid w:val="005B0545"/>
    <w:rsid w:val="005B3169"/>
    <w:rsid w:val="005F380F"/>
    <w:rsid w:val="0060361A"/>
    <w:rsid w:val="00664D21"/>
    <w:rsid w:val="00672A2F"/>
    <w:rsid w:val="00674EC2"/>
    <w:rsid w:val="006B564B"/>
    <w:rsid w:val="006D51BC"/>
    <w:rsid w:val="006E71D0"/>
    <w:rsid w:val="00752A31"/>
    <w:rsid w:val="007665C0"/>
    <w:rsid w:val="00791B38"/>
    <w:rsid w:val="007A12A6"/>
    <w:rsid w:val="007D6BC0"/>
    <w:rsid w:val="008026BF"/>
    <w:rsid w:val="0082704B"/>
    <w:rsid w:val="008423F5"/>
    <w:rsid w:val="008428A0"/>
    <w:rsid w:val="00842CBB"/>
    <w:rsid w:val="008711E4"/>
    <w:rsid w:val="0089554C"/>
    <w:rsid w:val="00901651"/>
    <w:rsid w:val="00923A35"/>
    <w:rsid w:val="00933524"/>
    <w:rsid w:val="00945D0B"/>
    <w:rsid w:val="00985214"/>
    <w:rsid w:val="009B74FB"/>
    <w:rsid w:val="009B7627"/>
    <w:rsid w:val="009C3D85"/>
    <w:rsid w:val="00A1416A"/>
    <w:rsid w:val="00A3039A"/>
    <w:rsid w:val="00A372C2"/>
    <w:rsid w:val="00A41E52"/>
    <w:rsid w:val="00A45FED"/>
    <w:rsid w:val="00A609A3"/>
    <w:rsid w:val="00AA21A2"/>
    <w:rsid w:val="00AA4F0D"/>
    <w:rsid w:val="00AB2787"/>
    <w:rsid w:val="00AB635E"/>
    <w:rsid w:val="00B005DA"/>
    <w:rsid w:val="00B03FD7"/>
    <w:rsid w:val="00B17297"/>
    <w:rsid w:val="00B408DE"/>
    <w:rsid w:val="00B40ED6"/>
    <w:rsid w:val="00B9323B"/>
    <w:rsid w:val="00C222CB"/>
    <w:rsid w:val="00C650B6"/>
    <w:rsid w:val="00C82568"/>
    <w:rsid w:val="00CA2480"/>
    <w:rsid w:val="00CB45AA"/>
    <w:rsid w:val="00D31066"/>
    <w:rsid w:val="00D6325B"/>
    <w:rsid w:val="00D9008B"/>
    <w:rsid w:val="00D9148A"/>
    <w:rsid w:val="00D96FB4"/>
    <w:rsid w:val="00DB3197"/>
    <w:rsid w:val="00DB7E7C"/>
    <w:rsid w:val="00DC5EA2"/>
    <w:rsid w:val="00E40EA3"/>
    <w:rsid w:val="00E71A30"/>
    <w:rsid w:val="00E87C1B"/>
    <w:rsid w:val="00F00F83"/>
    <w:rsid w:val="00F46674"/>
    <w:rsid w:val="00F62837"/>
    <w:rsid w:val="00F7078F"/>
    <w:rsid w:val="00FA441B"/>
    <w:rsid w:val="064A3FAD"/>
    <w:rsid w:val="0B6A15E4"/>
    <w:rsid w:val="0D6054DA"/>
    <w:rsid w:val="1AF90D88"/>
    <w:rsid w:val="1F545778"/>
    <w:rsid w:val="2181394F"/>
    <w:rsid w:val="62A02981"/>
    <w:rsid w:val="67317415"/>
    <w:rsid w:val="6DB55011"/>
    <w:rsid w:val="6E5238A6"/>
    <w:rsid w:val="70FA7241"/>
    <w:rsid w:val="739A1501"/>
    <w:rsid w:val="74B54B02"/>
    <w:rsid w:val="7C5200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u w:val="single"/>
    </w:rPr>
  </w:style>
  <w:style w:type="paragraph" w:customStyle="1" w:styleId="8">
    <w:name w:val="列出段落1"/>
    <w:basedOn w:val="1"/>
    <w:qFormat/>
    <w:uiPriority w:val="34"/>
    <w:pPr>
      <w:ind w:firstLine="420" w:firstLineChars="200"/>
    </w:pPr>
  </w:style>
  <w:style w:type="paragraph" w:styleId="9">
    <w:name w:val="List Paragraph"/>
    <w:basedOn w:val="1"/>
    <w:qFormat/>
    <w:uiPriority w:val="34"/>
    <w:pPr>
      <w:ind w:firstLine="420" w:firstLineChars="200"/>
    </w:pPr>
  </w:style>
  <w:style w:type="character" w:customStyle="1" w:styleId="10">
    <w:name w:val="页眉 Char"/>
    <w:basedOn w:val="6"/>
    <w:link w:val="4"/>
    <w:uiPriority w:val="99"/>
    <w:rPr>
      <w:rFonts w:asciiTheme="minorHAnsi" w:hAnsiTheme="minorHAnsi" w:eastAsiaTheme="minorEastAsia" w:cstheme="minorBidi"/>
      <w:kern w:val="2"/>
      <w:sz w:val="18"/>
      <w:szCs w:val="18"/>
    </w:rPr>
  </w:style>
  <w:style w:type="character" w:customStyle="1" w:styleId="11">
    <w:name w:val="页脚 Char"/>
    <w:basedOn w:val="6"/>
    <w:link w:val="3"/>
    <w:qFormat/>
    <w:uiPriority w:val="99"/>
    <w:rPr>
      <w:rFonts w:asciiTheme="minorHAnsi" w:hAnsiTheme="minorHAnsi" w:eastAsiaTheme="minorEastAsia" w:cstheme="minorBidi"/>
      <w:kern w:val="2"/>
      <w:sz w:val="18"/>
      <w:szCs w:val="18"/>
    </w:rPr>
  </w:style>
  <w:style w:type="character" w:customStyle="1" w:styleId="12">
    <w:name w:val="批注框文本 Char"/>
    <w:basedOn w:val="6"/>
    <w:link w:val="2"/>
    <w:semiHidden/>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(Beijing) Limited</Company>
  <Pages>6</Pages>
  <Words>479</Words>
  <Characters>2735</Characters>
  <Lines>22</Lines>
  <Paragraphs>6</Paragraphs>
  <TotalTime>561</TotalTime>
  <ScaleCrop>false</ScaleCrop>
  <LinksUpToDate>false</LinksUpToDate>
  <CharactersWithSpaces>3208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2015-11-03T02:02:00Z</dcterms:created>
  <dc:creator>yuanxiaowei</dc:creator>
  <cp:lastModifiedBy>″唯。</cp:lastModifiedBy>
  <cp:lastPrinted>2018-10-30T03:50:00Z</cp:lastPrinted>
  <dcterms:modified xsi:type="dcterms:W3CDTF">2023-11-14T02:13:34Z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B142D23A1B2E488E9385008A5EF34109_13</vt:lpwstr>
  </property>
</Properties>
</file>