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0" w:name="_Toc_2_2_0000000001"/>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default"/>
          <w:lang w:val="en-US" w:eastAsia="zh-CN"/>
        </w:rPr>
        <w:t>3</w:t>
      </w:r>
      <w:r>
        <w:rPr>
          <w:rFonts w:hint="eastAsia"/>
          <w:lang w:eastAsia="zh-CN"/>
        </w:rP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eastAsia="zh-CN"/>
        </w:rPr>
        <w:t>7</w:t>
      </w:r>
      <w:r>
        <w:rPr>
          <w:rFonts w:hint="eastAsia"/>
          <w:lang w:eastAsia="zh-CN"/>
        </w:rP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default"/>
          <w:lang w:val="en-US" w:eastAsia="zh-CN"/>
        </w:rPr>
        <w:t>8</w:t>
      </w:r>
      <w:r>
        <w:rPr>
          <w:rFonts w:hint="eastAsia"/>
          <w:lang w:eastAsia="zh-CN"/>
        </w:rPr>
        <w:fldChar w:fldCharType="end"/>
      </w:r>
    </w:p>
    <w:p>
      <w:pPr>
        <w:pStyle w:val="5"/>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eastAsia="zh-CN"/>
        </w:rPr>
        <w:t>1</w:t>
      </w:r>
      <w:r>
        <w:rPr>
          <w:rFonts w:hint="eastAsia"/>
          <w:lang w:eastAsia="zh-CN"/>
        </w:rPr>
        <w:fldChar w:fldCharType="end"/>
      </w:r>
      <w:r>
        <w:rPr>
          <w:rFonts w:hint="default"/>
          <w:lang w:val="en-US" w:eastAsia="zh-CN"/>
        </w:rPr>
        <w:t>1</w:t>
      </w:r>
    </w:p>
    <w:p>
      <w:pPr>
        <w:pStyle w:val="5"/>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eastAsia="zh-CN"/>
        </w:rPr>
        <w:t>1</w:t>
      </w:r>
      <w:r>
        <w:rPr>
          <w:rFonts w:hint="eastAsia"/>
          <w:lang w:eastAsia="zh-CN"/>
        </w:rPr>
        <w:fldChar w:fldCharType="end"/>
      </w:r>
      <w:r>
        <w:rPr>
          <w:rFonts w:hint="default"/>
          <w:lang w:val="en-US" w:eastAsia="zh-CN"/>
        </w:rPr>
        <w:t>2</w:t>
      </w:r>
    </w:p>
    <w:p>
      <w:pPr>
        <w:pStyle w:val="5"/>
        <w:tabs>
          <w:tab w:val="right" w:leader="dot" w:pos="14562"/>
        </w:tabs>
        <w:rPr>
          <w:rFonts w:hint="default"/>
          <w:lang w:val="en-US"/>
        </w:rPr>
      </w:pPr>
      <w:r>
        <w:fldChar w:fldCharType="begin"/>
      </w:r>
      <w:r>
        <w:instrText xml:space="preserve"> HYPERLINK \l "_Toc_2_2_0000000007" </w:instrText>
      </w:r>
      <w:r>
        <w:fldChar w:fldCharType="separate"/>
      </w:r>
      <w:r>
        <w:t>部门预算政府基金预算财政拨款支出表</w:t>
      </w:r>
      <w:r>
        <w:tab/>
      </w:r>
      <w:r>
        <w:rPr>
          <w:rFonts w:hint="default"/>
          <w:lang w:val="en-US" w:eastAsia="zh-CN"/>
        </w:rPr>
        <w:t>1</w:t>
      </w:r>
      <w:r>
        <w:rPr>
          <w:rFonts w:hint="eastAsia"/>
          <w:lang w:eastAsia="zh-CN"/>
        </w:rPr>
        <w:fldChar w:fldCharType="end"/>
      </w:r>
      <w:r>
        <w:rPr>
          <w:rFonts w:hint="default"/>
          <w:lang w:val="en-US" w:eastAsia="zh-CN"/>
        </w:rPr>
        <w:t>4</w:t>
      </w:r>
    </w:p>
    <w:p>
      <w:pPr>
        <w:pStyle w:val="5"/>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eastAsia="zh-CN"/>
        </w:rPr>
        <w:t>1</w:t>
      </w:r>
      <w:r>
        <w:rPr>
          <w:rFonts w:hint="eastAsia"/>
          <w:lang w:eastAsia="zh-CN"/>
        </w:rPr>
        <w:fldChar w:fldCharType="end"/>
      </w:r>
      <w:r>
        <w:rPr>
          <w:rFonts w:hint="default"/>
          <w:lang w:val="en-US" w:eastAsia="zh-CN"/>
        </w:rPr>
        <w:t>5</w:t>
      </w:r>
    </w:p>
    <w:p>
      <w:pPr>
        <w:pStyle w:val="5"/>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eastAsia="zh-CN"/>
        </w:rPr>
        <w:t>1</w:t>
      </w:r>
      <w:r>
        <w:rPr>
          <w:rFonts w:hint="eastAsia"/>
          <w:lang w:eastAsia="zh-CN"/>
        </w:rPr>
        <w:fldChar w:fldCharType="end"/>
      </w:r>
      <w:r>
        <w:rPr>
          <w:rFonts w:hint="default"/>
          <w:lang w:val="en-US" w:eastAsia="zh-CN"/>
        </w:rPr>
        <w:t>6</w:t>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eastAsia="zh-CN"/>
        </w:rPr>
        <w:t>1</w:t>
      </w:r>
      <w:r>
        <w:rPr>
          <w:rFonts w:hint="eastAsia"/>
          <w:lang w:eastAsia="zh-CN"/>
        </w:rPr>
        <w:fldChar w:fldCharType="end"/>
      </w:r>
      <w:r>
        <w:rPr>
          <w:rFonts w:hint="default"/>
          <w:lang w:val="en-US" w:eastAsia="zh-CN"/>
        </w:rPr>
        <w:t>8</w:t>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lang w:eastAsia="zh-CN"/>
        </w:rPr>
        <w:t>20</w:t>
      </w:r>
      <w:r>
        <w:rPr>
          <w:rFonts w:hint="eastAsia"/>
          <w:lang w:eastAsia="zh-CN"/>
        </w:rP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21</w:t>
      </w:r>
      <w:r>
        <w:rPr>
          <w:rFonts w:hint="eastAsia"/>
          <w:lang w:eastAsia="zh-CN"/>
        </w:rP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21</w:t>
      </w:r>
      <w:r>
        <w:rPr>
          <w:rFonts w:hint="eastAsia"/>
          <w:lang w:eastAsia="zh-CN"/>
        </w:rP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21</w:t>
      </w:r>
      <w:r>
        <w:rPr>
          <w:rFonts w:hint="eastAsia"/>
          <w:lang w:eastAsia="zh-CN"/>
        </w:rP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33</w:t>
      </w:r>
      <w:r>
        <w:rPr>
          <w:rFonts w:hint="eastAsia"/>
          <w:lang w:eastAsia="zh-CN"/>
        </w:rP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33</w:t>
      </w:r>
      <w:r>
        <w:rPr>
          <w:rFonts w:hint="eastAsia"/>
          <w:lang w:eastAsia="zh-CN"/>
        </w:rP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34</w:t>
      </w:r>
      <w:r>
        <w:rPr>
          <w:rFonts w:hint="eastAsia"/>
          <w:lang w:eastAsia="zh-CN"/>
        </w:rP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35</w:t>
      </w:r>
      <w:r>
        <w:fldChar w:fldCharType="end"/>
      </w:r>
    </w:p>
    <w:p>
      <w:r>
        <w:fldChar w:fldCharType="end"/>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rPr>
          <w:rFonts w:ascii="方正小标宋_GBK" w:hAnsi="方正小标宋_GBK" w:eastAsia="方正小标宋_GBK" w:cs="方正小标宋_GBK"/>
          <w:color w:val="000000"/>
          <w:sz w:val="72"/>
          <w:lang w:eastAsia="zh-CN"/>
        </w:rPr>
      </w:pPr>
    </w:p>
    <w:p>
      <w:pPr>
        <w:jc w:val="center"/>
        <w:outlineLvl w:val="0"/>
        <w:rPr>
          <w:rFonts w:ascii="方正小标宋_GBK" w:hAnsi="方正小标宋_GBK" w:eastAsia="方正小标宋_GBK" w:cs="方正小标宋_GBK"/>
          <w:color w:val="000000"/>
          <w:sz w:val="72"/>
          <w:lang w:eastAsia="zh-CN"/>
        </w:rPr>
      </w:pPr>
    </w:p>
    <w:p>
      <w:pPr>
        <w:jc w:val="center"/>
        <w:outlineLvl w:val="0"/>
        <w:rPr>
          <w:rFonts w:ascii="方正小标宋_GBK" w:hAnsi="方正小标宋_GBK" w:eastAsia="方正小标宋_GBK" w:cs="方正小标宋_GBK"/>
          <w:color w:val="000000"/>
          <w:sz w:val="72"/>
          <w:lang w:eastAsia="zh-CN"/>
        </w:rPr>
      </w:pPr>
    </w:p>
    <w:p>
      <w:pPr>
        <w:jc w:val="center"/>
        <w:outlineLvl w:val="0"/>
        <w:rPr>
          <w:rFonts w:ascii="方正小标宋_GBK" w:hAnsi="方正小标宋_GBK" w:eastAsia="方正小标宋_GBK" w:cs="方正小标宋_GBK"/>
          <w:color w:val="000000"/>
          <w:sz w:val="72"/>
          <w:lang w:eastAsia="zh-CN"/>
        </w:rPr>
      </w:pPr>
    </w:p>
    <w:p>
      <w:pPr>
        <w:jc w:val="center"/>
        <w:outlineLvl w:val="0"/>
        <w:rPr>
          <w:rFonts w:ascii="方正小标宋_GBK" w:hAnsi="方正小标宋_GBK" w:eastAsia="方正小标宋_GBK" w:cs="方正小标宋_GBK"/>
          <w:color w:val="000000"/>
          <w:sz w:val="72"/>
          <w:lang w:eastAsia="zh-CN"/>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254.70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234.69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r>
              <w:t>0.03</w:t>
            </w: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254.73</w:t>
            </w:r>
          </w:p>
        </w:tc>
        <w:tc>
          <w:tcPr>
            <w:tcW w:w="4535" w:type="dxa"/>
            <w:vAlign w:val="center"/>
          </w:tcPr>
          <w:p>
            <w:pPr>
              <w:pStyle w:val="18"/>
            </w:pPr>
            <w:r>
              <w:t>本年支出合计</w:t>
            </w:r>
          </w:p>
        </w:tc>
        <w:tc>
          <w:tcPr>
            <w:tcW w:w="2126" w:type="dxa"/>
            <w:vAlign w:val="center"/>
          </w:tcPr>
          <w:p>
            <w:pPr>
              <w:pStyle w:val="19"/>
            </w:pPr>
            <w:r>
              <w:t>254.73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254.73</w:t>
            </w:r>
          </w:p>
        </w:tc>
        <w:tc>
          <w:tcPr>
            <w:tcW w:w="4535" w:type="dxa"/>
            <w:vAlign w:val="center"/>
          </w:tcPr>
          <w:p>
            <w:pPr>
              <w:pStyle w:val="18"/>
            </w:pPr>
            <w:r>
              <w:t>支出总计</w:t>
            </w:r>
          </w:p>
        </w:tc>
        <w:tc>
          <w:tcPr>
            <w:tcW w:w="2126" w:type="dxa"/>
            <w:vAlign w:val="center"/>
          </w:tcPr>
          <w:p>
            <w:pPr>
              <w:pStyle w:val="19"/>
            </w:pPr>
            <w:r>
              <w:t>254.73</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254.73</w:t>
            </w:r>
          </w:p>
        </w:tc>
        <w:tc>
          <w:tcPr>
            <w:tcW w:w="1134" w:type="dxa"/>
            <w:vAlign w:val="center"/>
          </w:tcPr>
          <w:p>
            <w:pPr>
              <w:pStyle w:val="19"/>
            </w:pPr>
            <w:r>
              <w:t>254.73</w:t>
            </w:r>
          </w:p>
        </w:tc>
        <w:tc>
          <w:tcPr>
            <w:tcW w:w="1134" w:type="dxa"/>
            <w:vAlign w:val="center"/>
          </w:tcPr>
          <w:p>
            <w:pPr>
              <w:pStyle w:val="19"/>
            </w:pPr>
            <w:r>
              <w:t>254.70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0.03</w:t>
            </w: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234.69</w:t>
            </w:r>
          </w:p>
        </w:tc>
        <w:tc>
          <w:tcPr>
            <w:tcW w:w="1134" w:type="dxa"/>
            <w:vAlign w:val="center"/>
          </w:tcPr>
          <w:p>
            <w:pPr>
              <w:pStyle w:val="15"/>
            </w:pPr>
            <w:r>
              <w:t>234.69</w:t>
            </w:r>
          </w:p>
        </w:tc>
        <w:tc>
          <w:tcPr>
            <w:tcW w:w="1134" w:type="dxa"/>
            <w:vAlign w:val="center"/>
          </w:tcPr>
          <w:p>
            <w:pPr>
              <w:pStyle w:val="15"/>
            </w:pPr>
            <w:r>
              <w:t>234.66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0.03</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234.69</w:t>
            </w:r>
          </w:p>
        </w:tc>
        <w:tc>
          <w:tcPr>
            <w:tcW w:w="1134" w:type="dxa"/>
            <w:vAlign w:val="center"/>
          </w:tcPr>
          <w:p>
            <w:pPr>
              <w:pStyle w:val="15"/>
            </w:pPr>
            <w:r>
              <w:t>234.69</w:t>
            </w:r>
          </w:p>
        </w:tc>
        <w:tc>
          <w:tcPr>
            <w:tcW w:w="1134" w:type="dxa"/>
            <w:vAlign w:val="center"/>
          </w:tcPr>
          <w:p>
            <w:pPr>
              <w:pStyle w:val="15"/>
            </w:pPr>
            <w:r>
              <w:t>234.66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0.03</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42.75</w:t>
            </w:r>
          </w:p>
        </w:tc>
        <w:tc>
          <w:tcPr>
            <w:tcW w:w="1134" w:type="dxa"/>
            <w:vAlign w:val="center"/>
          </w:tcPr>
          <w:p>
            <w:pPr>
              <w:pStyle w:val="15"/>
            </w:pPr>
            <w:r>
              <w:t>42.75</w:t>
            </w:r>
          </w:p>
        </w:tc>
        <w:tc>
          <w:tcPr>
            <w:tcW w:w="1134" w:type="dxa"/>
            <w:vAlign w:val="center"/>
          </w:tcPr>
          <w:p>
            <w:pPr>
              <w:pStyle w:val="15"/>
            </w:pPr>
            <w:r>
              <w:t>42.75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2080503</w:t>
            </w:r>
          </w:p>
        </w:tc>
        <w:tc>
          <w:tcPr>
            <w:tcW w:w="1559" w:type="dxa"/>
            <w:vAlign w:val="center"/>
          </w:tcPr>
          <w:p>
            <w:pPr>
              <w:pStyle w:val="16"/>
            </w:pPr>
            <w:r>
              <w:t>离退休人员管理机构</w:t>
            </w:r>
          </w:p>
        </w:tc>
        <w:tc>
          <w:tcPr>
            <w:tcW w:w="1134" w:type="dxa"/>
            <w:vAlign w:val="center"/>
          </w:tcPr>
          <w:p>
            <w:pPr>
              <w:pStyle w:val="15"/>
            </w:pPr>
            <w:r>
              <w:t>178.48</w:t>
            </w:r>
          </w:p>
        </w:tc>
        <w:tc>
          <w:tcPr>
            <w:tcW w:w="1134" w:type="dxa"/>
            <w:vAlign w:val="center"/>
          </w:tcPr>
          <w:p>
            <w:pPr>
              <w:pStyle w:val="15"/>
            </w:pPr>
            <w:r>
              <w:t>178.48</w:t>
            </w:r>
          </w:p>
        </w:tc>
        <w:tc>
          <w:tcPr>
            <w:tcW w:w="1134" w:type="dxa"/>
            <w:vAlign w:val="center"/>
          </w:tcPr>
          <w:p>
            <w:pPr>
              <w:pStyle w:val="15"/>
            </w:pPr>
            <w:r>
              <w:t>178.45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0.03</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13.46</w:t>
            </w:r>
          </w:p>
        </w:tc>
        <w:tc>
          <w:tcPr>
            <w:tcW w:w="1134" w:type="dxa"/>
            <w:vAlign w:val="center"/>
          </w:tcPr>
          <w:p>
            <w:pPr>
              <w:pStyle w:val="15"/>
            </w:pPr>
            <w:r>
              <w:t>13.46</w:t>
            </w:r>
          </w:p>
        </w:tc>
        <w:tc>
          <w:tcPr>
            <w:tcW w:w="1134" w:type="dxa"/>
            <w:vAlign w:val="center"/>
          </w:tcPr>
          <w:p>
            <w:pPr>
              <w:pStyle w:val="15"/>
            </w:pPr>
            <w:r>
              <w:t>13.46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r>
              <w:t>10.94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254.73</w:t>
            </w:r>
          </w:p>
        </w:tc>
        <w:tc>
          <w:tcPr>
            <w:tcW w:w="1361" w:type="dxa"/>
            <w:vAlign w:val="center"/>
          </w:tcPr>
          <w:p>
            <w:pPr>
              <w:pStyle w:val="19"/>
            </w:pPr>
            <w:r>
              <w:t>229.44</w:t>
            </w:r>
          </w:p>
        </w:tc>
        <w:tc>
          <w:tcPr>
            <w:tcW w:w="1361" w:type="dxa"/>
            <w:vAlign w:val="center"/>
          </w:tcPr>
          <w:p>
            <w:pPr>
              <w:pStyle w:val="19"/>
            </w:pPr>
            <w:r>
              <w:t>25.30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234.69</w:t>
            </w:r>
          </w:p>
        </w:tc>
        <w:tc>
          <w:tcPr>
            <w:tcW w:w="1361" w:type="dxa"/>
            <w:vAlign w:val="center"/>
          </w:tcPr>
          <w:p>
            <w:pPr>
              <w:pStyle w:val="15"/>
            </w:pPr>
            <w:r>
              <w:t>209.40</w:t>
            </w:r>
          </w:p>
        </w:tc>
        <w:tc>
          <w:tcPr>
            <w:tcW w:w="1361" w:type="dxa"/>
            <w:vAlign w:val="center"/>
          </w:tcPr>
          <w:p>
            <w:pPr>
              <w:pStyle w:val="15"/>
            </w:pPr>
            <w:r>
              <w:t>25.30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234.69</w:t>
            </w:r>
          </w:p>
        </w:tc>
        <w:tc>
          <w:tcPr>
            <w:tcW w:w="1361" w:type="dxa"/>
            <w:vAlign w:val="center"/>
          </w:tcPr>
          <w:p>
            <w:pPr>
              <w:pStyle w:val="15"/>
            </w:pPr>
            <w:r>
              <w:t>209.40</w:t>
            </w:r>
          </w:p>
        </w:tc>
        <w:tc>
          <w:tcPr>
            <w:tcW w:w="1361" w:type="dxa"/>
            <w:vAlign w:val="center"/>
          </w:tcPr>
          <w:p>
            <w:pPr>
              <w:pStyle w:val="15"/>
            </w:pPr>
            <w:r>
              <w:t>25.30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42.75</w:t>
            </w:r>
          </w:p>
        </w:tc>
        <w:tc>
          <w:tcPr>
            <w:tcW w:w="1361" w:type="dxa"/>
            <w:vAlign w:val="center"/>
          </w:tcPr>
          <w:p>
            <w:pPr>
              <w:pStyle w:val="15"/>
            </w:pPr>
            <w:r>
              <w:t>42.75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2080503</w:t>
            </w:r>
          </w:p>
        </w:tc>
        <w:tc>
          <w:tcPr>
            <w:tcW w:w="4535" w:type="dxa"/>
            <w:vAlign w:val="center"/>
          </w:tcPr>
          <w:p>
            <w:pPr>
              <w:pStyle w:val="16"/>
            </w:pPr>
            <w:r>
              <w:t>离退休人员管理机构</w:t>
            </w:r>
          </w:p>
        </w:tc>
        <w:tc>
          <w:tcPr>
            <w:tcW w:w="1361" w:type="dxa"/>
            <w:vAlign w:val="center"/>
          </w:tcPr>
          <w:p>
            <w:pPr>
              <w:pStyle w:val="15"/>
            </w:pPr>
            <w:r>
              <w:t>178.48</w:t>
            </w:r>
          </w:p>
        </w:tc>
        <w:tc>
          <w:tcPr>
            <w:tcW w:w="1361" w:type="dxa"/>
            <w:vAlign w:val="center"/>
          </w:tcPr>
          <w:p>
            <w:pPr>
              <w:pStyle w:val="15"/>
            </w:pPr>
            <w:r>
              <w:t>153.18</w:t>
            </w:r>
          </w:p>
        </w:tc>
        <w:tc>
          <w:tcPr>
            <w:tcW w:w="1361" w:type="dxa"/>
            <w:vAlign w:val="center"/>
          </w:tcPr>
          <w:p>
            <w:pPr>
              <w:pStyle w:val="15"/>
            </w:pPr>
            <w:r>
              <w:t>25.30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13.46</w:t>
            </w:r>
          </w:p>
        </w:tc>
        <w:tc>
          <w:tcPr>
            <w:tcW w:w="1361" w:type="dxa"/>
            <w:vAlign w:val="center"/>
          </w:tcPr>
          <w:p>
            <w:pPr>
              <w:pStyle w:val="15"/>
            </w:pPr>
            <w:r>
              <w:t>13.46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10.94</w:t>
            </w:r>
          </w:p>
        </w:tc>
        <w:tc>
          <w:tcPr>
            <w:tcW w:w="1361" w:type="dxa"/>
            <w:vAlign w:val="center"/>
          </w:tcPr>
          <w:p>
            <w:pPr>
              <w:pStyle w:val="15"/>
            </w:pPr>
            <w:r>
              <w:t>10.94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10.94</w:t>
            </w:r>
          </w:p>
        </w:tc>
        <w:tc>
          <w:tcPr>
            <w:tcW w:w="1361" w:type="dxa"/>
            <w:vAlign w:val="center"/>
          </w:tcPr>
          <w:p>
            <w:pPr>
              <w:pStyle w:val="15"/>
            </w:pPr>
            <w:r>
              <w:t>10.94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10.94</w:t>
            </w:r>
          </w:p>
        </w:tc>
        <w:tc>
          <w:tcPr>
            <w:tcW w:w="1361" w:type="dxa"/>
            <w:vAlign w:val="center"/>
          </w:tcPr>
          <w:p>
            <w:pPr>
              <w:pStyle w:val="15"/>
            </w:pPr>
            <w:r>
              <w:t>10.94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254.70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234.66</w:t>
            </w:r>
          </w:p>
        </w:tc>
        <w:tc>
          <w:tcPr>
            <w:tcW w:w="1474" w:type="dxa"/>
            <w:vAlign w:val="center"/>
          </w:tcPr>
          <w:p>
            <w:pPr>
              <w:pStyle w:val="15"/>
            </w:pPr>
            <w:r>
              <w:t>234.66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9.09</w:t>
            </w:r>
          </w:p>
        </w:tc>
        <w:tc>
          <w:tcPr>
            <w:tcW w:w="1474" w:type="dxa"/>
            <w:vAlign w:val="center"/>
          </w:tcPr>
          <w:p>
            <w:pPr>
              <w:pStyle w:val="15"/>
            </w:pPr>
            <w:r>
              <w:t>9.09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10.94</w:t>
            </w:r>
          </w:p>
        </w:tc>
        <w:tc>
          <w:tcPr>
            <w:tcW w:w="1474" w:type="dxa"/>
            <w:vAlign w:val="center"/>
          </w:tcPr>
          <w:p>
            <w:pPr>
              <w:pStyle w:val="15"/>
            </w:pPr>
            <w:r>
              <w:t>10.94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254.70</w:t>
            </w:r>
          </w:p>
        </w:tc>
        <w:tc>
          <w:tcPr>
            <w:tcW w:w="3402" w:type="dxa"/>
            <w:vAlign w:val="center"/>
          </w:tcPr>
          <w:p>
            <w:pPr>
              <w:pStyle w:val="18"/>
            </w:pPr>
            <w:r>
              <w:t>本年支出合计</w:t>
            </w:r>
          </w:p>
        </w:tc>
        <w:tc>
          <w:tcPr>
            <w:tcW w:w="1474" w:type="dxa"/>
            <w:vAlign w:val="center"/>
          </w:tcPr>
          <w:p>
            <w:pPr>
              <w:pStyle w:val="19"/>
            </w:pPr>
            <w:r>
              <w:t>254.70</w:t>
            </w:r>
          </w:p>
        </w:tc>
        <w:tc>
          <w:tcPr>
            <w:tcW w:w="1474" w:type="dxa"/>
            <w:vAlign w:val="center"/>
          </w:tcPr>
          <w:p>
            <w:pPr>
              <w:pStyle w:val="19"/>
            </w:pPr>
            <w:r>
              <w:t>254.70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254.70</w:t>
            </w:r>
          </w:p>
        </w:tc>
        <w:tc>
          <w:tcPr>
            <w:tcW w:w="3402" w:type="dxa"/>
            <w:vAlign w:val="center"/>
          </w:tcPr>
          <w:p>
            <w:pPr>
              <w:pStyle w:val="18"/>
            </w:pPr>
            <w:r>
              <w:t>支出总计</w:t>
            </w:r>
          </w:p>
        </w:tc>
        <w:tc>
          <w:tcPr>
            <w:tcW w:w="1474" w:type="dxa"/>
            <w:vAlign w:val="center"/>
          </w:tcPr>
          <w:p>
            <w:pPr>
              <w:pStyle w:val="19"/>
            </w:pPr>
            <w:r>
              <w:t>254.70</w:t>
            </w:r>
          </w:p>
        </w:tc>
        <w:tc>
          <w:tcPr>
            <w:tcW w:w="1474" w:type="dxa"/>
            <w:vAlign w:val="center"/>
          </w:tcPr>
          <w:p>
            <w:pPr>
              <w:pStyle w:val="19"/>
            </w:pPr>
            <w:r>
              <w:t>254.70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254.70</w:t>
            </w:r>
          </w:p>
        </w:tc>
        <w:tc>
          <w:tcPr>
            <w:tcW w:w="2551" w:type="dxa"/>
            <w:vAlign w:val="center"/>
          </w:tcPr>
          <w:p>
            <w:pPr>
              <w:pStyle w:val="19"/>
            </w:pPr>
            <w:r>
              <w:t>229.44</w:t>
            </w:r>
          </w:p>
        </w:tc>
        <w:tc>
          <w:tcPr>
            <w:tcW w:w="2551" w:type="dxa"/>
            <w:vAlign w:val="center"/>
          </w:tcPr>
          <w:p>
            <w:pPr>
              <w:pStyle w:val="19"/>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234.66</w:t>
            </w:r>
          </w:p>
        </w:tc>
        <w:tc>
          <w:tcPr>
            <w:tcW w:w="2551" w:type="dxa"/>
            <w:vAlign w:val="center"/>
          </w:tcPr>
          <w:p>
            <w:pPr>
              <w:pStyle w:val="15"/>
            </w:pPr>
            <w:r>
              <w:t>209.40</w:t>
            </w:r>
          </w:p>
        </w:tc>
        <w:tc>
          <w:tcPr>
            <w:tcW w:w="2551" w:type="dxa"/>
            <w:vAlign w:val="center"/>
          </w:tcPr>
          <w:p>
            <w:pPr>
              <w:pStyle w:val="15"/>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234.66</w:t>
            </w:r>
          </w:p>
        </w:tc>
        <w:tc>
          <w:tcPr>
            <w:tcW w:w="2551" w:type="dxa"/>
            <w:vAlign w:val="center"/>
          </w:tcPr>
          <w:p>
            <w:pPr>
              <w:pStyle w:val="15"/>
            </w:pPr>
            <w:r>
              <w:t>209.40</w:t>
            </w:r>
          </w:p>
        </w:tc>
        <w:tc>
          <w:tcPr>
            <w:tcW w:w="2551" w:type="dxa"/>
            <w:vAlign w:val="center"/>
          </w:tcPr>
          <w:p>
            <w:pPr>
              <w:pStyle w:val="15"/>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42.75</w:t>
            </w:r>
          </w:p>
        </w:tc>
        <w:tc>
          <w:tcPr>
            <w:tcW w:w="2551" w:type="dxa"/>
            <w:vAlign w:val="center"/>
          </w:tcPr>
          <w:p>
            <w:pPr>
              <w:pStyle w:val="15"/>
            </w:pPr>
            <w:r>
              <w:t>42.75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2080503</w:t>
            </w:r>
          </w:p>
        </w:tc>
        <w:tc>
          <w:tcPr>
            <w:tcW w:w="4535" w:type="dxa"/>
            <w:vAlign w:val="center"/>
          </w:tcPr>
          <w:p>
            <w:pPr>
              <w:pStyle w:val="16"/>
            </w:pPr>
            <w:r>
              <w:t>离退休人员管理机构</w:t>
            </w:r>
          </w:p>
        </w:tc>
        <w:tc>
          <w:tcPr>
            <w:tcW w:w="2551" w:type="dxa"/>
            <w:vAlign w:val="center"/>
          </w:tcPr>
          <w:p>
            <w:pPr>
              <w:pStyle w:val="15"/>
            </w:pPr>
            <w:r>
              <w:t>178.45</w:t>
            </w:r>
          </w:p>
        </w:tc>
        <w:tc>
          <w:tcPr>
            <w:tcW w:w="2551" w:type="dxa"/>
            <w:vAlign w:val="center"/>
          </w:tcPr>
          <w:p>
            <w:pPr>
              <w:pStyle w:val="15"/>
            </w:pPr>
            <w:r>
              <w:t>153.18</w:t>
            </w:r>
          </w:p>
        </w:tc>
        <w:tc>
          <w:tcPr>
            <w:tcW w:w="2551" w:type="dxa"/>
            <w:vAlign w:val="center"/>
          </w:tcPr>
          <w:p>
            <w:pPr>
              <w:pStyle w:val="15"/>
            </w:pPr>
            <w:r>
              <w:t>25.27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13.46</w:t>
            </w:r>
          </w:p>
        </w:tc>
        <w:tc>
          <w:tcPr>
            <w:tcW w:w="2551" w:type="dxa"/>
            <w:vAlign w:val="center"/>
          </w:tcPr>
          <w:p>
            <w:pPr>
              <w:pStyle w:val="15"/>
            </w:pPr>
            <w:r>
              <w:t>13.46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10.94</w:t>
            </w:r>
          </w:p>
        </w:tc>
        <w:tc>
          <w:tcPr>
            <w:tcW w:w="2551" w:type="dxa"/>
            <w:vAlign w:val="center"/>
          </w:tcPr>
          <w:p>
            <w:pPr>
              <w:pStyle w:val="15"/>
            </w:pPr>
            <w:r>
              <w:t>10.94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10.94</w:t>
            </w:r>
          </w:p>
        </w:tc>
        <w:tc>
          <w:tcPr>
            <w:tcW w:w="2551" w:type="dxa"/>
            <w:vAlign w:val="center"/>
          </w:tcPr>
          <w:p>
            <w:pPr>
              <w:pStyle w:val="15"/>
            </w:pPr>
            <w:r>
              <w:t>10.94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10.94</w:t>
            </w:r>
          </w:p>
        </w:tc>
        <w:tc>
          <w:tcPr>
            <w:tcW w:w="2551" w:type="dxa"/>
            <w:vAlign w:val="center"/>
          </w:tcPr>
          <w:p>
            <w:pPr>
              <w:pStyle w:val="15"/>
            </w:pPr>
            <w:r>
              <w:t>10.94</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229.44</w:t>
            </w:r>
          </w:p>
        </w:tc>
        <w:tc>
          <w:tcPr>
            <w:tcW w:w="2551" w:type="dxa"/>
            <w:vAlign w:val="center"/>
          </w:tcPr>
          <w:p>
            <w:pPr>
              <w:pStyle w:val="19"/>
            </w:pPr>
            <w:r>
              <w:t>201.03</w:t>
            </w:r>
          </w:p>
        </w:tc>
        <w:tc>
          <w:tcPr>
            <w:tcW w:w="2551" w:type="dxa"/>
            <w:vAlign w:val="center"/>
          </w:tcPr>
          <w:p>
            <w:pPr>
              <w:pStyle w:val="19"/>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158.65</w:t>
            </w:r>
          </w:p>
        </w:tc>
        <w:tc>
          <w:tcPr>
            <w:tcW w:w="2551" w:type="dxa"/>
            <w:vAlign w:val="center"/>
          </w:tcPr>
          <w:p>
            <w:pPr>
              <w:pStyle w:val="15"/>
            </w:pPr>
            <w:r>
              <w:t>158.65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40.37</w:t>
            </w:r>
          </w:p>
        </w:tc>
        <w:tc>
          <w:tcPr>
            <w:tcW w:w="2551" w:type="dxa"/>
            <w:vAlign w:val="center"/>
          </w:tcPr>
          <w:p>
            <w:pPr>
              <w:pStyle w:val="15"/>
            </w:pPr>
            <w:r>
              <w:t>40.37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32.34</w:t>
            </w:r>
          </w:p>
        </w:tc>
        <w:tc>
          <w:tcPr>
            <w:tcW w:w="2551" w:type="dxa"/>
            <w:vAlign w:val="center"/>
          </w:tcPr>
          <w:p>
            <w:pPr>
              <w:pStyle w:val="15"/>
            </w:pPr>
            <w:r>
              <w:t>32.34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18.92</w:t>
            </w:r>
          </w:p>
        </w:tc>
        <w:tc>
          <w:tcPr>
            <w:tcW w:w="2551" w:type="dxa"/>
            <w:vAlign w:val="center"/>
          </w:tcPr>
          <w:p>
            <w:pPr>
              <w:pStyle w:val="15"/>
            </w:pPr>
            <w:r>
              <w:t>18.92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13.46</w:t>
            </w:r>
          </w:p>
        </w:tc>
        <w:tc>
          <w:tcPr>
            <w:tcW w:w="2551" w:type="dxa"/>
            <w:vAlign w:val="center"/>
          </w:tcPr>
          <w:p>
            <w:pPr>
              <w:pStyle w:val="15"/>
            </w:pPr>
            <w:r>
              <w:t>13.46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8.94</w:t>
            </w:r>
          </w:p>
        </w:tc>
        <w:tc>
          <w:tcPr>
            <w:tcW w:w="2551" w:type="dxa"/>
            <w:vAlign w:val="center"/>
          </w:tcPr>
          <w:p>
            <w:pPr>
              <w:pStyle w:val="15"/>
            </w:pPr>
            <w:r>
              <w:t>8.94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0.49</w:t>
            </w:r>
          </w:p>
        </w:tc>
        <w:tc>
          <w:tcPr>
            <w:tcW w:w="2551" w:type="dxa"/>
            <w:vAlign w:val="center"/>
          </w:tcPr>
          <w:p>
            <w:pPr>
              <w:pStyle w:val="15"/>
            </w:pPr>
            <w:r>
              <w:t>0.49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10.94</w:t>
            </w:r>
          </w:p>
        </w:tc>
        <w:tc>
          <w:tcPr>
            <w:tcW w:w="2551" w:type="dxa"/>
            <w:vAlign w:val="center"/>
          </w:tcPr>
          <w:p>
            <w:pPr>
              <w:pStyle w:val="15"/>
            </w:pPr>
            <w:r>
              <w:t>10.94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33.19</w:t>
            </w:r>
          </w:p>
        </w:tc>
        <w:tc>
          <w:tcPr>
            <w:tcW w:w="2551" w:type="dxa"/>
            <w:vAlign w:val="center"/>
          </w:tcPr>
          <w:p>
            <w:pPr>
              <w:pStyle w:val="15"/>
            </w:pPr>
            <w:r>
              <w:t>33.19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28.40</w:t>
            </w:r>
          </w:p>
        </w:tc>
        <w:tc>
          <w:tcPr>
            <w:tcW w:w="2551" w:type="dxa"/>
            <w:vAlign w:val="center"/>
          </w:tcPr>
          <w:p>
            <w:pPr>
              <w:pStyle w:val="15"/>
            </w:pPr>
          </w:p>
        </w:tc>
        <w:tc>
          <w:tcPr>
            <w:tcW w:w="2551" w:type="dxa"/>
            <w:vAlign w:val="center"/>
          </w:tcPr>
          <w:p>
            <w:pPr>
              <w:pStyle w:val="15"/>
            </w:pPr>
            <w:r>
              <w:t>28.40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2.10</w:t>
            </w:r>
          </w:p>
        </w:tc>
        <w:tc>
          <w:tcPr>
            <w:tcW w:w="2551" w:type="dxa"/>
            <w:vAlign w:val="center"/>
          </w:tcPr>
          <w:p>
            <w:pPr>
              <w:pStyle w:val="15"/>
            </w:pPr>
          </w:p>
        </w:tc>
        <w:tc>
          <w:tcPr>
            <w:tcW w:w="2551" w:type="dxa"/>
            <w:vAlign w:val="center"/>
          </w:tcPr>
          <w:p>
            <w:pPr>
              <w:pStyle w:val="15"/>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4.45</w:t>
            </w:r>
          </w:p>
        </w:tc>
        <w:tc>
          <w:tcPr>
            <w:tcW w:w="2551" w:type="dxa"/>
            <w:vAlign w:val="center"/>
          </w:tcPr>
          <w:p>
            <w:pPr>
              <w:pStyle w:val="15"/>
            </w:pPr>
          </w:p>
        </w:tc>
        <w:tc>
          <w:tcPr>
            <w:tcW w:w="2551" w:type="dxa"/>
            <w:vAlign w:val="center"/>
          </w:tcPr>
          <w:p>
            <w:pPr>
              <w:pStyle w:val="15"/>
            </w:pPr>
            <w:r>
              <w:t>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3.76</w:t>
            </w:r>
          </w:p>
        </w:tc>
        <w:tc>
          <w:tcPr>
            <w:tcW w:w="2551" w:type="dxa"/>
            <w:vAlign w:val="center"/>
          </w:tcPr>
          <w:p>
            <w:pPr>
              <w:pStyle w:val="15"/>
            </w:pPr>
          </w:p>
        </w:tc>
        <w:tc>
          <w:tcPr>
            <w:tcW w:w="2551" w:type="dxa"/>
            <w:vAlign w:val="center"/>
          </w:tcPr>
          <w:p>
            <w:pPr>
              <w:pStyle w:val="15"/>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30215</w:t>
            </w:r>
          </w:p>
        </w:tc>
        <w:tc>
          <w:tcPr>
            <w:tcW w:w="4535" w:type="dxa"/>
            <w:vAlign w:val="center"/>
          </w:tcPr>
          <w:p>
            <w:pPr>
              <w:pStyle w:val="16"/>
            </w:pPr>
            <w:r>
              <w:t>会议费</w:t>
            </w:r>
          </w:p>
        </w:tc>
        <w:tc>
          <w:tcPr>
            <w:tcW w:w="2551" w:type="dxa"/>
            <w:vAlign w:val="center"/>
          </w:tcPr>
          <w:p>
            <w:pPr>
              <w:pStyle w:val="15"/>
            </w:pPr>
            <w:r>
              <w:t>0.40</w:t>
            </w:r>
          </w:p>
        </w:tc>
        <w:tc>
          <w:tcPr>
            <w:tcW w:w="2551" w:type="dxa"/>
            <w:vAlign w:val="center"/>
          </w:tcPr>
          <w:p>
            <w:pPr>
              <w:pStyle w:val="15"/>
            </w:pPr>
          </w:p>
        </w:tc>
        <w:tc>
          <w:tcPr>
            <w:tcW w:w="2551"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0.09</w:t>
            </w:r>
          </w:p>
        </w:tc>
        <w:tc>
          <w:tcPr>
            <w:tcW w:w="2551" w:type="dxa"/>
            <w:vAlign w:val="center"/>
          </w:tcPr>
          <w:p>
            <w:pPr>
              <w:pStyle w:val="15"/>
            </w:pPr>
          </w:p>
        </w:tc>
        <w:tc>
          <w:tcPr>
            <w:tcW w:w="2551" w:type="dxa"/>
            <w:vAlign w:val="center"/>
          </w:tcPr>
          <w:p>
            <w:pPr>
              <w:pStyle w:val="15"/>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30226</w:t>
            </w:r>
          </w:p>
        </w:tc>
        <w:tc>
          <w:tcPr>
            <w:tcW w:w="4535" w:type="dxa"/>
            <w:vAlign w:val="center"/>
          </w:tcPr>
          <w:p>
            <w:pPr>
              <w:pStyle w:val="16"/>
            </w:pPr>
            <w:r>
              <w:t>劳务费</w:t>
            </w:r>
          </w:p>
        </w:tc>
        <w:tc>
          <w:tcPr>
            <w:tcW w:w="2551" w:type="dxa"/>
            <w:vAlign w:val="center"/>
          </w:tcPr>
          <w:p>
            <w:pPr>
              <w:pStyle w:val="15"/>
            </w:pPr>
            <w:r>
              <w:t>4.77</w:t>
            </w:r>
          </w:p>
        </w:tc>
        <w:tc>
          <w:tcPr>
            <w:tcW w:w="2551" w:type="dxa"/>
            <w:vAlign w:val="center"/>
          </w:tcPr>
          <w:p>
            <w:pPr>
              <w:pStyle w:val="15"/>
            </w:pPr>
          </w:p>
        </w:tc>
        <w:tc>
          <w:tcPr>
            <w:tcW w:w="2551" w:type="dxa"/>
            <w:vAlign w:val="center"/>
          </w:tcPr>
          <w:p>
            <w:pPr>
              <w:pStyle w:val="15"/>
            </w:pPr>
            <w:r>
              <w:t>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1.37</w:t>
            </w:r>
          </w:p>
        </w:tc>
        <w:tc>
          <w:tcPr>
            <w:tcW w:w="2551" w:type="dxa"/>
            <w:vAlign w:val="center"/>
          </w:tcPr>
          <w:p>
            <w:pPr>
              <w:pStyle w:val="15"/>
            </w:pPr>
          </w:p>
        </w:tc>
        <w:tc>
          <w:tcPr>
            <w:tcW w:w="2551" w:type="dxa"/>
            <w:vAlign w:val="center"/>
          </w:tcPr>
          <w:p>
            <w:pPr>
              <w:pStyle w:val="15"/>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1.01</w:t>
            </w:r>
          </w:p>
        </w:tc>
        <w:tc>
          <w:tcPr>
            <w:tcW w:w="2551" w:type="dxa"/>
            <w:vAlign w:val="center"/>
          </w:tcPr>
          <w:p>
            <w:pPr>
              <w:pStyle w:val="15"/>
            </w:pPr>
          </w:p>
        </w:tc>
        <w:tc>
          <w:tcPr>
            <w:tcW w:w="2551" w:type="dxa"/>
            <w:vAlign w:val="center"/>
          </w:tcPr>
          <w:p>
            <w:pPr>
              <w:pStyle w:val="15"/>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2.43</w:t>
            </w:r>
          </w:p>
        </w:tc>
        <w:tc>
          <w:tcPr>
            <w:tcW w:w="2551" w:type="dxa"/>
            <w:vAlign w:val="center"/>
          </w:tcPr>
          <w:p>
            <w:pPr>
              <w:pStyle w:val="15"/>
            </w:pPr>
          </w:p>
        </w:tc>
        <w:tc>
          <w:tcPr>
            <w:tcW w:w="2551" w:type="dxa"/>
            <w:vAlign w:val="center"/>
          </w:tcPr>
          <w:p>
            <w:pPr>
              <w:pStyle w:val="15"/>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5.94</w:t>
            </w:r>
          </w:p>
        </w:tc>
        <w:tc>
          <w:tcPr>
            <w:tcW w:w="2551" w:type="dxa"/>
            <w:vAlign w:val="center"/>
          </w:tcPr>
          <w:p>
            <w:pPr>
              <w:pStyle w:val="15"/>
            </w:pPr>
          </w:p>
        </w:tc>
        <w:tc>
          <w:tcPr>
            <w:tcW w:w="2551" w:type="dxa"/>
            <w:vAlign w:val="center"/>
          </w:tcPr>
          <w:p>
            <w:pPr>
              <w:pStyle w:val="15"/>
            </w:pPr>
            <w:r>
              <w:t>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2.08</w:t>
            </w:r>
          </w:p>
        </w:tc>
        <w:tc>
          <w:tcPr>
            <w:tcW w:w="2551" w:type="dxa"/>
            <w:vAlign w:val="center"/>
          </w:tcPr>
          <w:p>
            <w:pPr>
              <w:pStyle w:val="15"/>
            </w:pPr>
          </w:p>
        </w:tc>
        <w:tc>
          <w:tcPr>
            <w:tcW w:w="2551" w:type="dxa"/>
            <w:vAlign w:val="center"/>
          </w:tcPr>
          <w:p>
            <w:pPr>
              <w:pStyle w:val="15"/>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42.39</w:t>
            </w:r>
          </w:p>
        </w:tc>
        <w:tc>
          <w:tcPr>
            <w:tcW w:w="2551" w:type="dxa"/>
            <w:vAlign w:val="center"/>
          </w:tcPr>
          <w:p>
            <w:pPr>
              <w:pStyle w:val="15"/>
            </w:pPr>
            <w:r>
              <w:t>42.39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40.77</w:t>
            </w:r>
          </w:p>
        </w:tc>
        <w:tc>
          <w:tcPr>
            <w:tcW w:w="2551" w:type="dxa"/>
            <w:vAlign w:val="center"/>
          </w:tcPr>
          <w:p>
            <w:pPr>
              <w:pStyle w:val="15"/>
            </w:pPr>
            <w:r>
              <w:t>40.77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0.02</w:t>
            </w:r>
          </w:p>
        </w:tc>
        <w:tc>
          <w:tcPr>
            <w:tcW w:w="2551" w:type="dxa"/>
            <w:vAlign w:val="center"/>
          </w:tcPr>
          <w:p>
            <w:pPr>
              <w:pStyle w:val="15"/>
            </w:pPr>
            <w:r>
              <w:t>0.02</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rPr>
                <w:lang w:eastAsia="zh-CN"/>
              </w:rPr>
            </w:pPr>
            <w:r>
              <w:rPr>
                <w:rFonts w:hint="eastAsia"/>
                <w:lang w:eastAsia="zh-CN"/>
              </w:rPr>
              <w:t>2.92</w:t>
            </w:r>
          </w:p>
        </w:tc>
        <w:tc>
          <w:tcPr>
            <w:tcW w:w="2381" w:type="dxa"/>
            <w:vAlign w:val="center"/>
          </w:tcPr>
          <w:p>
            <w:pPr>
              <w:pStyle w:val="19"/>
              <w:rPr>
                <w:lang w:eastAsia="zh-CN"/>
              </w:rPr>
            </w:pPr>
            <w:r>
              <w:rPr>
                <w:rFonts w:hint="eastAsia"/>
                <w:lang w:eastAsia="zh-CN"/>
              </w:rPr>
              <w:t>2.92</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2.92</w:t>
            </w:r>
          </w:p>
        </w:tc>
        <w:tc>
          <w:tcPr>
            <w:tcW w:w="2381" w:type="dxa"/>
            <w:vAlign w:val="center"/>
          </w:tcPr>
          <w:p>
            <w:pPr>
              <w:pStyle w:val="15"/>
            </w:pPr>
            <w:r>
              <w:t>2.92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r>
              <w:t>0.49</w:t>
            </w:r>
          </w:p>
        </w:tc>
        <w:tc>
          <w:tcPr>
            <w:tcW w:w="2381" w:type="dxa"/>
            <w:vAlign w:val="center"/>
          </w:tcPr>
          <w:p>
            <w:pPr>
              <w:pStyle w:val="15"/>
            </w:pPr>
            <w:r>
              <w:t>0.49</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一部分  中共保定市徐水区委老干部局2023年部门预算信息公开情况说明</w:t>
      </w:r>
    </w:p>
    <w:p>
      <w:pPr>
        <w:jc w:val="center"/>
      </w:pPr>
      <w:r>
        <w:rPr>
          <w:rFonts w:ascii="方正小标宋_GBK" w:hAnsi="方正小标宋_GBK" w:eastAsia="方正小标宋_GBK" w:cs="方正小标宋_GBK"/>
          <w:color w:val="000000"/>
          <w:sz w:val="44"/>
        </w:rPr>
        <w:t>中共保定市徐水区委老干部局2023年部门预算信息公开情况说明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预算法》、《地方预决算公开操作规程》和《关于进一步推进预算公开工作的实施意见》规定，现将中共保定市徐水区委老干部局2023年部门预算公开如下：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eastAsiaTheme="minorEastAsia"/>
          <w:lang w:eastAsia="zh-CN"/>
        </w:rPr>
      </w:pPr>
      <w:r>
        <w:rPr>
          <w:rFonts w:ascii="方正楷体_GBK" w:hAnsi="方正楷体_GBK" w:eastAsia="方正楷体_GBK" w:cs="方正楷体_GBK"/>
          <w:b/>
          <w:color w:val="000000"/>
          <w:sz w:val="32"/>
        </w:rPr>
        <w:t>部门职责：</w:t>
      </w:r>
    </w:p>
    <w:p>
      <w:pPr>
        <w:pStyle w:val="21"/>
      </w:pPr>
      <w:r>
        <w:t>根据《中共保定市徐水区委老干部局职能配置、内设机构和人员编制规定》，中共保定市徐水区委老干部局的主要职责是：</w:t>
      </w:r>
    </w:p>
    <w:p>
      <w:pPr>
        <w:pStyle w:val="21"/>
      </w:pPr>
      <w:r>
        <w:t>（一）负责贯彻落实党中央、国务院、省委、省政府、市委、市政府和区委、区政府关于老干部工作的方针政策，拟订或参与拟订全区老干部工作有关的具体规定和办法。或参与拟订全区老干部工作有关的具体规定和办法。</w:t>
      </w:r>
    </w:p>
    <w:p>
      <w:pPr>
        <w:pStyle w:val="21"/>
      </w:pPr>
      <w:r>
        <w:t>（二）指导、督促、检查各乡镇、各部门的老干部工作，组织和协调区直有关部门共同做离退休干部工作。</w:t>
      </w:r>
    </w:p>
    <w:p>
      <w:pPr>
        <w:pStyle w:val="21"/>
      </w:pPr>
      <w:r>
        <w:t>（三）负责异地安置离休干部服务管理工作。</w:t>
      </w:r>
    </w:p>
    <w:p>
      <w:pPr>
        <w:pStyle w:val="21"/>
      </w:pPr>
      <w:r>
        <w:t>（四）督促、指导各乡镇及各部门落实老干部的政治、生活待遇，检查离休干部离休费、医药费的落实，调查研究老干部政治、生活待遇中的问题，协调有关部门提出解决办法。</w:t>
      </w:r>
    </w:p>
    <w:p>
      <w:pPr>
        <w:pStyle w:val="21"/>
      </w:pPr>
      <w:r>
        <w:t>（五）协助组织部门抓好老干部党支部建设，加强和改进老干部的思想政治工作。</w:t>
      </w:r>
    </w:p>
    <w:p>
      <w:pPr>
        <w:pStyle w:val="21"/>
      </w:pPr>
      <w:r>
        <w:t>（六）指导全区老干部活动中心（室、站）学习活动阵地建设与管理；组织和指导离退休干部开展健康科学的文化艺术、体育娱乐、保健讲座、健康疗养、参观学习等活动；指导全区老年教育工作，负责“老年大学”的建设和管理。</w:t>
      </w:r>
    </w:p>
    <w:p>
      <w:pPr>
        <w:pStyle w:val="21"/>
      </w:pPr>
      <w:r>
        <w:t>（七）指导全区各乡镇及部门组织引导离退休干部利用自身优势，在政治、经济、文化等领域发挥作用。</w:t>
      </w:r>
    </w:p>
    <w:p>
      <w:pPr>
        <w:pStyle w:val="21"/>
      </w:pPr>
      <w:r>
        <w:t>（八）负责指导逝世离休干部的善后工作。</w:t>
      </w:r>
    </w:p>
    <w:p>
      <w:pPr>
        <w:pStyle w:val="21"/>
      </w:pPr>
      <w:r>
        <w:t>（九）负责回区老干部探亲访友和其他老干部工作部门到区的联络接待工作。</w:t>
      </w:r>
    </w:p>
    <w:p>
      <w:pPr>
        <w:pStyle w:val="21"/>
      </w:pPr>
      <w:r>
        <w:t>（十）承担区委老干部工作领导小组办公室的日常工作。</w:t>
      </w:r>
    </w:p>
    <w:p>
      <w:pPr>
        <w:pStyle w:val="21"/>
        <w:ind w:firstLineChars="200"/>
      </w:pPr>
      <w:r>
        <w:t>(十一）承担区关心下一代工作委员会办公室的日常工作。</w:t>
      </w:r>
    </w:p>
    <w:p>
      <w:pPr>
        <w:pStyle w:val="21"/>
      </w:pPr>
      <w:r>
        <w:t>（十二）承办区委、区政府交办的其他事项。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中共保定市徐水区委老干部局本级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按照预算管理有关规定，目前我省部门预算的编制实行综合预算管理，即全部收入和支出都反映在预算中。中共保定市徐水区委老干部局机关及所属事业单位的收支包含在部门预算中。</w:t>
      </w:r>
    </w:p>
    <w:p>
      <w:pPr>
        <w:pStyle w:val="22"/>
      </w:pPr>
      <w:r>
        <w:t>一、收入说明</w:t>
      </w:r>
    </w:p>
    <w:p>
      <w:pPr>
        <w:pStyle w:val="22"/>
      </w:pPr>
      <w:r>
        <w:t>反映本部门当年全部收入。2023年预算收入254.73万元，其中：一般公共预算收入254.7万元，基金预算收入0万元，国有资本经营预算收入0万元，财政专户核拨收入0万元，单位资金收入0.03万元，上年结转结余</w:t>
      </w:r>
      <w:r>
        <w:rPr>
          <w:rFonts w:hint="default"/>
          <w:lang w:val="en-US"/>
        </w:rPr>
        <w:t>0</w:t>
      </w:r>
      <w:r>
        <w:t>万元。</w:t>
      </w:r>
    </w:p>
    <w:p>
      <w:pPr>
        <w:pStyle w:val="22"/>
      </w:pPr>
      <w:r>
        <w:t>二、支出说明</w:t>
      </w:r>
    </w:p>
    <w:p>
      <w:pPr>
        <w:pStyle w:val="22"/>
      </w:pPr>
      <w:r>
        <w:t>收支预算总表支出栏、基本支出表、项目支出表按经济分类和支出功能分类科目编制，反映中共保定市徐水区委老干部局，2023年度部门预算中支出预算的总体情况。2023年支出预算 254.73万元，其中基本支出229.44万元，包括人员经费201.03万元和日常公用经费28.4万元；项目支出25.3万元，主要为关心下一代工作委员会经费、离退休干部慰问经费等。</w:t>
      </w:r>
    </w:p>
    <w:p>
      <w:pPr>
        <w:pStyle w:val="22"/>
      </w:pPr>
      <w:r>
        <w:t>三、比上年增减情况</w:t>
      </w:r>
    </w:p>
    <w:p>
      <w:pPr>
        <w:pStyle w:val="22"/>
      </w:pPr>
      <w:r>
        <w:t>本年度预算收支安排254.73万元，较上年减少50.81万元。其中:基本支出减少58.32万元，主要原因是有退休人员和遗属人员去世；项目支出增加7.52万元，主要原因是保安服务费列入项目支出。</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3"/>
      </w:pPr>
      <w:r>
        <w:t>2023年我部门机关运行经费安排28.4万元，其中办公费2.10万元，邮电费4.45万元，工会经费、福利费2.38万元，公务用车运行维护费2.43万元，其他支出11.36万元。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t>2023年，我部门财政拨款“三公”经费预算安排</w:t>
      </w:r>
      <w:r>
        <w:rPr>
          <w:rFonts w:hint="eastAsia"/>
          <w:lang w:val="en-US" w:eastAsia="zh-CN"/>
        </w:rPr>
        <w:t>2.92</w:t>
      </w:r>
      <w:r>
        <w:t>万元，其中因公出国（境）费0万元；公务用车购置及运维费2.43万元（其中：公务用车购置费为0万元，公务用车运维费2.43万元)；公务接待费0.49万元。与2022年相比</w:t>
      </w:r>
      <w:r>
        <w:rPr>
          <w:rFonts w:hint="eastAsia"/>
          <w:lang w:eastAsia="zh-CN"/>
        </w:rPr>
        <w:t>无变化</w:t>
      </w:r>
      <w:r>
        <w:t>。</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lang w:eastAsia="zh-CN"/>
        </w:rPr>
      </w:pPr>
      <w:r>
        <w:rPr>
          <w:rFonts w:eastAsia="方正仿宋_GBK"/>
          <w:color w:val="000000"/>
          <w:sz w:val="28"/>
        </w:rPr>
        <w:t>一、总体绩效目标</w:t>
      </w:r>
    </w:p>
    <w:p>
      <w:pPr>
        <w:pStyle w:val="25"/>
      </w:pPr>
      <w:r>
        <w:t>紧紧围绕全区中心工作和区委重要部署，科学决策、坚持以人为本，认真落实好离退休干部政治待遇，落实三项保障机制为重点,抓好离退休干部的生活待遇，进一步完善老干部活动中心建设，组织引导老干部积极发挥余热。增强责任感和工作积极性，不断提高对离退休干部的服务水平。适应新形势、新任务、新要求抓好老干部局自身建设，提高服务质量，不断规范履职行为，努力开创老干部局工作新局面。</w:t>
      </w:r>
    </w:p>
    <w:p>
      <w:pPr>
        <w:spacing w:line="500" w:lineRule="exact"/>
        <w:ind w:firstLine="560"/>
      </w:pPr>
      <w:r>
        <w:rPr>
          <w:rFonts w:eastAsia="方正仿宋_GBK"/>
          <w:color w:val="000000"/>
          <w:sz w:val="28"/>
        </w:rPr>
        <w:t>二、分项绩效目标</w:t>
      </w:r>
    </w:p>
    <w:p>
      <w:pPr>
        <w:pStyle w:val="26"/>
      </w:pPr>
      <w:r>
        <w:rPr>
          <w:rFonts w:hint="default"/>
          <w:lang w:val="en-US"/>
        </w:rPr>
        <w:t>1</w:t>
      </w:r>
      <w:r>
        <w:rPr>
          <w:rFonts w:hint="eastAsia"/>
          <w:lang w:val="en-US" w:eastAsia="zh-CN"/>
        </w:rPr>
        <w:t>、</w:t>
      </w:r>
      <w:r>
        <w:t>离退休干部政策及服务</w:t>
      </w:r>
    </w:p>
    <w:p>
      <w:pPr>
        <w:pStyle w:val="26"/>
      </w:pPr>
      <w:r>
        <w:rPr>
          <w:rFonts w:hint="eastAsia"/>
          <w:lang w:eastAsia="zh-CN"/>
        </w:rPr>
        <w:t>（</w:t>
      </w:r>
      <w:r>
        <w:rPr>
          <w:rFonts w:hint="default"/>
          <w:lang w:val="en-US" w:eastAsia="zh-CN"/>
        </w:rPr>
        <w:t>1</w:t>
      </w:r>
      <w:r>
        <w:rPr>
          <w:rFonts w:hint="eastAsia"/>
          <w:lang w:eastAsia="zh-CN"/>
        </w:rPr>
        <w:t>）</w:t>
      </w:r>
      <w:r>
        <w:t>绩效目标：落实老干部政策、生活待遇。继续开展徐水区离退休干部城区小组经费，通过该项目让每位老干部感受到政治上的关心，生活上的爱护，加强离退休干部管理制度。离休干部和区级实职退休干部体检费， 让每位老干部感受到政治上的关心，生活上的爱护。老年节区内参观视察经费保障离退休干部各项政策的落实。</w:t>
      </w:r>
    </w:p>
    <w:p>
      <w:pPr>
        <w:pStyle w:val="26"/>
      </w:pPr>
      <w:r>
        <w:rPr>
          <w:rFonts w:hint="eastAsia"/>
          <w:lang w:eastAsia="zh-CN"/>
        </w:rPr>
        <w:t>（</w:t>
      </w:r>
      <w:r>
        <w:rPr>
          <w:rFonts w:hint="default"/>
          <w:lang w:val="en-US" w:eastAsia="zh-CN"/>
        </w:rPr>
        <w:t>2</w:t>
      </w:r>
      <w:r>
        <w:rPr>
          <w:rFonts w:hint="eastAsia"/>
          <w:lang w:eastAsia="zh-CN"/>
        </w:rPr>
        <w:t>）</w:t>
      </w:r>
      <w:r>
        <w:t xml:space="preserve">绩效指标：贯彻落实国家关于离退休干部的方针政策，组织落实离退休干部的政治、生活待遇, 老干部生活待遇保障率达到100%， </w:t>
      </w:r>
    </w:p>
    <w:p>
      <w:pPr>
        <w:pStyle w:val="26"/>
      </w:pPr>
      <w:r>
        <w:rPr>
          <w:rFonts w:hint="default"/>
          <w:lang w:val="en-US"/>
        </w:rPr>
        <w:t>2</w:t>
      </w:r>
      <w:r>
        <w:rPr>
          <w:rFonts w:hint="eastAsia"/>
          <w:lang w:val="en-US" w:eastAsia="zh-CN"/>
        </w:rPr>
        <w:t>、</w:t>
      </w:r>
      <w:r>
        <w:t>老年活动阵地建设</w:t>
      </w:r>
    </w:p>
    <w:p>
      <w:pPr>
        <w:pStyle w:val="26"/>
      </w:pPr>
      <w:r>
        <w:rPr>
          <w:rFonts w:hint="eastAsia"/>
          <w:lang w:eastAsia="zh-CN"/>
        </w:rPr>
        <w:t>（</w:t>
      </w:r>
      <w:r>
        <w:rPr>
          <w:rFonts w:hint="default"/>
          <w:lang w:val="en-US" w:eastAsia="zh-CN"/>
        </w:rPr>
        <w:t>1</w:t>
      </w:r>
      <w:r>
        <w:rPr>
          <w:rFonts w:hint="eastAsia"/>
          <w:lang w:eastAsia="zh-CN"/>
        </w:rPr>
        <w:t>）</w:t>
      </w:r>
      <w:r>
        <w:t>绩效目标：以老年大学为依托成立老干部合唱团、京剧社、老年书画研究会等老干部社团丰富老干部的文化生活，为我区精神文明建设贡献了力量；关工委以关心、教育、培养青少年健康成长为目的，按照“急党政之所急、想青少年所需、尽关工委所能”的工作方针，充分发挥“五老”的优势和作用，开展丰富多彩、生动活泼及教育和关爱下一代活动，竭诚为老同志开展关心下一代工作做好服务。</w:t>
      </w:r>
    </w:p>
    <w:p>
      <w:pPr>
        <w:pStyle w:val="26"/>
      </w:pPr>
      <w:r>
        <w:rPr>
          <w:rFonts w:hint="eastAsia"/>
          <w:lang w:eastAsia="zh-CN"/>
        </w:rPr>
        <w:t>（</w:t>
      </w:r>
      <w:r>
        <w:rPr>
          <w:rFonts w:hint="default"/>
          <w:lang w:val="en-US" w:eastAsia="zh-CN"/>
        </w:rPr>
        <w:t>2</w:t>
      </w:r>
      <w:r>
        <w:rPr>
          <w:rFonts w:hint="eastAsia"/>
          <w:lang w:eastAsia="zh-CN"/>
        </w:rPr>
        <w:t>）</w:t>
      </w:r>
      <w:r>
        <w:t>绩效指标：老年教育及关心下一代，贯彻执行老年教育和老干部工作方针，构建终身教育体系，老年教育普及率达到100%；开展全区关心下一代工作，组织老同志参加青少年教育工作。帮扶贫困学生，对贫困学生给予精神和物质的支持，目标完成率达到100%。</w:t>
      </w:r>
    </w:p>
    <w:p>
      <w:pPr>
        <w:pStyle w:val="26"/>
      </w:pPr>
      <w:r>
        <w:rPr>
          <w:rFonts w:hint="default"/>
          <w:lang w:val="en-US"/>
        </w:rPr>
        <w:t>3</w:t>
      </w:r>
      <w:r>
        <w:rPr>
          <w:rFonts w:hint="eastAsia"/>
          <w:lang w:val="en-US" w:eastAsia="zh-CN"/>
        </w:rPr>
        <w:t>、</w:t>
      </w:r>
      <w:r>
        <w:t>综合事务管理</w:t>
      </w:r>
    </w:p>
    <w:p>
      <w:pPr>
        <w:pStyle w:val="26"/>
      </w:pPr>
      <w:r>
        <w:rPr>
          <w:rFonts w:hint="eastAsia"/>
          <w:lang w:eastAsia="zh-CN"/>
        </w:rPr>
        <w:t>（</w:t>
      </w:r>
      <w:r>
        <w:rPr>
          <w:rFonts w:hint="default"/>
          <w:lang w:val="en-US" w:eastAsia="zh-CN"/>
        </w:rPr>
        <w:t>1</w:t>
      </w:r>
      <w:r>
        <w:rPr>
          <w:rFonts w:hint="eastAsia"/>
          <w:lang w:eastAsia="zh-CN"/>
        </w:rPr>
        <w:t>）</w:t>
      </w:r>
      <w:r>
        <w:t>绩效目标：负责离退休干部管理服务机构设施维修改造、后勤保障、日常运转。</w:t>
      </w:r>
    </w:p>
    <w:p>
      <w:pPr>
        <w:pStyle w:val="26"/>
      </w:pPr>
      <w:r>
        <w:rPr>
          <w:rFonts w:hint="eastAsia"/>
          <w:lang w:eastAsia="zh-CN"/>
        </w:rPr>
        <w:t>（</w:t>
      </w:r>
      <w:r>
        <w:rPr>
          <w:rFonts w:hint="default"/>
          <w:lang w:val="en-US" w:eastAsia="zh-CN"/>
        </w:rPr>
        <w:t>2</w:t>
      </w:r>
      <w:r>
        <w:rPr>
          <w:rFonts w:hint="eastAsia"/>
          <w:lang w:eastAsia="zh-CN"/>
        </w:rPr>
        <w:t>）</w:t>
      </w:r>
      <w:r>
        <w:t>绩效指标：综合事务管理工作完成率达到100%。</w:t>
      </w:r>
    </w:p>
    <w:p>
      <w:pPr>
        <w:spacing w:line="500" w:lineRule="exact"/>
        <w:ind w:firstLine="560"/>
      </w:pPr>
      <w:r>
        <w:rPr>
          <w:rFonts w:eastAsia="方正仿宋_GBK"/>
          <w:color w:val="000000"/>
          <w:sz w:val="28"/>
        </w:rPr>
        <w:t>三、工作保障措施</w:t>
      </w:r>
    </w:p>
    <w:p>
      <w:pPr>
        <w:pStyle w:val="27"/>
      </w:pPr>
      <w:r>
        <w:rPr>
          <w:rFonts w:hint="default"/>
          <w:lang w:val="en-US"/>
        </w:rPr>
        <w:t>1</w:t>
      </w:r>
      <w:r>
        <w:rPr>
          <w:rFonts w:hint="eastAsia"/>
          <w:lang w:val="en-US" w:eastAsia="zh-CN"/>
        </w:rPr>
        <w:t>、</w:t>
      </w:r>
      <w:r>
        <w:t>规范财务资金管理</w:t>
      </w:r>
    </w:p>
    <w:p>
      <w:pPr>
        <w:pStyle w:val="27"/>
      </w:pPr>
      <w:r>
        <w:t>单位主要领导切实履行法人主体责任，项目负责人要负总责、亲自抓，亲自督办，即明确各环节的责任，时间节点，又要统筹各个环节，做到协调有序、相互衔接，形成合力。结合我局重点工作完成的时限，组织各环节承办人共同研究，明确预算编制、执行、实施、等关键环节责任人、承办人、完成时限等绩效指标，并把预算支付进度责任分解落实到各个环节，通过抓项目早实施推动预算执行进度，在保证资金安全、规范、高效使用的基础上保证预算执行质量。</w:t>
      </w:r>
    </w:p>
    <w:p>
      <w:pPr>
        <w:pStyle w:val="27"/>
      </w:pPr>
      <w:r>
        <w:rPr>
          <w:rFonts w:hint="default"/>
          <w:lang w:val="en-US"/>
        </w:rPr>
        <w:t>2</w:t>
      </w:r>
      <w:r>
        <w:rPr>
          <w:rFonts w:hint="eastAsia"/>
          <w:lang w:val="en-US" w:eastAsia="zh-CN"/>
        </w:rPr>
        <w:t>、</w:t>
      </w:r>
      <w:r>
        <w:t>加强支出管理</w:t>
      </w:r>
    </w:p>
    <w:p>
      <w:pPr>
        <w:pStyle w:val="27"/>
      </w:pPr>
      <w:r>
        <w:t>牢固树立依法理财和厉行节约的理念，坚持预算执行进度和财政资金使用的安全性、规范性和有效性并重的原则，在加快项目实施和资金支付进度的同时，认真做好资金支付的监督管理工作，使监督检查工作常态化。加大自查力度，严禁违规使用资金，确保资金安全和项目绩效。</w:t>
      </w:r>
    </w:p>
    <w:p>
      <w:pPr>
        <w:pStyle w:val="27"/>
      </w:pPr>
      <w:r>
        <w:rPr>
          <w:rFonts w:hint="default"/>
          <w:lang w:val="en-US"/>
        </w:rPr>
        <w:t>3</w:t>
      </w:r>
      <w:r>
        <w:rPr>
          <w:rFonts w:hint="eastAsia"/>
          <w:lang w:val="en-US" w:eastAsia="zh-CN"/>
        </w:rPr>
        <w:t>、</w:t>
      </w:r>
      <w:r>
        <w:t>完善制度建设</w:t>
      </w:r>
    </w:p>
    <w:p>
      <w:pPr>
        <w:pStyle w:val="27"/>
      </w:pPr>
      <w:r>
        <w:t>进一步完善财务部门总牵头、有关业务部门齐抓共管的工作机制，及时研究涉及预算编制执行的难点和重点问题，建立预算编制、执行的全过程进度动态监控制度，确保预算编制的合理性、科学性，资金支付的合规性、时效性，资金使用的规范性、安全性。</w:t>
      </w:r>
    </w:p>
    <w:p>
      <w:pPr>
        <w:pStyle w:val="27"/>
      </w:pPr>
      <w:r>
        <w:rPr>
          <w:rFonts w:hint="default"/>
          <w:lang w:val="en-US"/>
        </w:rPr>
        <w:t>4</w:t>
      </w:r>
      <w:r>
        <w:rPr>
          <w:rFonts w:hint="eastAsia"/>
          <w:lang w:val="en-US" w:eastAsia="zh-CN"/>
        </w:rPr>
        <w:t>、</w:t>
      </w:r>
      <w:r>
        <w:t>及时、合规、有效进行预算绩效运行监控及绩效自评</w:t>
      </w:r>
    </w:p>
    <w:p>
      <w:pPr>
        <w:pStyle w:val="27"/>
      </w:pPr>
      <w:r>
        <w:t>遵循目标导向、权责对等、全面覆盖、突出重点、适时适当的原则，对照批复的部门整体绩效目标、预算项目资金绩效目标，依托财政信息系统一体化平台，通过调查取证、实地核查等方式采集信息，掌握本部门预算绩效目标实现程度和预算资金执行情况。同时，做好年中绩效监控分析，加强监督检查，及时纠正偏差，确保各项工作围绕绩效目标实现路径进行；完善预算绩效管理薄弱环节，提高预算绩效管理工作效率，提高财政资金使用效益。</w:t>
      </w:r>
    </w:p>
    <w:p>
      <w:pPr>
        <w:pStyle w:val="27"/>
      </w:pPr>
      <w:r>
        <w:rPr>
          <w:rFonts w:hint="default"/>
          <w:lang w:val="en-US"/>
        </w:rPr>
        <w:t>5</w:t>
      </w:r>
      <w:r>
        <w:rPr>
          <w:rFonts w:hint="eastAsia"/>
          <w:lang w:val="en-US" w:eastAsia="zh-CN"/>
        </w:rPr>
        <w:t>、</w:t>
      </w:r>
      <w:r>
        <w:t>加强财物资产管理，完善考核机制</w:t>
      </w:r>
    </w:p>
    <w:p>
      <w:pPr>
        <w:pStyle w:val="27"/>
      </w:pPr>
      <w:r>
        <w:t>加强对本单位财物资产的管理，实现财物资产有人管理，有人负责，严格落实各项财物制度，增强全局人员的财物资产管理观念，提升管理水平。结合我局实际，有针对性地研究完善预算绩效考核制度和组织机制，确保预算管理各项工作的有序开展，推动全局预算绩效管理工作的健康发展，促进预算绩效管理水平进一步提升。</w:t>
      </w:r>
    </w:p>
    <w:p>
      <w:pPr>
        <w:ind w:firstLine="640"/>
        <w:rPr>
          <w:rFonts w:eastAsiaTheme="minorEastAsia"/>
          <w:lang w:eastAsia="zh-CN"/>
        </w:rPr>
        <w:sectPr>
          <w:pgSz w:w="16840" w:h="11900" w:orient="landscape"/>
          <w:pgMar w:top="1361" w:right="1020" w:bottom="1361" w:left="1020" w:header="720" w:footer="720" w:gutter="0"/>
          <w:cols w:space="720" w:num="1"/>
        </w:sectPr>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  预算项目绩效目标</w:t>
      </w:r>
    </w:p>
    <w:p>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lang w:eastAsia="zh-CN"/>
              </w:rPr>
            </w:pPr>
            <w:r>
              <w:t>1.为了促进单位正常运转</w:t>
            </w:r>
            <w:r>
              <w:tab/>
            </w:r>
            <w:r>
              <w:tab/>
            </w:r>
            <w:r>
              <w:tab/>
            </w:r>
            <w:r>
              <w:tab/>
            </w:r>
            <w:r>
              <w:tab/>
            </w:r>
            <w:r>
              <w:tab/>
            </w:r>
          </w:p>
          <w:p>
            <w:pPr>
              <w:pStyle w:val="16"/>
            </w:pPr>
            <w:r>
              <w:t>2. 弥补单位办公经费不足</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 xml:space="preserve"> 利息金额</w:t>
            </w:r>
          </w:p>
        </w:tc>
        <w:tc>
          <w:tcPr>
            <w:tcW w:w="2835" w:type="dxa"/>
            <w:vAlign w:val="center"/>
          </w:tcPr>
          <w:p>
            <w:pPr>
              <w:pStyle w:val="16"/>
            </w:pPr>
            <w:r>
              <w:t xml:space="preserve"> 本年度利息收入金额</w:t>
            </w:r>
          </w:p>
        </w:tc>
        <w:tc>
          <w:tcPr>
            <w:tcW w:w="2551" w:type="dxa"/>
            <w:vAlign w:val="center"/>
          </w:tcPr>
          <w:p>
            <w:pPr>
              <w:pStyle w:val="16"/>
            </w:pPr>
            <w:r>
              <w:t>≤300 元</w:t>
            </w:r>
          </w:p>
        </w:tc>
        <w:tc>
          <w:tcPr>
            <w:tcW w:w="2268" w:type="dxa"/>
            <w:vAlign w:val="center"/>
          </w:tcPr>
          <w:p>
            <w:pPr>
              <w:pStyle w:val="16"/>
            </w:pPr>
            <w:r>
              <w:t>根据工作需求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 xml:space="preserve"> 支出率</w:t>
            </w:r>
          </w:p>
        </w:tc>
        <w:tc>
          <w:tcPr>
            <w:tcW w:w="2835" w:type="dxa"/>
            <w:vAlign w:val="center"/>
          </w:tcPr>
          <w:p>
            <w:pPr>
              <w:pStyle w:val="16"/>
            </w:pPr>
            <w:r>
              <w:t xml:space="preserve"> 全部利息收入支出情况</w:t>
            </w:r>
          </w:p>
        </w:tc>
        <w:tc>
          <w:tcPr>
            <w:tcW w:w="2551" w:type="dxa"/>
            <w:vAlign w:val="center"/>
          </w:tcPr>
          <w:p>
            <w:pPr>
              <w:pStyle w:val="16"/>
            </w:pPr>
            <w:r>
              <w:t>≤95%</w:t>
            </w:r>
          </w:p>
        </w:tc>
        <w:tc>
          <w:tcPr>
            <w:tcW w:w="2268" w:type="dxa"/>
            <w:vAlign w:val="center"/>
          </w:tcPr>
          <w:p>
            <w:pPr>
              <w:pStyle w:val="16"/>
            </w:pPr>
            <w:r>
              <w:t>根据工作需求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 xml:space="preserve"> 全部支出时间</w:t>
            </w:r>
          </w:p>
        </w:tc>
        <w:tc>
          <w:tcPr>
            <w:tcW w:w="2835" w:type="dxa"/>
            <w:vAlign w:val="center"/>
          </w:tcPr>
          <w:p>
            <w:pPr>
              <w:pStyle w:val="16"/>
            </w:pPr>
            <w:r>
              <w:t xml:space="preserve"> 利息收入全部支出时间点</w:t>
            </w:r>
          </w:p>
        </w:tc>
        <w:tc>
          <w:tcPr>
            <w:tcW w:w="2551" w:type="dxa"/>
            <w:vAlign w:val="center"/>
          </w:tcPr>
          <w:p>
            <w:pPr>
              <w:pStyle w:val="16"/>
            </w:pPr>
            <w:r>
              <w:t>12 月</w:t>
            </w:r>
          </w:p>
        </w:tc>
        <w:tc>
          <w:tcPr>
            <w:tcW w:w="2268" w:type="dxa"/>
            <w:vAlign w:val="center"/>
          </w:tcPr>
          <w:p>
            <w:pPr>
              <w:pStyle w:val="16"/>
            </w:pPr>
            <w:r>
              <w:t>根据工作需求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项目成本</w:t>
            </w:r>
          </w:p>
        </w:tc>
        <w:tc>
          <w:tcPr>
            <w:tcW w:w="2835" w:type="dxa"/>
            <w:vAlign w:val="center"/>
          </w:tcPr>
          <w:p>
            <w:pPr>
              <w:pStyle w:val="16"/>
            </w:pPr>
            <w:r>
              <w:t xml:space="preserve"> 利息金额</w:t>
            </w:r>
          </w:p>
        </w:tc>
        <w:tc>
          <w:tcPr>
            <w:tcW w:w="2551" w:type="dxa"/>
            <w:vAlign w:val="center"/>
          </w:tcPr>
          <w:p>
            <w:pPr>
              <w:pStyle w:val="16"/>
            </w:pPr>
            <w:r>
              <w:t>≤300 元</w:t>
            </w:r>
          </w:p>
        </w:tc>
        <w:tc>
          <w:tcPr>
            <w:tcW w:w="2268" w:type="dxa"/>
            <w:vAlign w:val="center"/>
          </w:tcPr>
          <w:p>
            <w:pPr>
              <w:pStyle w:val="16"/>
            </w:pPr>
            <w:r>
              <w:t>根据工作需求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 xml:space="preserve"> 工作完成率</w:t>
            </w:r>
          </w:p>
        </w:tc>
        <w:tc>
          <w:tcPr>
            <w:tcW w:w="2835" w:type="dxa"/>
            <w:vAlign w:val="center"/>
          </w:tcPr>
          <w:p>
            <w:pPr>
              <w:pStyle w:val="16"/>
            </w:pPr>
            <w:r>
              <w:t xml:space="preserve"> 补充经费不足</w:t>
            </w:r>
          </w:p>
        </w:tc>
        <w:tc>
          <w:tcPr>
            <w:tcW w:w="2551" w:type="dxa"/>
            <w:vAlign w:val="center"/>
          </w:tcPr>
          <w:p>
            <w:pPr>
              <w:pStyle w:val="16"/>
            </w:pPr>
            <w:r>
              <w:t>≥95%</w:t>
            </w:r>
          </w:p>
        </w:tc>
        <w:tc>
          <w:tcPr>
            <w:tcW w:w="2268" w:type="dxa"/>
            <w:vAlign w:val="center"/>
          </w:tcPr>
          <w:p>
            <w:pPr>
              <w:pStyle w:val="16"/>
            </w:pPr>
            <w:r>
              <w:t>根据工作需求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2、保安、保洁服务费绩效目标表</w:t>
      </w:r>
      <w:bookmarkStart w:id="18" w:name="_GoBack"/>
      <w:bookmarkEnd w:id="18"/>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1.建立安全保卫长效机制，保证老干部局办公场所的安全</w:t>
            </w:r>
          </w:p>
          <w:p>
            <w:pPr>
              <w:pStyle w:val="16"/>
              <w:rPr>
                <w:lang w:eastAsia="zh-CN"/>
              </w:rPr>
            </w:pPr>
            <w:r>
              <w:t>2.聘用保安1人，保安服务费用及时发放</w:t>
            </w:r>
          </w:p>
          <w:p>
            <w:pPr>
              <w:pStyle w:val="16"/>
            </w:pPr>
            <w:r>
              <w:t>3.保证老干部局办公环境的清洁、卫生</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保安人员数量</w:t>
            </w:r>
          </w:p>
        </w:tc>
        <w:tc>
          <w:tcPr>
            <w:tcW w:w="2835" w:type="dxa"/>
            <w:vAlign w:val="center"/>
          </w:tcPr>
          <w:p>
            <w:pPr>
              <w:pStyle w:val="16"/>
            </w:pPr>
            <w:r>
              <w:t>保安人员数量</w:t>
            </w:r>
          </w:p>
        </w:tc>
        <w:tc>
          <w:tcPr>
            <w:tcW w:w="2551" w:type="dxa"/>
            <w:vAlign w:val="center"/>
          </w:tcPr>
          <w:p>
            <w:pPr>
              <w:pStyle w:val="16"/>
            </w:pPr>
            <w:r>
              <w:t>1人</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保安人员考勤正常率</w:t>
            </w:r>
          </w:p>
        </w:tc>
        <w:tc>
          <w:tcPr>
            <w:tcW w:w="2835" w:type="dxa"/>
            <w:vAlign w:val="center"/>
          </w:tcPr>
          <w:p>
            <w:pPr>
              <w:pStyle w:val="16"/>
            </w:pPr>
            <w:r>
              <w:t>保安人员考勤正常率</w:t>
            </w:r>
          </w:p>
        </w:tc>
        <w:tc>
          <w:tcPr>
            <w:tcW w:w="2551" w:type="dxa"/>
            <w:vAlign w:val="center"/>
          </w:tcPr>
          <w:p>
            <w:pPr>
              <w:pStyle w:val="16"/>
            </w:pPr>
            <w:r>
              <w:t>≥95%</w:t>
            </w:r>
          </w:p>
        </w:tc>
        <w:tc>
          <w:tcPr>
            <w:tcW w:w="2268" w:type="dxa"/>
            <w:vAlign w:val="center"/>
          </w:tcPr>
          <w:p>
            <w:pPr>
              <w:pStyle w:val="16"/>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保安服务费发放率</w:t>
            </w:r>
          </w:p>
        </w:tc>
        <w:tc>
          <w:tcPr>
            <w:tcW w:w="2835" w:type="dxa"/>
            <w:vAlign w:val="center"/>
          </w:tcPr>
          <w:p>
            <w:pPr>
              <w:pStyle w:val="16"/>
            </w:pPr>
            <w:r>
              <w:t>实际发放的保安服务费用金额占计划发放金额的比例</w:t>
            </w:r>
          </w:p>
        </w:tc>
        <w:tc>
          <w:tcPr>
            <w:tcW w:w="2551" w:type="dxa"/>
            <w:vAlign w:val="center"/>
          </w:tcPr>
          <w:p>
            <w:pPr>
              <w:pStyle w:val="16"/>
            </w:pPr>
            <w:r>
              <w:t>100%</w:t>
            </w:r>
          </w:p>
        </w:tc>
        <w:tc>
          <w:tcPr>
            <w:tcW w:w="2268" w:type="dxa"/>
            <w:vAlign w:val="center"/>
          </w:tcPr>
          <w:p>
            <w:pPr>
              <w:pStyle w:val="16"/>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预算控制数</w:t>
            </w:r>
          </w:p>
        </w:tc>
        <w:tc>
          <w:tcPr>
            <w:tcW w:w="2551" w:type="dxa"/>
            <w:vAlign w:val="center"/>
          </w:tcPr>
          <w:p>
            <w:pPr>
              <w:pStyle w:val="16"/>
            </w:pPr>
            <w:r>
              <w:t>2.7万元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维护办公场所秩序及卫生安全率</w:t>
            </w:r>
          </w:p>
        </w:tc>
        <w:tc>
          <w:tcPr>
            <w:tcW w:w="2835" w:type="dxa"/>
            <w:vAlign w:val="center"/>
          </w:tcPr>
          <w:p>
            <w:pPr>
              <w:pStyle w:val="16"/>
            </w:pPr>
            <w:r>
              <w:t>维护办公场所秩序及卫生安全率</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服务对象满意率</w:t>
            </w:r>
          </w:p>
        </w:tc>
        <w:tc>
          <w:tcPr>
            <w:tcW w:w="2835" w:type="dxa"/>
            <w:vAlign w:val="center"/>
          </w:tcPr>
          <w:p>
            <w:pPr>
              <w:pStyle w:val="16"/>
            </w:pPr>
            <w:r>
              <w:t>服务对象满意率</w:t>
            </w:r>
          </w:p>
        </w:tc>
        <w:tc>
          <w:tcPr>
            <w:tcW w:w="2551" w:type="dxa"/>
            <w:vAlign w:val="center"/>
          </w:tcPr>
          <w:p>
            <w:pPr>
              <w:pStyle w:val="16"/>
            </w:pPr>
            <w:r>
              <w:t>≥95%</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3、关心下一代工作委员会经费绩效目标表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1.切实为广大青少年做好事、办实事、解难事。开展好助学、助困、助残、助孤和助留守儿童等“五助”活动。</w:t>
            </w:r>
          </w:p>
          <w:p>
            <w:pPr>
              <w:pStyle w:val="16"/>
            </w:pPr>
            <w:r>
              <w:t>2.加强关工委领导班子和“五老”志愿者队伍建设</w:t>
            </w:r>
            <w:r>
              <w:tab/>
            </w:r>
            <w:r>
              <w:tab/>
            </w:r>
            <w:r>
              <w:tab/>
            </w:r>
            <w:r>
              <w:tab/>
            </w:r>
            <w:r>
              <w:tab/>
            </w:r>
            <w:r>
              <w:tab/>
            </w:r>
          </w:p>
          <w:p>
            <w:pPr>
              <w:pStyle w:val="16"/>
            </w:pPr>
          </w:p>
          <w:p>
            <w:pPr>
              <w:pStyle w:val="16"/>
            </w:pPr>
            <w:r>
              <w:t>3.该项目六月份完成支出50%，12月底完成支出100%。</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青少年保障人数</w:t>
            </w:r>
          </w:p>
        </w:tc>
        <w:tc>
          <w:tcPr>
            <w:tcW w:w="2835" w:type="dxa"/>
            <w:vAlign w:val="center"/>
          </w:tcPr>
          <w:p>
            <w:pPr>
              <w:pStyle w:val="16"/>
            </w:pPr>
            <w:r>
              <w:t>青少年保障人数</w:t>
            </w:r>
          </w:p>
        </w:tc>
        <w:tc>
          <w:tcPr>
            <w:tcW w:w="2551" w:type="dxa"/>
            <w:vAlign w:val="center"/>
          </w:tcPr>
          <w:p>
            <w:pPr>
              <w:pStyle w:val="16"/>
            </w:pPr>
            <w:r>
              <w:t>≤47人</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青少年“五助”资质符合率</w:t>
            </w:r>
          </w:p>
          <w:p>
            <w:pPr>
              <w:pStyle w:val="16"/>
            </w:pPr>
          </w:p>
        </w:tc>
        <w:tc>
          <w:tcPr>
            <w:tcW w:w="2835" w:type="dxa"/>
            <w:vAlign w:val="center"/>
          </w:tcPr>
          <w:p>
            <w:pPr>
              <w:pStyle w:val="16"/>
            </w:pPr>
            <w:r>
              <w:t>青少年“五助”资质符合率</w:t>
            </w:r>
          </w:p>
        </w:tc>
        <w:tc>
          <w:tcPr>
            <w:tcW w:w="2551" w:type="dxa"/>
            <w:vAlign w:val="center"/>
          </w:tcPr>
          <w:p>
            <w:pPr>
              <w:pStyle w:val="16"/>
            </w:pPr>
            <w:r>
              <w:t>≥90%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项目完成及时率</w:t>
            </w:r>
          </w:p>
        </w:tc>
        <w:tc>
          <w:tcPr>
            <w:tcW w:w="2835" w:type="dxa"/>
            <w:vAlign w:val="center"/>
          </w:tcPr>
          <w:p>
            <w:pPr>
              <w:pStyle w:val="16"/>
            </w:pPr>
            <w:r>
              <w:t>是否按时完成项目</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在预算范围内支出</w:t>
            </w:r>
          </w:p>
        </w:tc>
        <w:tc>
          <w:tcPr>
            <w:tcW w:w="2551" w:type="dxa"/>
            <w:vAlign w:val="center"/>
          </w:tcPr>
          <w:p>
            <w:pPr>
              <w:pStyle w:val="16"/>
            </w:pPr>
            <w:r>
              <w:t>≤5.5万元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青少年家庭教育负担减轻比例</w:t>
            </w:r>
          </w:p>
        </w:tc>
        <w:tc>
          <w:tcPr>
            <w:tcW w:w="2835" w:type="dxa"/>
            <w:vAlign w:val="center"/>
          </w:tcPr>
          <w:p>
            <w:pPr>
              <w:pStyle w:val="16"/>
            </w:pPr>
            <w:r>
              <w:t>通过调研，受助青少年家庭教育负担减轻比率</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青少年满意率</w:t>
            </w:r>
          </w:p>
        </w:tc>
        <w:tc>
          <w:tcPr>
            <w:tcW w:w="2835" w:type="dxa"/>
            <w:vAlign w:val="center"/>
          </w:tcPr>
          <w:p>
            <w:pPr>
              <w:pStyle w:val="16"/>
            </w:pPr>
            <w:r>
              <w:t>通过调研，青少年满意率</w:t>
            </w:r>
          </w:p>
        </w:tc>
        <w:tc>
          <w:tcPr>
            <w:tcW w:w="2551" w:type="dxa"/>
            <w:vAlign w:val="center"/>
          </w:tcPr>
          <w:p>
            <w:pPr>
              <w:pStyle w:val="16"/>
            </w:pPr>
            <w:r>
              <w:t>≥90%</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4、老年大学经费绩效目标表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1.扎实推进离退休干部学习活动阵地建设</w:t>
            </w:r>
          </w:p>
          <w:p>
            <w:pPr>
              <w:pStyle w:val="16"/>
            </w:pPr>
            <w:r>
              <w:t>2.提高退休干部的业余生活质量</w:t>
            </w:r>
          </w:p>
          <w:p>
            <w:pPr>
              <w:pStyle w:val="16"/>
            </w:pPr>
            <w:r>
              <w:t>3.三月支出25%，六月支出50%，九月支出80%，十一月支出100%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服务老干部人数</w:t>
            </w:r>
          </w:p>
        </w:tc>
        <w:tc>
          <w:tcPr>
            <w:tcW w:w="2835" w:type="dxa"/>
            <w:vAlign w:val="center"/>
          </w:tcPr>
          <w:p>
            <w:pPr>
              <w:pStyle w:val="16"/>
            </w:pPr>
            <w:r>
              <w:t>服务老干部人数</w:t>
            </w:r>
          </w:p>
        </w:tc>
        <w:tc>
          <w:tcPr>
            <w:tcW w:w="2551" w:type="dxa"/>
            <w:vAlign w:val="center"/>
          </w:tcPr>
          <w:p>
            <w:pPr>
              <w:pStyle w:val="16"/>
            </w:pPr>
            <w:r>
              <w:t>≥200人</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开展活动次数</w:t>
            </w:r>
          </w:p>
        </w:tc>
        <w:tc>
          <w:tcPr>
            <w:tcW w:w="2835" w:type="dxa"/>
            <w:vAlign w:val="center"/>
          </w:tcPr>
          <w:p>
            <w:pPr>
              <w:pStyle w:val="16"/>
            </w:pPr>
            <w:r>
              <w:t>开展活动次数</w:t>
            </w:r>
          </w:p>
        </w:tc>
        <w:tc>
          <w:tcPr>
            <w:tcW w:w="2551" w:type="dxa"/>
            <w:vAlign w:val="center"/>
          </w:tcPr>
          <w:p>
            <w:pPr>
              <w:pStyle w:val="16"/>
            </w:pPr>
            <w:r>
              <w:t>1次</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活动参与率</w:t>
            </w:r>
          </w:p>
        </w:tc>
        <w:tc>
          <w:tcPr>
            <w:tcW w:w="2835" w:type="dxa"/>
            <w:vAlign w:val="center"/>
          </w:tcPr>
          <w:p>
            <w:pPr>
              <w:pStyle w:val="16"/>
            </w:pPr>
            <w:r>
              <w:t>开展活动老干部参与情况</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项目按时完成率</w:t>
            </w:r>
          </w:p>
        </w:tc>
        <w:tc>
          <w:tcPr>
            <w:tcW w:w="2835" w:type="dxa"/>
            <w:vAlign w:val="center"/>
          </w:tcPr>
          <w:p>
            <w:pPr>
              <w:pStyle w:val="16"/>
            </w:pPr>
            <w:r>
              <w:t>项目按时完成率</w:t>
            </w:r>
          </w:p>
        </w:tc>
        <w:tc>
          <w:tcPr>
            <w:tcW w:w="2551" w:type="dxa"/>
            <w:vAlign w:val="center"/>
          </w:tcPr>
          <w:p>
            <w:pPr>
              <w:pStyle w:val="16"/>
            </w:pPr>
            <w:r>
              <w:t>98%</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在预算控制范围内支出</w:t>
            </w:r>
          </w:p>
        </w:tc>
        <w:tc>
          <w:tcPr>
            <w:tcW w:w="2551" w:type="dxa"/>
            <w:vAlign w:val="center"/>
          </w:tcPr>
          <w:p>
            <w:pPr>
              <w:pStyle w:val="16"/>
            </w:pPr>
            <w:r>
              <w:t>6.14万元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老干部业余生活保障率</w:t>
            </w:r>
          </w:p>
        </w:tc>
        <w:tc>
          <w:tcPr>
            <w:tcW w:w="2835" w:type="dxa"/>
            <w:vAlign w:val="center"/>
          </w:tcPr>
          <w:p>
            <w:pPr>
              <w:pStyle w:val="16"/>
            </w:pPr>
            <w:r>
              <w:t>业务生活得到有效保障的老干部比重</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老干部满意率</w:t>
            </w:r>
          </w:p>
        </w:tc>
        <w:tc>
          <w:tcPr>
            <w:tcW w:w="2835" w:type="dxa"/>
            <w:vAlign w:val="center"/>
          </w:tcPr>
          <w:p>
            <w:pPr>
              <w:pStyle w:val="16"/>
            </w:pPr>
            <w:r>
              <w:t>老干部满意率</w:t>
            </w:r>
          </w:p>
        </w:tc>
        <w:tc>
          <w:tcPr>
            <w:tcW w:w="2551" w:type="dxa"/>
            <w:vAlign w:val="center"/>
          </w:tcPr>
          <w:p>
            <w:pPr>
              <w:pStyle w:val="16"/>
            </w:pPr>
            <w:r>
              <w:t>≥95%</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5、老年节活动及参观视察经费绩效目标表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1.提高离退休干部的政治待遇</w:t>
            </w:r>
            <w:r>
              <w:tab/>
            </w:r>
            <w:r>
              <w:tab/>
            </w:r>
            <w:r>
              <w:tab/>
            </w:r>
          </w:p>
          <w:p>
            <w:pPr>
              <w:pStyle w:val="16"/>
            </w:pPr>
          </w:p>
          <w:p>
            <w:pPr>
              <w:pStyle w:val="16"/>
            </w:pPr>
            <w:r>
              <w:t>2.每年1批次</w:t>
            </w:r>
            <w:r>
              <w:tab/>
            </w:r>
            <w:r>
              <w:tab/>
            </w:r>
            <w:r>
              <w:tab/>
            </w:r>
            <w:r>
              <w:tab/>
            </w:r>
            <w:r>
              <w:tab/>
            </w:r>
            <w:r>
              <w:tab/>
            </w:r>
          </w:p>
          <w:p>
            <w:pPr>
              <w:pStyle w:val="16"/>
            </w:pPr>
          </w:p>
          <w:p>
            <w:pPr>
              <w:pStyle w:val="16"/>
            </w:pPr>
            <w:r>
              <w:t>3.该项目10月底支出100%</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老干部参加人数</w:t>
            </w:r>
          </w:p>
        </w:tc>
        <w:tc>
          <w:tcPr>
            <w:tcW w:w="2835" w:type="dxa"/>
            <w:vAlign w:val="center"/>
          </w:tcPr>
          <w:p>
            <w:pPr>
              <w:pStyle w:val="16"/>
            </w:pPr>
            <w:r>
              <w:t>老干部参加人数</w:t>
            </w:r>
          </w:p>
        </w:tc>
        <w:tc>
          <w:tcPr>
            <w:tcW w:w="2551" w:type="dxa"/>
            <w:vAlign w:val="center"/>
          </w:tcPr>
          <w:p>
            <w:pPr>
              <w:pStyle w:val="16"/>
            </w:pPr>
            <w:r>
              <w:t>35人</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举办活动次数</w:t>
            </w:r>
          </w:p>
        </w:tc>
        <w:tc>
          <w:tcPr>
            <w:tcW w:w="2835" w:type="dxa"/>
            <w:vAlign w:val="center"/>
          </w:tcPr>
          <w:p>
            <w:pPr>
              <w:pStyle w:val="16"/>
            </w:pPr>
            <w:r>
              <w:t>举办活动次数</w:t>
            </w:r>
          </w:p>
        </w:tc>
        <w:tc>
          <w:tcPr>
            <w:tcW w:w="2551" w:type="dxa"/>
            <w:vAlign w:val="center"/>
          </w:tcPr>
          <w:p>
            <w:pPr>
              <w:pStyle w:val="16"/>
            </w:pPr>
            <w:r>
              <w:t>1次</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老干部参与率</w:t>
            </w:r>
          </w:p>
        </w:tc>
        <w:tc>
          <w:tcPr>
            <w:tcW w:w="2835" w:type="dxa"/>
            <w:vAlign w:val="center"/>
          </w:tcPr>
          <w:p>
            <w:pPr>
              <w:pStyle w:val="16"/>
            </w:pPr>
            <w:r>
              <w:t>参与活动的老干部保障率</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项目完成及时率</w:t>
            </w:r>
          </w:p>
        </w:tc>
        <w:tc>
          <w:tcPr>
            <w:tcW w:w="2835" w:type="dxa"/>
            <w:vAlign w:val="center"/>
          </w:tcPr>
          <w:p>
            <w:pPr>
              <w:pStyle w:val="16"/>
            </w:pPr>
            <w:r>
              <w:t>按时完成项目</w:t>
            </w:r>
          </w:p>
        </w:tc>
        <w:tc>
          <w:tcPr>
            <w:tcW w:w="2551" w:type="dxa"/>
            <w:vAlign w:val="center"/>
          </w:tcPr>
          <w:p>
            <w:pPr>
              <w:pStyle w:val="16"/>
            </w:pPr>
            <w:r>
              <w:t>95%</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在预算控制范围内支出</w:t>
            </w:r>
          </w:p>
        </w:tc>
        <w:tc>
          <w:tcPr>
            <w:tcW w:w="2551" w:type="dxa"/>
            <w:vAlign w:val="center"/>
          </w:tcPr>
          <w:p>
            <w:pPr>
              <w:pStyle w:val="16"/>
            </w:pPr>
            <w:r>
              <w:t>1万元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老干部业余生活丰富水平提升率</w:t>
            </w:r>
          </w:p>
        </w:tc>
        <w:tc>
          <w:tcPr>
            <w:tcW w:w="2835" w:type="dxa"/>
            <w:vAlign w:val="center"/>
          </w:tcPr>
          <w:p>
            <w:pPr>
              <w:pStyle w:val="16"/>
            </w:pPr>
            <w:r>
              <w:t>通过调研，认为业余生活丰富水平得到提升的老干部比例</w:t>
            </w:r>
          </w:p>
        </w:tc>
        <w:tc>
          <w:tcPr>
            <w:tcW w:w="2551" w:type="dxa"/>
            <w:vAlign w:val="center"/>
          </w:tcPr>
          <w:p>
            <w:pPr>
              <w:pStyle w:val="16"/>
            </w:pPr>
            <w:r>
              <w:t>≥80%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老干部满意率</w:t>
            </w:r>
          </w:p>
        </w:tc>
        <w:tc>
          <w:tcPr>
            <w:tcW w:w="2835" w:type="dxa"/>
            <w:vAlign w:val="center"/>
          </w:tcPr>
          <w:p>
            <w:pPr>
              <w:pStyle w:val="16"/>
            </w:pPr>
            <w:r>
              <w:t>参与活动的老干部满意率</w:t>
            </w:r>
          </w:p>
        </w:tc>
        <w:tc>
          <w:tcPr>
            <w:tcW w:w="2551" w:type="dxa"/>
            <w:vAlign w:val="center"/>
          </w:tcPr>
          <w:p>
            <w:pPr>
              <w:pStyle w:val="16"/>
            </w:pPr>
            <w:r>
              <w:t>≥95%</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6、离退休干部和区级实职退休干部体检费绩效目标表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1.进一步加强做好离退休干部服务管理工作，保障离退休干部生活待遇各项政策落实到位。</w:t>
            </w:r>
            <w:r>
              <w:tab/>
            </w:r>
            <w:r>
              <w:tab/>
            </w:r>
          </w:p>
          <w:p>
            <w:pPr>
              <w:pStyle w:val="16"/>
            </w:pPr>
          </w:p>
          <w:p>
            <w:pPr>
              <w:pStyle w:val="16"/>
            </w:pPr>
            <w:r>
              <w:t>2.该项目涉及体检人数为65人，争取体检人数达到100%。</w:t>
            </w:r>
            <w:r>
              <w:tab/>
            </w:r>
          </w:p>
          <w:p>
            <w:pPr>
              <w:pStyle w:val="16"/>
            </w:pPr>
            <w:r>
              <w:tab/>
            </w:r>
          </w:p>
          <w:p>
            <w:pPr>
              <w:pStyle w:val="16"/>
            </w:pPr>
          </w:p>
          <w:p>
            <w:pPr>
              <w:pStyle w:val="16"/>
            </w:pPr>
            <w:r>
              <w:t>3.该项目每年预计五月份执行，六月底完成支出100%。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体检保障人数</w:t>
            </w:r>
          </w:p>
        </w:tc>
        <w:tc>
          <w:tcPr>
            <w:tcW w:w="2835" w:type="dxa"/>
            <w:vAlign w:val="center"/>
          </w:tcPr>
          <w:p>
            <w:pPr>
              <w:pStyle w:val="16"/>
            </w:pPr>
            <w:r>
              <w:t>老干部体检保障人数</w:t>
            </w:r>
          </w:p>
        </w:tc>
        <w:tc>
          <w:tcPr>
            <w:tcW w:w="2551" w:type="dxa"/>
            <w:vAlign w:val="center"/>
          </w:tcPr>
          <w:p>
            <w:pPr>
              <w:pStyle w:val="16"/>
            </w:pPr>
            <w:r>
              <w:t>≤65人</w:t>
            </w:r>
          </w:p>
        </w:tc>
        <w:tc>
          <w:tcPr>
            <w:tcW w:w="2268" w:type="dxa"/>
            <w:vAlign w:val="center"/>
          </w:tcPr>
          <w:p>
            <w:pPr>
              <w:pStyle w:val="16"/>
            </w:pPr>
            <w:r>
              <w:t>根据我区离退休干部和区级实职退休干部名单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组织体检活动次数</w:t>
            </w:r>
          </w:p>
        </w:tc>
        <w:tc>
          <w:tcPr>
            <w:tcW w:w="2835" w:type="dxa"/>
            <w:vAlign w:val="center"/>
          </w:tcPr>
          <w:p>
            <w:pPr>
              <w:pStyle w:val="16"/>
            </w:pPr>
            <w:r>
              <w:t>组织离退休干部和区级实职退休干部体检次数</w:t>
            </w:r>
          </w:p>
        </w:tc>
        <w:tc>
          <w:tcPr>
            <w:tcW w:w="2551" w:type="dxa"/>
            <w:vAlign w:val="center"/>
          </w:tcPr>
          <w:p>
            <w:pPr>
              <w:pStyle w:val="16"/>
            </w:pPr>
            <w:r>
              <w:t>1次</w:t>
            </w:r>
          </w:p>
        </w:tc>
        <w:tc>
          <w:tcPr>
            <w:tcW w:w="2268" w:type="dxa"/>
            <w:vAlign w:val="center"/>
          </w:tcPr>
          <w:p>
            <w:pPr>
              <w:pStyle w:val="16"/>
            </w:pPr>
            <w:r>
              <w:t>《关于离休干部和县级实职退休干部2010年度体检用款请示》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体检机构合格率</w:t>
            </w:r>
          </w:p>
        </w:tc>
        <w:tc>
          <w:tcPr>
            <w:tcW w:w="2835" w:type="dxa"/>
            <w:vAlign w:val="center"/>
          </w:tcPr>
          <w:p>
            <w:pPr>
              <w:pStyle w:val="16"/>
            </w:pPr>
            <w:r>
              <w:t>项目完成率</w:t>
            </w:r>
          </w:p>
        </w:tc>
        <w:tc>
          <w:tcPr>
            <w:tcW w:w="2551" w:type="dxa"/>
            <w:vAlign w:val="center"/>
          </w:tcPr>
          <w:p>
            <w:pPr>
              <w:pStyle w:val="16"/>
            </w:pPr>
            <w:r>
              <w:t>100%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工作按期完成率</w:t>
            </w:r>
          </w:p>
        </w:tc>
        <w:tc>
          <w:tcPr>
            <w:tcW w:w="2835" w:type="dxa"/>
            <w:vAlign w:val="center"/>
          </w:tcPr>
          <w:p>
            <w:pPr>
              <w:pStyle w:val="16"/>
            </w:pPr>
            <w:r>
              <w:t>工作按期完成率</w:t>
            </w:r>
          </w:p>
        </w:tc>
        <w:tc>
          <w:tcPr>
            <w:tcW w:w="2551" w:type="dxa"/>
            <w:vAlign w:val="center"/>
          </w:tcPr>
          <w:p>
            <w:pPr>
              <w:pStyle w:val="16"/>
            </w:pPr>
            <w:r>
              <w:t>100%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预算成本控制数</w:t>
            </w:r>
          </w:p>
        </w:tc>
        <w:tc>
          <w:tcPr>
            <w:tcW w:w="2835" w:type="dxa"/>
            <w:vAlign w:val="center"/>
          </w:tcPr>
          <w:p>
            <w:pPr>
              <w:pStyle w:val="16"/>
            </w:pPr>
            <w:r>
              <w:t>在预算范围内支出</w:t>
            </w:r>
          </w:p>
        </w:tc>
        <w:tc>
          <w:tcPr>
            <w:tcW w:w="2551" w:type="dxa"/>
            <w:vAlign w:val="center"/>
          </w:tcPr>
          <w:p>
            <w:pPr>
              <w:pStyle w:val="16"/>
            </w:pPr>
            <w:r>
              <w:t>≤2.93万元</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老干部生活保障率</w:t>
            </w:r>
          </w:p>
        </w:tc>
        <w:tc>
          <w:tcPr>
            <w:tcW w:w="2835" w:type="dxa"/>
            <w:vAlign w:val="center"/>
          </w:tcPr>
          <w:p>
            <w:pPr>
              <w:pStyle w:val="16"/>
            </w:pPr>
            <w:r>
              <w:t>老干部生活保障率</w:t>
            </w:r>
          </w:p>
        </w:tc>
        <w:tc>
          <w:tcPr>
            <w:tcW w:w="2551" w:type="dxa"/>
            <w:vAlign w:val="center"/>
          </w:tcPr>
          <w:p>
            <w:pPr>
              <w:pStyle w:val="16"/>
            </w:pPr>
            <w:r>
              <w:t>≥100%</w:t>
            </w:r>
          </w:p>
        </w:tc>
        <w:tc>
          <w:tcPr>
            <w:tcW w:w="2268" w:type="dxa"/>
            <w:vAlign w:val="center"/>
          </w:tcPr>
          <w:p>
            <w:pPr>
              <w:pStyle w:val="16"/>
            </w:pPr>
            <w:r>
              <w:t>根据工作方案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老干部满意率</w:t>
            </w:r>
          </w:p>
        </w:tc>
        <w:tc>
          <w:tcPr>
            <w:tcW w:w="2835" w:type="dxa"/>
            <w:vAlign w:val="center"/>
          </w:tcPr>
          <w:p>
            <w:pPr>
              <w:pStyle w:val="16"/>
            </w:pPr>
            <w:r>
              <w:t>老干部满意率</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7、离退休干部慰问经费绩效目标表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1.根据徐办发（2018）20号文件《关于进一步加强和改进离退休干部工作实施意见》中指出坚持和完善离退休干部政治待遇各项制度，根据离退休干部特点和需求，创新和改进落实政治待遇的方式方法。</w:t>
            </w:r>
          </w:p>
          <w:p>
            <w:pPr>
              <w:pStyle w:val="16"/>
            </w:pPr>
            <w:r>
              <w:t>2.提高离退休老干部生活待遇。</w:t>
            </w:r>
          </w:p>
          <w:p>
            <w:pPr>
              <w:pStyle w:val="16"/>
            </w:pPr>
            <w:r>
              <w:t>3.该项目12月底支出100%。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慰问离退休干部人数</w:t>
            </w:r>
          </w:p>
        </w:tc>
        <w:tc>
          <w:tcPr>
            <w:tcW w:w="2835" w:type="dxa"/>
            <w:vAlign w:val="center"/>
          </w:tcPr>
          <w:p>
            <w:pPr>
              <w:pStyle w:val="16"/>
            </w:pPr>
            <w:r>
              <w:t>慰问离退休干部人数</w:t>
            </w:r>
          </w:p>
        </w:tc>
        <w:tc>
          <w:tcPr>
            <w:tcW w:w="2551" w:type="dxa"/>
            <w:vAlign w:val="center"/>
          </w:tcPr>
          <w:p>
            <w:pPr>
              <w:pStyle w:val="16"/>
            </w:pPr>
            <w:r>
              <w:t>40人</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慰问品质量合格率</w:t>
            </w:r>
          </w:p>
        </w:tc>
        <w:tc>
          <w:tcPr>
            <w:tcW w:w="2835" w:type="dxa"/>
            <w:vAlign w:val="center"/>
          </w:tcPr>
          <w:p>
            <w:pPr>
              <w:pStyle w:val="16"/>
            </w:pPr>
            <w:r>
              <w:t>慰问品质量合格率</w:t>
            </w:r>
          </w:p>
        </w:tc>
        <w:tc>
          <w:tcPr>
            <w:tcW w:w="2551" w:type="dxa"/>
            <w:vAlign w:val="center"/>
          </w:tcPr>
          <w:p>
            <w:pPr>
              <w:pStyle w:val="16"/>
            </w:pPr>
            <w:r>
              <w:t>100%</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工作按期完成率</w:t>
            </w:r>
          </w:p>
        </w:tc>
        <w:tc>
          <w:tcPr>
            <w:tcW w:w="2835" w:type="dxa"/>
            <w:vAlign w:val="center"/>
          </w:tcPr>
          <w:p>
            <w:pPr>
              <w:pStyle w:val="16"/>
            </w:pPr>
            <w:r>
              <w:t>工作按期完成时间</w:t>
            </w:r>
          </w:p>
        </w:tc>
        <w:tc>
          <w:tcPr>
            <w:tcW w:w="2551" w:type="dxa"/>
            <w:vAlign w:val="center"/>
          </w:tcPr>
          <w:p>
            <w:pPr>
              <w:pStyle w:val="16"/>
            </w:pPr>
            <w:r>
              <w:t>100%</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在预算范围内支出</w:t>
            </w:r>
          </w:p>
        </w:tc>
        <w:tc>
          <w:tcPr>
            <w:tcW w:w="2551" w:type="dxa"/>
            <w:vAlign w:val="center"/>
          </w:tcPr>
          <w:p>
            <w:pPr>
              <w:pStyle w:val="16"/>
            </w:pPr>
            <w:r>
              <w:t>≤7万元</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老干部生活待遇保障率</w:t>
            </w:r>
          </w:p>
        </w:tc>
        <w:tc>
          <w:tcPr>
            <w:tcW w:w="2835" w:type="dxa"/>
            <w:vAlign w:val="center"/>
          </w:tcPr>
          <w:p>
            <w:pPr>
              <w:pStyle w:val="16"/>
            </w:pPr>
            <w:r>
              <w:t>老干部生活待遇保障率</w:t>
            </w:r>
          </w:p>
        </w:tc>
        <w:tc>
          <w:tcPr>
            <w:tcW w:w="2551" w:type="dxa"/>
            <w:vAlign w:val="center"/>
          </w:tcPr>
          <w:p>
            <w:pPr>
              <w:pStyle w:val="16"/>
            </w:pPr>
            <w:r>
              <w:t>≥96%</w:t>
            </w:r>
          </w:p>
        </w:tc>
        <w:tc>
          <w:tcPr>
            <w:tcW w:w="2268" w:type="dxa"/>
            <w:vAlign w:val="center"/>
          </w:tcPr>
          <w:p>
            <w:pPr>
              <w:pStyle w:val="16"/>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老干部满意率</w:t>
            </w:r>
          </w:p>
        </w:tc>
        <w:tc>
          <w:tcPr>
            <w:tcW w:w="2835" w:type="dxa"/>
            <w:vAlign w:val="center"/>
          </w:tcPr>
          <w:p>
            <w:pPr>
              <w:pStyle w:val="16"/>
            </w:pPr>
            <w:r>
              <w:t>老干部满意率</w:t>
            </w:r>
          </w:p>
        </w:tc>
        <w:tc>
          <w:tcPr>
            <w:tcW w:w="2551" w:type="dxa"/>
            <w:vAlign w:val="center"/>
          </w:tcPr>
          <w:p>
            <w:pPr>
              <w:pStyle w:val="16"/>
            </w:pPr>
            <w:r>
              <w:t>≥95%</w:t>
            </w:r>
          </w:p>
        </w:tc>
        <w:tc>
          <w:tcPr>
            <w:tcW w:w="2268" w:type="dxa"/>
            <w:vAlign w:val="center"/>
          </w:tcPr>
          <w:p>
            <w:pPr>
              <w:pStyle w:val="16"/>
            </w:pPr>
            <w:r>
              <w:t>根据调查问卷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2023年，中共保定市徐水区委老干部局安排政府采购预算0.00万元。具体内容见下表。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中共保定市徐水区委老干部局（含所属单位）上年末固定资产金额为253.85万元（详见下表）。本年度拟购置固定资产总额为0.00万元，已按要求列入政府采购预算，详见政府采购预算表。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287中共保定市徐水区委老干部局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253.85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1963</w:t>
            </w:r>
          </w:p>
        </w:tc>
        <w:tc>
          <w:tcPr>
            <w:tcW w:w="2835" w:type="dxa"/>
            <w:vAlign w:val="center"/>
          </w:tcPr>
          <w:p>
            <w:pPr>
              <w:pStyle w:val="15"/>
            </w:pPr>
            <w:r>
              <w:t>216.76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90</w:t>
            </w: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16.29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149</w:t>
            </w:r>
          </w:p>
        </w:tc>
        <w:tc>
          <w:tcPr>
            <w:tcW w:w="2835" w:type="dxa"/>
            <w:vAlign w:val="center"/>
          </w:tcPr>
          <w:p>
            <w:pPr>
              <w:pStyle w:val="15"/>
            </w:pPr>
            <w:r>
              <w:t>20.80</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rPr>
          <w:lang w:eastAsia="zh-CN"/>
        </w:rP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WZmNDE3MDVmY2E3YjhjY2E2MTU4OTE1MzRjZDEifQ=="/>
  </w:docVars>
  <w:rsids>
    <w:rsidRoot w:val="001F348D"/>
    <w:rsid w:val="00177487"/>
    <w:rsid w:val="001F348D"/>
    <w:rsid w:val="002246FA"/>
    <w:rsid w:val="004925C9"/>
    <w:rsid w:val="005822AC"/>
    <w:rsid w:val="005E1EB7"/>
    <w:rsid w:val="007103D5"/>
    <w:rsid w:val="00BB4159"/>
    <w:rsid w:val="00E2235D"/>
    <w:rsid w:val="00F10ED9"/>
    <w:rsid w:val="027D6DF5"/>
    <w:rsid w:val="0CB721CB"/>
    <w:rsid w:val="226C4657"/>
    <w:rsid w:val="26B22DB4"/>
    <w:rsid w:val="3F712397"/>
    <w:rsid w:val="403B10F1"/>
    <w:rsid w:val="41E20B73"/>
    <w:rsid w:val="4BC1549C"/>
    <w:rsid w:val="7799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uiPriority w:val="99"/>
    <w:pPr>
      <w:tabs>
        <w:tab w:val="center" w:pos="4153"/>
        <w:tab w:val="right" w:pos="8306"/>
      </w:tabs>
      <w:snapToGrid w:val="0"/>
    </w:pPr>
    <w:rPr>
      <w:sz w:val="18"/>
      <w:szCs w:val="18"/>
    </w:rPr>
  </w:style>
  <w:style w:type="paragraph" w:styleId="4">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uiPriority w:val="99"/>
    <w:rPr>
      <w:rFonts w:eastAsia="Times New Roman"/>
      <w:sz w:val="18"/>
      <w:szCs w:val="18"/>
      <w:lang w:eastAsia="uk-UA"/>
    </w:rPr>
  </w:style>
  <w:style w:type="character" w:customStyle="1" w:styleId="34">
    <w:name w:val="页脚 Char"/>
    <w:basedOn w:val="10"/>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2023-02-27T10:28:46Z</dcterms:created>
  <dcterms:modified xsi:type="dcterms:W3CDTF">2023-02-27T02:28:46Z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2023-02-27T10:28:50Z</dcterms:created>
  <dcterms:modified xsi:type="dcterms:W3CDTF">2023-02-27T02:28:50Z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2023-02-27T10:28:48Z</dcterms:created>
  <dcterms:modified xsi:type="dcterms:W3CDTF">2023-02-27T02:28:48Z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2023-02-27T10:28:56Z</dcterms:created>
  <dcterms:modified xsi:type="dcterms:W3CDTF">2023-02-27T02:28:56Z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2023-02-27T10:28:48Z</dcterms:created>
  <dcterms:modified xsi:type="dcterms:W3CDTF">2023-02-27T02:28:48Z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2023-02-27T10:28:53Z</dcterms:created>
  <dcterms:modified xsi:type="dcterms:W3CDTF">2023-02-27T02:28:52Z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2023-02-27T10:28:48Z</dcterms:created>
  <dcterms:modified xsi:type="dcterms:W3CDTF">2023-02-27T02:28:48Z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2023-02-27T10:28:49Z</dcterms:created>
  <dcterms:modified xsi:type="dcterms:W3CDTF">2023-02-27T02:28:49Z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2023-02-27T10:28:55Z</dcterms:created>
  <dcterms:modified xsi:type="dcterms:W3CDTF">2023-02-27T02:28:55Z</dcterms:modified>
</cp:coreProperties>
</file>

<file path=customXml/itemProps1.xml><?xml version="1.0" encoding="utf-8"?>
<ds:datastoreItem xmlns:ds="http://schemas.openxmlformats.org/officeDocument/2006/customXml" ds:itemID="{41BF35A6-22E3-425C-8D66-C0F0C3DBD5CD}">
  <ds:schemaRefs/>
</ds:datastoreItem>
</file>

<file path=customXml/itemProps10.xml><?xml version="1.0" encoding="utf-8"?>
<ds:datastoreItem xmlns:ds="http://schemas.openxmlformats.org/officeDocument/2006/customXml" ds:itemID="{9859A4BC-27D4-4E54-A435-B67181007CDA}">
  <ds:schemaRefs/>
</ds:datastoreItem>
</file>

<file path=customXml/itemProps11.xml><?xml version="1.0" encoding="utf-8"?>
<ds:datastoreItem xmlns:ds="http://schemas.openxmlformats.org/officeDocument/2006/customXml" ds:itemID="{492632AD-9118-4CAD-AD30-7C5AEF82E846}">
  <ds:schemaRefs/>
</ds:datastoreItem>
</file>

<file path=customXml/itemProps12.xml><?xml version="1.0" encoding="utf-8"?>
<ds:datastoreItem xmlns:ds="http://schemas.openxmlformats.org/officeDocument/2006/customXml" ds:itemID="{D55D7C63-4D05-4D69-8E93-D618088E9B2B}">
  <ds:schemaRefs/>
</ds:datastoreItem>
</file>

<file path=customXml/itemProps13.xml><?xml version="1.0" encoding="utf-8"?>
<ds:datastoreItem xmlns:ds="http://schemas.openxmlformats.org/officeDocument/2006/customXml" ds:itemID="{35D94F8D-A5C6-4E39-9278-53D034320481}">
  <ds:schemaRefs/>
</ds:datastoreItem>
</file>

<file path=customXml/itemProps14.xml><?xml version="1.0" encoding="utf-8"?>
<ds:datastoreItem xmlns:ds="http://schemas.openxmlformats.org/officeDocument/2006/customXml" ds:itemID="{E2555C8C-4EC6-4787-98C3-5587ABD127CB}">
  <ds:schemaRefs/>
</ds:datastoreItem>
</file>

<file path=customXml/itemProps15.xml><?xml version="1.0" encoding="utf-8"?>
<ds:datastoreItem xmlns:ds="http://schemas.openxmlformats.org/officeDocument/2006/customXml" ds:itemID="{E3041C19-2642-4246-816E-799C9BDAC638}">
  <ds:schemaRefs/>
</ds:datastoreItem>
</file>

<file path=customXml/itemProps16.xml><?xml version="1.0" encoding="utf-8"?>
<ds:datastoreItem xmlns:ds="http://schemas.openxmlformats.org/officeDocument/2006/customXml" ds:itemID="{46FB2326-C92C-45B7-A974-678AAC66C4CC}">
  <ds:schemaRefs/>
</ds:datastoreItem>
</file>

<file path=customXml/itemProps17.xml><?xml version="1.0" encoding="utf-8"?>
<ds:datastoreItem xmlns:ds="http://schemas.openxmlformats.org/officeDocument/2006/customXml" ds:itemID="{7EF331F0-85F5-4C32-9124-E15C6E941734}">
  <ds:schemaRefs/>
</ds:datastoreItem>
</file>

<file path=customXml/itemProps18.xml><?xml version="1.0" encoding="utf-8"?>
<ds:datastoreItem xmlns:ds="http://schemas.openxmlformats.org/officeDocument/2006/customXml" ds:itemID="{3BC7C6D7-97A5-42AF-A1CD-E1A66B976144}">
  <ds:schemaRefs/>
</ds:datastoreItem>
</file>

<file path=customXml/itemProps19.xml><?xml version="1.0" encoding="utf-8"?>
<ds:datastoreItem xmlns:ds="http://schemas.openxmlformats.org/officeDocument/2006/customXml" ds:itemID="{E8A80BCA-88E4-46DD-874E-9F56927C7162}">
  <ds:schemaRefs/>
</ds:datastoreItem>
</file>

<file path=customXml/itemProps2.xml><?xml version="1.0" encoding="utf-8"?>
<ds:datastoreItem xmlns:ds="http://schemas.openxmlformats.org/officeDocument/2006/customXml" ds:itemID="{987FA6CA-69AB-4CA6-A636-614B0F6331CC}">
  <ds:schemaRefs/>
</ds:datastoreItem>
</file>

<file path=customXml/itemProps20.xml><?xml version="1.0" encoding="utf-8"?>
<ds:datastoreItem xmlns:ds="http://schemas.openxmlformats.org/officeDocument/2006/customXml" ds:itemID="{B224E4EF-62BC-4BDA-A461-38236591D760}">
  <ds:schemaRefs/>
</ds:datastoreItem>
</file>

<file path=customXml/itemProps21.xml><?xml version="1.0" encoding="utf-8"?>
<ds:datastoreItem xmlns:ds="http://schemas.openxmlformats.org/officeDocument/2006/customXml" ds:itemID="{39B2330E-EFE8-47E6-ADE3-6430A38BA485}">
  <ds:schemaRefs/>
</ds:datastoreItem>
</file>

<file path=customXml/itemProps22.xml><?xml version="1.0" encoding="utf-8"?>
<ds:datastoreItem xmlns:ds="http://schemas.openxmlformats.org/officeDocument/2006/customXml" ds:itemID="{A4650B7F-431F-431C-B7FE-F0840609CEF5}">
  <ds:schemaRefs/>
</ds:datastoreItem>
</file>

<file path=customXml/itemProps23.xml><?xml version="1.0" encoding="utf-8"?>
<ds:datastoreItem xmlns:ds="http://schemas.openxmlformats.org/officeDocument/2006/customXml" ds:itemID="{1B94A083-5135-4A42-8556-7D6037CAFF23}">
  <ds:schemaRefs/>
</ds:datastoreItem>
</file>

<file path=customXml/itemProps24.xml><?xml version="1.0" encoding="utf-8"?>
<ds:datastoreItem xmlns:ds="http://schemas.openxmlformats.org/officeDocument/2006/customXml" ds:itemID="{91F29C2A-EE02-4689-8886-C0F5ED4A377D}">
  <ds:schemaRefs/>
</ds:datastoreItem>
</file>

<file path=customXml/itemProps25.xml><?xml version="1.0" encoding="utf-8"?>
<ds:datastoreItem xmlns:ds="http://schemas.openxmlformats.org/officeDocument/2006/customXml" ds:itemID="{E8E2EAA2-9BFD-4ADD-AAE2-DE4256F0C1F0}">
  <ds:schemaRefs/>
</ds:datastoreItem>
</file>

<file path=customXml/itemProps26.xml><?xml version="1.0" encoding="utf-8"?>
<ds:datastoreItem xmlns:ds="http://schemas.openxmlformats.org/officeDocument/2006/customXml" ds:itemID="{5AA24021-CA58-4420-BED4-D95A9BDFE729}">
  <ds:schemaRefs/>
</ds:datastoreItem>
</file>

<file path=customXml/itemProps27.xml><?xml version="1.0" encoding="utf-8"?>
<ds:datastoreItem xmlns:ds="http://schemas.openxmlformats.org/officeDocument/2006/customXml" ds:itemID="{463202A5-67E9-4BF2-B74D-6584CDEC239C}">
  <ds:schemaRefs/>
</ds:datastoreItem>
</file>

<file path=customXml/itemProps28.xml><?xml version="1.0" encoding="utf-8"?>
<ds:datastoreItem xmlns:ds="http://schemas.openxmlformats.org/officeDocument/2006/customXml" ds:itemID="{ECC42F46-2241-4E56-8476-F1057D52B913}">
  <ds:schemaRefs/>
</ds:datastoreItem>
</file>

<file path=customXml/itemProps29.xml><?xml version="1.0" encoding="utf-8"?>
<ds:datastoreItem xmlns:ds="http://schemas.openxmlformats.org/officeDocument/2006/customXml" ds:itemID="{E4BDA697-6516-4EE0-B814-5FF23E8578B4}">
  <ds:schemaRefs/>
</ds:datastoreItem>
</file>

<file path=customXml/itemProps3.xml><?xml version="1.0" encoding="utf-8"?>
<ds:datastoreItem xmlns:ds="http://schemas.openxmlformats.org/officeDocument/2006/customXml" ds:itemID="{6A63EFAA-B50B-49C0-9A5A-C1E00F97C3A1}">
  <ds:schemaRefs/>
</ds:datastoreItem>
</file>

<file path=customXml/itemProps30.xml><?xml version="1.0" encoding="utf-8"?>
<ds:datastoreItem xmlns:ds="http://schemas.openxmlformats.org/officeDocument/2006/customXml" ds:itemID="{058C164B-681B-4E7D-994C-7AA517DC6E4E}">
  <ds:schemaRefs/>
</ds:datastoreItem>
</file>

<file path=customXml/itemProps31.xml><?xml version="1.0" encoding="utf-8"?>
<ds:datastoreItem xmlns:ds="http://schemas.openxmlformats.org/officeDocument/2006/customXml" ds:itemID="{422E223A-7082-4C7E-A451-E0F403ED1337}">
  <ds:schemaRefs/>
</ds:datastoreItem>
</file>

<file path=customXml/itemProps32.xml><?xml version="1.0" encoding="utf-8"?>
<ds:datastoreItem xmlns:ds="http://schemas.openxmlformats.org/officeDocument/2006/customXml" ds:itemID="{DFA5CB2C-0101-48E1-8FA7-95EB91FB5526}">
  <ds:schemaRefs/>
</ds:datastoreItem>
</file>

<file path=customXml/itemProps33.xml><?xml version="1.0" encoding="utf-8"?>
<ds:datastoreItem xmlns:ds="http://schemas.openxmlformats.org/officeDocument/2006/customXml" ds:itemID="{9B9BE102-F64A-4785-9084-0120618A7674}">
  <ds:schemaRefs/>
</ds:datastoreItem>
</file>

<file path=customXml/itemProps34.xml><?xml version="1.0" encoding="utf-8"?>
<ds:datastoreItem xmlns:ds="http://schemas.openxmlformats.org/officeDocument/2006/customXml" ds:itemID="{BE2DF51B-1560-44F7-9129-4C62767A84AE}">
  <ds:schemaRefs/>
</ds:datastoreItem>
</file>

<file path=customXml/itemProps35.xml><?xml version="1.0" encoding="utf-8"?>
<ds:datastoreItem xmlns:ds="http://schemas.openxmlformats.org/officeDocument/2006/customXml" ds:itemID="{884463F2-C18C-426E-915C-3FBF95514BBC}">
  <ds:schemaRefs/>
</ds:datastoreItem>
</file>

<file path=customXml/itemProps36.xml><?xml version="1.0" encoding="utf-8"?>
<ds:datastoreItem xmlns:ds="http://schemas.openxmlformats.org/officeDocument/2006/customXml" ds:itemID="{A32B6CCC-D234-4EC8-8C45-B0404D354D63}">
  <ds:schemaRefs/>
</ds:datastoreItem>
</file>

<file path=customXml/itemProps37.xml><?xml version="1.0" encoding="utf-8"?>
<ds:datastoreItem xmlns:ds="http://schemas.openxmlformats.org/officeDocument/2006/customXml" ds:itemID="{14E55965-81AB-4653-84F3-02EEDEC5F415}">
  <ds:schemaRefs/>
</ds:datastoreItem>
</file>

<file path=customXml/itemProps38.xml><?xml version="1.0" encoding="utf-8"?>
<ds:datastoreItem xmlns:ds="http://schemas.openxmlformats.org/officeDocument/2006/customXml" ds:itemID="{BD3B385F-B710-4B58-9FAD-3E95F526858C}">
  <ds:schemaRefs/>
</ds:datastoreItem>
</file>

<file path=customXml/itemProps4.xml><?xml version="1.0" encoding="utf-8"?>
<ds:datastoreItem xmlns:ds="http://schemas.openxmlformats.org/officeDocument/2006/customXml" ds:itemID="{79B315F6-D61A-498E-A51A-EAD46090C1FA}">
  <ds:schemaRefs/>
</ds:datastoreItem>
</file>

<file path=customXml/itemProps5.xml><?xml version="1.0" encoding="utf-8"?>
<ds:datastoreItem xmlns:ds="http://schemas.openxmlformats.org/officeDocument/2006/customXml" ds:itemID="{FC5C1341-737A-41C4-9DCF-714952C3E740}">
  <ds:schemaRefs/>
</ds:datastoreItem>
</file>

<file path=customXml/itemProps6.xml><?xml version="1.0" encoding="utf-8"?>
<ds:datastoreItem xmlns:ds="http://schemas.openxmlformats.org/officeDocument/2006/customXml" ds:itemID="{78EA38FC-8211-4F90-BA11-BD9FBAD854B5}">
  <ds:schemaRefs/>
</ds:datastoreItem>
</file>

<file path=customXml/itemProps7.xml><?xml version="1.0" encoding="utf-8"?>
<ds:datastoreItem xmlns:ds="http://schemas.openxmlformats.org/officeDocument/2006/customXml" ds:itemID="{012ACDC3-C3B8-4F03-B2B4-4C48769F08C8}">
  <ds:schemaRefs/>
</ds:datastoreItem>
</file>

<file path=customXml/itemProps8.xml><?xml version="1.0" encoding="utf-8"?>
<ds:datastoreItem xmlns:ds="http://schemas.openxmlformats.org/officeDocument/2006/customXml" ds:itemID="{729B6BFD-73DE-4751-A203-CD3B4F580881}">
  <ds:schemaRefs/>
</ds:datastoreItem>
</file>

<file path=customXml/itemProps9.xml><?xml version="1.0" encoding="utf-8"?>
<ds:datastoreItem xmlns:ds="http://schemas.openxmlformats.org/officeDocument/2006/customXml" ds:itemID="{1978462A-8D10-4534-86DC-C19C01C2CE24}">
  <ds:schemaRefs/>
</ds:datastoreItem>
</file>

<file path=docProps/app.xml><?xml version="1.0" encoding="utf-8"?>
<Properties xmlns="http://schemas.openxmlformats.org/officeDocument/2006/extended-properties" xmlns:vt="http://schemas.openxmlformats.org/officeDocument/2006/docPropsVTypes">
  <Template>Normal</Template>
  <Pages>36</Pages>
  <Words>2054</Words>
  <Characters>11708</Characters>
  <Lines>97</Lines>
  <Paragraphs>27</Paragraphs>
  <TotalTime>18</TotalTime>
  <ScaleCrop>false</ScaleCrop>
  <LinksUpToDate>false</LinksUpToDate>
  <CharactersWithSpaces>13735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2023-02-27T02:34:00Z</dcterms:created>
  <dc:creator>Lenovo</dc:creator>
  <cp:lastModifiedBy>admin</cp:lastModifiedBy>
  <dcterms:modified xsi:type="dcterms:W3CDTF">2023-11-14T02:56:38Z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681B8DE79D2F44159960EBD1DB3A9825_13</vt:lpwstr>
  </property>
</Properties>
</file>