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第一部分  徐水区科协部门</w:t>
      </w:r>
      <w:r>
        <w:rPr>
          <w:b/>
          <w:sz w:val="44"/>
          <w:szCs w:val="44"/>
        </w:rPr>
        <w:t>概况</w:t>
      </w: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1、开展学术交流，活跃学术思想，促进学科发展和知识创新。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2、普及科学知识，传播科学思想和科学方法，推广先进技术，开展青少年科学技术教育普及活动。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3、维护科学技术工作者的合法权益。反映科学技术工作者的意见和要求，组织科学技术工作者参与科技政策、有关地方性法规的拟定和国家事务的政治协商、科学决策、民主监督工作。组织实施科学技术普及法，完善建设“科技工作者之家”的各项举措，全心全意为科技工作服务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4、表彰奖励优秀科学技术工作者，举荐人才。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5、开展科学论证、科技咨询服务工作，提出政策建议，促进科学技术成果的转化和技术创新。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6、开展科技交流活动，发展科学技术团体和科学技术工作者的友好交往。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7、开展科技工作者的继续教育和培训工作。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8、负责指导本区各乡镇科协，企业科协及所主管的有关学会和科技类社会团体工作。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9、参与指导全区的反邪教工作，积极组织全区科协系统开展反对伪科学、反科学活动。</w:t>
      </w:r>
    </w:p>
    <w:p>
      <w:pPr>
        <w:spacing w:line="360" w:lineRule="auto"/>
        <w:ind w:firstLine="560" w:firstLineChars="200"/>
        <w:rPr>
          <w:rFonts w:cs="Times New Roman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sz w:val="28"/>
          <w:szCs w:val="28"/>
        </w:rPr>
        <w:t>10、承担区委、区政府交办的有关事宜。</w:t>
      </w:r>
    </w:p>
    <w:p>
      <w:pPr>
        <w:ind w:firstLine="560" w:firstLineChars="200"/>
        <w:jc w:val="left"/>
        <w:rPr>
          <w:snapToGrid w:val="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</w:t>
      </w:r>
      <w:r>
        <w:rPr>
          <w:snapToGrid w:val="0"/>
          <w:kern w:val="0"/>
          <w:sz w:val="28"/>
          <w:szCs w:val="28"/>
        </w:rPr>
        <w:t>部门独立核算</w:t>
      </w:r>
      <w:r>
        <w:rPr>
          <w:rFonts w:hint="eastAsia"/>
          <w:snapToGrid w:val="0"/>
          <w:kern w:val="0"/>
          <w:sz w:val="28"/>
          <w:szCs w:val="28"/>
        </w:rPr>
        <w:t>机构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1个</w:t>
      </w:r>
      <w:r>
        <w:rPr>
          <w:snapToGrid w:val="0"/>
          <w:kern w:val="0"/>
          <w:sz w:val="28"/>
          <w:szCs w:val="28"/>
        </w:rPr>
        <w:t>，年末</w:t>
      </w:r>
      <w:r>
        <w:rPr>
          <w:rFonts w:hint="eastAsia"/>
          <w:snapToGrid w:val="0"/>
          <w:kern w:val="0"/>
          <w:sz w:val="28"/>
          <w:szCs w:val="28"/>
        </w:rPr>
        <w:t>实</w:t>
      </w:r>
      <w:r>
        <w:rPr>
          <w:snapToGrid w:val="0"/>
          <w:kern w:val="0"/>
          <w:sz w:val="28"/>
          <w:szCs w:val="28"/>
        </w:rPr>
        <w:t xml:space="preserve">有人数 </w:t>
      </w:r>
      <w:r>
        <w:rPr>
          <w:rFonts w:hint="eastAsia"/>
          <w:snapToGrid w:val="0"/>
          <w:kern w:val="0"/>
          <w:sz w:val="28"/>
          <w:szCs w:val="28"/>
        </w:rPr>
        <w:t>19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其中</w:t>
      </w:r>
      <w:r>
        <w:rPr>
          <w:snapToGrid w:val="0"/>
          <w:kern w:val="0"/>
          <w:sz w:val="28"/>
          <w:szCs w:val="28"/>
        </w:rPr>
        <w:t xml:space="preserve">在职人员  </w:t>
      </w:r>
      <w:r>
        <w:rPr>
          <w:rFonts w:hint="eastAsia"/>
          <w:snapToGrid w:val="0"/>
          <w:kern w:val="0"/>
          <w:sz w:val="28"/>
          <w:szCs w:val="28"/>
        </w:rPr>
        <w:t>7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 xml:space="preserve">，离休人员  </w:t>
      </w: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 xml:space="preserve">，退休人员  </w:t>
      </w:r>
      <w:r>
        <w:rPr>
          <w:rFonts w:hint="eastAsia"/>
          <w:snapToGrid w:val="0"/>
          <w:kern w:val="0"/>
          <w:sz w:val="28"/>
          <w:szCs w:val="28"/>
        </w:rPr>
        <w:t>10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科协设</w:t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个职能股室，即综合股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  徐水区科协2016年</w:t>
      </w:r>
      <w:r>
        <w:rPr>
          <w:b/>
          <w:sz w:val="44"/>
          <w:szCs w:val="44"/>
        </w:rPr>
        <w:t>部门决算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>情况说明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本部门2016年本</w:t>
      </w:r>
      <w:r>
        <w:rPr>
          <w:snapToGrid w:val="0"/>
          <w:kern w:val="0"/>
          <w:sz w:val="28"/>
          <w:szCs w:val="28"/>
        </w:rPr>
        <w:t>年收入总计</w:t>
      </w:r>
      <w:r>
        <w:rPr>
          <w:rFonts w:hint="eastAsia"/>
          <w:snapToGrid w:val="0"/>
          <w:kern w:val="0"/>
          <w:sz w:val="28"/>
          <w:szCs w:val="28"/>
        </w:rPr>
        <w:t xml:space="preserve"> 162.17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 xml:space="preserve">37.32 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>收 44.07  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</w:t>
      </w:r>
      <w:r>
        <w:rPr>
          <w:rFonts w:hint="eastAsia"/>
          <w:snapToGrid w:val="0"/>
          <w:kern w:val="0"/>
          <w:sz w:val="28"/>
          <w:szCs w:val="28"/>
        </w:rPr>
        <w:t xml:space="preserve"> 171.63 万</w:t>
      </w:r>
      <w:r>
        <w:rPr>
          <w:snapToGrid w:val="0"/>
          <w:kern w:val="0"/>
          <w:sz w:val="28"/>
          <w:szCs w:val="28"/>
        </w:rPr>
        <w:t>元，较上年增长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22.98 </w:t>
      </w:r>
      <w:r>
        <w:rPr>
          <w:snapToGrid w:val="0"/>
          <w:kern w:val="0"/>
          <w:sz w:val="28"/>
          <w:szCs w:val="28"/>
        </w:rPr>
        <w:t>%，增支</w:t>
      </w:r>
      <w:r>
        <w:rPr>
          <w:rFonts w:hint="eastAsia"/>
          <w:snapToGrid w:val="0"/>
          <w:kern w:val="0"/>
          <w:sz w:val="28"/>
          <w:szCs w:val="28"/>
        </w:rPr>
        <w:t>32.07万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</w:t>
      </w:r>
      <w:r>
        <w:rPr>
          <w:rFonts w:hint="eastAsia"/>
          <w:snapToGrid w:val="0"/>
          <w:kern w:val="0"/>
          <w:sz w:val="28"/>
          <w:szCs w:val="28"/>
        </w:rPr>
        <w:t xml:space="preserve"> 0.02 万</w:t>
      </w:r>
      <w:r>
        <w:rPr>
          <w:snapToGrid w:val="0"/>
          <w:kern w:val="0"/>
          <w:sz w:val="28"/>
          <w:szCs w:val="28"/>
        </w:rPr>
        <w:t>元。</w:t>
      </w:r>
      <w:r>
        <w:rPr>
          <w:rFonts w:hint="eastAsia"/>
          <w:snapToGrid w:val="0"/>
          <w:kern w:val="0"/>
          <w:sz w:val="28"/>
          <w:szCs w:val="28"/>
        </w:rPr>
        <w:t>原因：工资和津贴调标，增加人员经费支出。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</w:t>
      </w:r>
      <w:r>
        <w:rPr>
          <w:rFonts w:hint="eastAsia"/>
          <w:snapToGrid w:val="0"/>
          <w:kern w:val="0"/>
          <w:sz w:val="28"/>
          <w:szCs w:val="28"/>
        </w:rPr>
        <w:t>162.17万元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   162.15万元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</w:t>
      </w:r>
      <w:r>
        <w:rPr>
          <w:rFonts w:hint="eastAsia"/>
          <w:snapToGrid w:val="0"/>
          <w:kern w:val="0"/>
          <w:sz w:val="28"/>
          <w:szCs w:val="28"/>
        </w:rPr>
        <w:t xml:space="preserve">37.31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44.06    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 xml:space="preserve"> 是调整工资和津贴标准，增加了人员经费支出 ；上</w:t>
      </w:r>
      <w:r>
        <w:rPr>
          <w:snapToGrid w:val="0"/>
          <w:kern w:val="0"/>
          <w:sz w:val="28"/>
          <w:szCs w:val="28"/>
        </w:rPr>
        <w:t>级补助收入</w:t>
      </w:r>
      <w:r>
        <w:rPr>
          <w:rFonts w:hint="eastAsia"/>
          <w:snapToGrid w:val="0"/>
          <w:kern w:val="0"/>
          <w:sz w:val="28"/>
          <w:szCs w:val="28"/>
        </w:rPr>
        <w:t xml:space="preserve"> 0   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0  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  万元   ； 事业</w:t>
      </w:r>
      <w:r>
        <w:rPr>
          <w:snapToGrid w:val="0"/>
          <w:kern w:val="0"/>
          <w:sz w:val="28"/>
          <w:szCs w:val="28"/>
        </w:rPr>
        <w:t>收入</w:t>
      </w:r>
      <w:r>
        <w:rPr>
          <w:rFonts w:hint="eastAsia"/>
          <w:snapToGrid w:val="0"/>
          <w:kern w:val="0"/>
          <w:sz w:val="28"/>
          <w:szCs w:val="28"/>
        </w:rPr>
        <w:t xml:space="preserve">  0万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0 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0万元；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</w:rPr>
        <w:t>0.02万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较上年增长</w:t>
      </w:r>
      <w:r>
        <w:rPr>
          <w:rFonts w:hint="eastAsia"/>
          <w:snapToGrid w:val="0"/>
          <w:kern w:val="0"/>
          <w:sz w:val="28"/>
          <w:szCs w:val="28"/>
        </w:rPr>
        <w:t xml:space="preserve">100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>0.02万元，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 xml:space="preserve"> 是银行存款利息收入。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度支出总计</w:t>
      </w:r>
      <w:r>
        <w:rPr>
          <w:rFonts w:hint="eastAsia"/>
          <w:snapToGrid w:val="0"/>
          <w:kern w:val="0"/>
          <w:sz w:val="28"/>
          <w:szCs w:val="28"/>
        </w:rPr>
        <w:t>171.63万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 xml:space="preserve"> 167.63万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</w:t>
      </w:r>
      <w:r>
        <w:rPr>
          <w:rFonts w:hint="eastAsia"/>
          <w:snapToGrid w:val="0"/>
          <w:kern w:val="0"/>
          <w:sz w:val="28"/>
          <w:szCs w:val="28"/>
        </w:rPr>
        <w:t>97.67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4万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 xml:space="preserve">2.33 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 xml:space="preserve">计 </w:t>
      </w:r>
      <w:r>
        <w:rPr>
          <w:rFonts w:hint="eastAsia"/>
          <w:snapToGrid w:val="0"/>
          <w:kern w:val="0"/>
          <w:sz w:val="28"/>
          <w:szCs w:val="28"/>
        </w:rPr>
        <w:t>162.15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 xml:space="preserve">元，较上年增长 </w:t>
      </w:r>
      <w:r>
        <w:rPr>
          <w:rFonts w:hint="eastAsia"/>
          <w:snapToGrid w:val="0"/>
          <w:kern w:val="0"/>
          <w:sz w:val="28"/>
          <w:szCs w:val="28"/>
        </w:rPr>
        <w:t>37.31</w:t>
      </w:r>
      <w:r>
        <w:rPr>
          <w:snapToGrid w:val="0"/>
          <w:kern w:val="0"/>
          <w:sz w:val="28"/>
          <w:szCs w:val="28"/>
        </w:rPr>
        <w:t xml:space="preserve"> %，增收 </w:t>
      </w:r>
      <w:r>
        <w:rPr>
          <w:rFonts w:hint="eastAsia"/>
          <w:snapToGrid w:val="0"/>
          <w:kern w:val="0"/>
          <w:sz w:val="28"/>
          <w:szCs w:val="28"/>
        </w:rPr>
        <w:t>44.07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</w:t>
      </w:r>
      <w:r>
        <w:rPr>
          <w:rFonts w:hint="eastAsia"/>
          <w:snapToGrid w:val="0"/>
          <w:kern w:val="0"/>
          <w:sz w:val="28"/>
          <w:szCs w:val="28"/>
        </w:rPr>
        <w:t xml:space="preserve"> 171.63万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长</w:t>
      </w:r>
      <w:r>
        <w:rPr>
          <w:rFonts w:hint="eastAsia"/>
          <w:snapToGrid w:val="0"/>
          <w:kern w:val="0"/>
          <w:sz w:val="28"/>
          <w:szCs w:val="28"/>
        </w:rPr>
        <w:t>22.98</w:t>
      </w:r>
      <w:r>
        <w:rPr>
          <w:snapToGrid w:val="0"/>
          <w:kern w:val="0"/>
          <w:sz w:val="28"/>
          <w:szCs w:val="28"/>
        </w:rPr>
        <w:t xml:space="preserve"> %，增支 </w:t>
      </w:r>
      <w:r>
        <w:rPr>
          <w:rFonts w:hint="eastAsia"/>
          <w:snapToGrid w:val="0"/>
          <w:kern w:val="0"/>
          <w:sz w:val="28"/>
          <w:szCs w:val="28"/>
        </w:rPr>
        <w:t>32.07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>0.02  万</w:t>
      </w:r>
      <w:r>
        <w:rPr>
          <w:snapToGrid w:val="0"/>
          <w:kern w:val="0"/>
          <w:sz w:val="28"/>
          <w:szCs w:val="28"/>
        </w:rPr>
        <w:t>元。</w:t>
      </w:r>
      <w:r>
        <w:rPr>
          <w:rFonts w:hint="eastAsia"/>
          <w:snapToGrid w:val="0"/>
          <w:kern w:val="0"/>
          <w:sz w:val="28"/>
          <w:szCs w:val="28"/>
        </w:rPr>
        <w:t>主要原因是： 2016年调整工资和津贴标准，增加了人员经费支出。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2016年财政拨款支出年初预算数为139.88万元，本年支出决算数为171.63万元，占年初预算数的122.7%，主要原因：工资和津贴调标，增加人员经费支出。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2016</w:t>
      </w:r>
      <w:r>
        <w:rPr>
          <w:rFonts w:hint="eastAsia"/>
          <w:snapToGrid w:val="0"/>
          <w:kern w:val="0"/>
          <w:sz w:val="28"/>
          <w:szCs w:val="28"/>
        </w:rPr>
        <w:t>年，在做好各项工作的前提下，节省各项开支，尤其严格控制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经费的支出，全年一般公共预算财政拨款</w:t>
      </w:r>
      <w:r>
        <w:rPr>
          <w:snapToGrid w:val="0"/>
          <w:kern w:val="0"/>
          <w:sz w:val="28"/>
          <w:szCs w:val="28"/>
        </w:rPr>
        <w:t>“</w:t>
      </w:r>
      <w:r>
        <w:rPr>
          <w:rFonts w:hint="eastAsia"/>
          <w:snapToGrid w:val="0"/>
          <w:kern w:val="0"/>
          <w:sz w:val="28"/>
          <w:szCs w:val="28"/>
        </w:rPr>
        <w:t>三公</w:t>
      </w:r>
      <w:r>
        <w:rPr>
          <w:snapToGrid w:val="0"/>
          <w:kern w:val="0"/>
          <w:sz w:val="28"/>
          <w:szCs w:val="28"/>
        </w:rPr>
        <w:t>”</w:t>
      </w:r>
      <w:r>
        <w:rPr>
          <w:rFonts w:hint="eastAsia"/>
          <w:snapToGrid w:val="0"/>
          <w:kern w:val="0"/>
          <w:sz w:val="28"/>
          <w:szCs w:val="28"/>
        </w:rPr>
        <w:t>经费支出合计</w:t>
      </w:r>
      <w:r>
        <w:rPr>
          <w:snapToGrid w:val="0"/>
          <w:kern w:val="0"/>
          <w:sz w:val="28"/>
          <w:szCs w:val="28"/>
        </w:rPr>
        <w:t>2.15</w:t>
      </w:r>
      <w:r>
        <w:rPr>
          <w:rFonts w:hint="eastAsia"/>
          <w:snapToGrid w:val="0"/>
          <w:kern w:val="0"/>
          <w:sz w:val="28"/>
          <w:szCs w:val="28"/>
        </w:rPr>
        <w:t>万元，较</w:t>
      </w:r>
      <w:r>
        <w:rPr>
          <w:snapToGrid w:val="0"/>
          <w:kern w:val="0"/>
          <w:sz w:val="28"/>
          <w:szCs w:val="28"/>
        </w:rPr>
        <w:t>2015</w:t>
      </w:r>
      <w:r>
        <w:rPr>
          <w:rFonts w:hint="eastAsia"/>
          <w:snapToGrid w:val="0"/>
          <w:kern w:val="0"/>
          <w:sz w:val="28"/>
          <w:szCs w:val="28"/>
        </w:rPr>
        <w:t>年减少</w:t>
      </w:r>
      <w:r>
        <w:rPr>
          <w:snapToGrid w:val="0"/>
          <w:kern w:val="0"/>
          <w:sz w:val="28"/>
          <w:szCs w:val="28"/>
        </w:rPr>
        <w:t>1.39</w:t>
      </w:r>
      <w:r>
        <w:rPr>
          <w:rFonts w:hint="eastAsia"/>
          <w:snapToGrid w:val="0"/>
          <w:kern w:val="0"/>
          <w:sz w:val="28"/>
          <w:szCs w:val="28"/>
        </w:rPr>
        <w:t>万元，减少</w:t>
      </w:r>
      <w:r>
        <w:rPr>
          <w:snapToGrid w:val="0"/>
          <w:kern w:val="0"/>
          <w:sz w:val="28"/>
          <w:szCs w:val="28"/>
        </w:rPr>
        <w:t>39.25%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1、本部门2016年因公出国（境）费本年支出0万元，较预算压减0万元，增加0%，较2015年增加0万元，增加0 %。主要原因：无出国出境安排。因公出国（境）团组                                                                    0个，因公出国（境）人次数0人。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2.15</w:t>
      </w:r>
      <w:r>
        <w:rPr>
          <w:rFonts w:hint="eastAsia"/>
          <w:snapToGrid w:val="0"/>
          <w:kern w:val="0"/>
          <w:sz w:val="28"/>
          <w:szCs w:val="28"/>
        </w:rPr>
        <w:t>万元。（2016年度未购置公务用车，年末公务用车保有量</w:t>
      </w: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辆。）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公务用车购置费本年支出0万元；较预算压减0万元，减少0%；较2015年增加0万元，增加0%。主要原因：无公务用车购置。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公务用车运行维护费本年支出2.15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；较预算压减1.08万元，减少33.44%；较2015年减少1.39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万元，减少39.25%。主要原因是因执行中央八项规定节俭经费开支，压减车辆经费支出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2016年公务接待费全年支出0 万元，较预算压减0万元，减少0%；较2015年增加0 万元，增加0%。 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国内公务接待批次  0  个，国内公务接待人次0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人；国外公务接待批次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个，国外公务接待人次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科普宣传活动项目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 xml:space="preserve">  4  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 xml:space="preserve">  4 万元</w:t>
      </w:r>
      <w:r>
        <w:rPr>
          <w:snapToGrid w:val="0"/>
          <w:kern w:val="0"/>
          <w:sz w:val="28"/>
          <w:szCs w:val="28"/>
        </w:rPr>
        <w:t>。取得了</w:t>
      </w:r>
      <w:r>
        <w:rPr>
          <w:rFonts w:hint="eastAsia"/>
          <w:snapToGrid w:val="0"/>
          <w:kern w:val="0"/>
          <w:sz w:val="28"/>
          <w:szCs w:val="28"/>
        </w:rPr>
        <w:t>较好的</w:t>
      </w:r>
      <w:r>
        <w:rPr>
          <w:snapToGrid w:val="0"/>
          <w:kern w:val="0"/>
          <w:sz w:val="28"/>
          <w:szCs w:val="28"/>
        </w:rPr>
        <w:t>成果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>
      <w:pPr>
        <w:pStyle w:val="7"/>
        <w:adjustRightInd w:val="0"/>
        <w:snapToGrid w:val="0"/>
        <w:spacing w:line="600" w:lineRule="exact"/>
        <w:ind w:left="210" w:leftChars="10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90.64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万元，比201</w:t>
      </w:r>
      <w:r>
        <w:rPr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年增加）5.99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万元，增长7.08</w:t>
      </w:r>
      <w:r>
        <w:rPr>
          <w:snapToGrid w:val="0"/>
          <w:kern w:val="0"/>
          <w:sz w:val="28"/>
          <w:szCs w:val="28"/>
        </w:rPr>
        <w:t xml:space="preserve">    </w:t>
      </w:r>
      <w:r>
        <w:rPr>
          <w:rFonts w:hint="eastAsia"/>
          <w:snapToGrid w:val="0"/>
          <w:kern w:val="0"/>
          <w:sz w:val="28"/>
          <w:szCs w:val="28"/>
        </w:rPr>
        <w:t>%。主要原因是：调整工资和津贴标准，增加了人员经费支出 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2016年政府采购预算总额为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预算数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separate"/>
      </w:r>
      <w:r>
        <w:rPr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万元，主要包括政府采购货物 </w:t>
      </w:r>
      <w:r>
        <w:rPr>
          <w:snapToGrid w:val="0"/>
          <w:kern w:val="0"/>
          <w:sz w:val="28"/>
          <w:szCs w:val="28"/>
        </w:rPr>
        <w:fldChar w:fldCharType="begin"/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rFonts w:hint="eastAsia"/>
          <w:snapToGrid w:val="0"/>
          <w:kern w:val="0"/>
          <w:sz w:val="28"/>
          <w:szCs w:val="28"/>
        </w:rPr>
        <w:instrText xml:space="preserve">MERGEFIELD 货物_采购计划金额总计</w:instrText>
      </w:r>
      <w:r>
        <w:rPr>
          <w:snapToGrid w:val="0"/>
          <w:kern w:val="0"/>
          <w:sz w:val="28"/>
          <w:szCs w:val="28"/>
        </w:rPr>
        <w:instrText xml:space="preserve"> </w:instrText>
      </w:r>
      <w:r>
        <w:rPr>
          <w:snapToGrid w:val="0"/>
          <w:kern w:val="0"/>
          <w:sz w:val="28"/>
          <w:szCs w:val="28"/>
        </w:rPr>
        <w:fldChar w:fldCharType="end"/>
      </w:r>
      <w:r>
        <w:rPr>
          <w:rFonts w:hint="eastAsia"/>
          <w:snapToGrid w:val="0"/>
          <w:kern w:val="0"/>
          <w:sz w:val="28"/>
          <w:szCs w:val="28"/>
        </w:rPr>
        <w:t xml:space="preserve">   万元，工程 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万元及服务</w:t>
      </w:r>
      <w:r>
        <w:rPr>
          <w:snapToGrid w:val="0"/>
          <w:kern w:val="0"/>
          <w:sz w:val="28"/>
          <w:szCs w:val="28"/>
        </w:rPr>
        <w:t>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年本部门政府采购支出总额0</w:t>
      </w:r>
      <w:r>
        <w:rPr>
          <w:snapToGrid w:val="0"/>
          <w:kern w:val="0"/>
          <w:sz w:val="28"/>
          <w:szCs w:val="28"/>
        </w:rPr>
        <w:t xml:space="preserve">    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截</w:t>
      </w:r>
      <w:r>
        <w:rPr>
          <w:rFonts w:hint="eastAsia"/>
          <w:snapToGrid w:val="0"/>
          <w:kern w:val="0"/>
          <w:sz w:val="28"/>
          <w:szCs w:val="28"/>
          <w:lang w:eastAsia="zh-CN"/>
        </w:rPr>
        <w:t>至</w:t>
      </w:r>
      <w:bookmarkStart w:id="0" w:name="_GoBack"/>
      <w:bookmarkEnd w:id="0"/>
      <w:r>
        <w:rPr>
          <w:rFonts w:hint="eastAsia"/>
          <w:snapToGrid w:val="0"/>
          <w:kern w:val="0"/>
          <w:sz w:val="28"/>
          <w:szCs w:val="28"/>
        </w:rPr>
        <w:t>2016年12月31日，本部门</w:t>
      </w:r>
      <w:r>
        <w:rPr>
          <w:snapToGrid w:val="0"/>
          <w:kern w:val="0"/>
          <w:sz w:val="28"/>
          <w:szCs w:val="28"/>
        </w:rPr>
        <w:t>共有</w:t>
      </w:r>
      <w:r>
        <w:rPr>
          <w:rFonts w:hint="eastAsia"/>
          <w:snapToGrid w:val="0"/>
          <w:kern w:val="0"/>
          <w:sz w:val="28"/>
          <w:szCs w:val="28"/>
        </w:rPr>
        <w:t>车辆  1  辆。其中：一般</w:t>
      </w:r>
      <w:r>
        <w:rPr>
          <w:snapToGrid w:val="0"/>
          <w:kern w:val="0"/>
          <w:sz w:val="28"/>
          <w:szCs w:val="28"/>
        </w:rPr>
        <w:t>公务用车</w:t>
      </w:r>
      <w:r>
        <w:rPr>
          <w:rFonts w:hint="eastAsia"/>
          <w:snapToGrid w:val="0"/>
          <w:kern w:val="0"/>
          <w:sz w:val="28"/>
          <w:szCs w:val="28"/>
        </w:rPr>
        <w:t xml:space="preserve">  1 辆；</w:t>
      </w:r>
      <w:r>
        <w:rPr>
          <w:snapToGrid w:val="0"/>
          <w:kern w:val="0"/>
          <w:sz w:val="28"/>
          <w:szCs w:val="28"/>
        </w:rPr>
        <w:t>单价</w:t>
      </w:r>
      <w:r>
        <w:rPr>
          <w:rFonts w:hint="eastAsia"/>
          <w:snapToGrid w:val="0"/>
          <w:kern w:val="0"/>
          <w:sz w:val="28"/>
          <w:szCs w:val="28"/>
        </w:rPr>
        <w:t>50万以上通用</w:t>
      </w:r>
      <w:r>
        <w:rPr>
          <w:snapToGrid w:val="0"/>
          <w:kern w:val="0"/>
          <w:sz w:val="28"/>
          <w:szCs w:val="28"/>
        </w:rPr>
        <w:t>设备</w:t>
      </w:r>
      <w:r>
        <w:rPr>
          <w:rFonts w:hint="eastAsia"/>
          <w:snapToGrid w:val="0"/>
          <w:kern w:val="0"/>
          <w:sz w:val="28"/>
          <w:szCs w:val="28"/>
        </w:rPr>
        <w:t xml:space="preserve">  1 台</w:t>
      </w:r>
      <w:r>
        <w:rPr>
          <w:snapToGrid w:val="0"/>
          <w:kern w:val="0"/>
          <w:sz w:val="28"/>
          <w:szCs w:val="28"/>
        </w:rPr>
        <w:t>（</w:t>
      </w:r>
      <w:r>
        <w:rPr>
          <w:rFonts w:hint="eastAsia"/>
          <w:snapToGrid w:val="0"/>
          <w:kern w:val="0"/>
          <w:sz w:val="28"/>
          <w:szCs w:val="28"/>
        </w:rPr>
        <w:t>套</w:t>
      </w:r>
      <w:r>
        <w:rPr>
          <w:snapToGrid w:val="0"/>
          <w:kern w:val="0"/>
          <w:sz w:val="28"/>
          <w:szCs w:val="28"/>
        </w:rPr>
        <w:t>）</w:t>
      </w:r>
      <w:r>
        <w:rPr>
          <w:rFonts w:hint="eastAsia"/>
          <w:snapToGrid w:val="0"/>
          <w:kern w:val="0"/>
          <w:sz w:val="28"/>
          <w:szCs w:val="28"/>
        </w:rPr>
        <w:t>；单价100万元</w:t>
      </w:r>
      <w:r>
        <w:rPr>
          <w:snapToGrid w:val="0"/>
          <w:kern w:val="0"/>
          <w:sz w:val="28"/>
          <w:szCs w:val="28"/>
        </w:rPr>
        <w:t>以上</w:t>
      </w:r>
      <w:r>
        <w:rPr>
          <w:rFonts w:hint="eastAsia"/>
          <w:snapToGrid w:val="0"/>
          <w:kern w:val="0"/>
          <w:sz w:val="28"/>
          <w:szCs w:val="28"/>
        </w:rPr>
        <w:t>专用</w:t>
      </w:r>
      <w:r>
        <w:rPr>
          <w:snapToGrid w:val="0"/>
          <w:kern w:val="0"/>
          <w:sz w:val="28"/>
          <w:szCs w:val="28"/>
        </w:rPr>
        <w:t>设备</w:t>
      </w:r>
      <w:r>
        <w:rPr>
          <w:rFonts w:hint="eastAsia"/>
          <w:snapToGrid w:val="0"/>
          <w:kern w:val="0"/>
          <w:sz w:val="28"/>
          <w:szCs w:val="28"/>
        </w:rPr>
        <w:t xml:space="preserve">  0 台</w:t>
      </w:r>
      <w:r>
        <w:rPr>
          <w:snapToGrid w:val="0"/>
          <w:kern w:val="0"/>
          <w:sz w:val="28"/>
          <w:szCs w:val="28"/>
        </w:rPr>
        <w:t>（</w:t>
      </w:r>
      <w:r>
        <w:rPr>
          <w:rFonts w:hint="eastAsia"/>
          <w:snapToGrid w:val="0"/>
          <w:kern w:val="0"/>
          <w:sz w:val="28"/>
          <w:szCs w:val="28"/>
        </w:rPr>
        <w:t>套</w:t>
      </w:r>
      <w:r>
        <w:rPr>
          <w:snapToGrid w:val="0"/>
          <w:kern w:val="0"/>
          <w:sz w:val="28"/>
          <w:szCs w:val="28"/>
        </w:rPr>
        <w:t>）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我单位2016年末固定资产总额为17</w:t>
      </w:r>
      <w:r>
        <w:rPr>
          <w:snapToGrid w:val="0"/>
          <w:kern w:val="0"/>
          <w:sz w:val="28"/>
          <w:szCs w:val="28"/>
        </w:rPr>
        <w:t>.</w:t>
      </w: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snapToGrid w:val="0"/>
          <w:kern w:val="0"/>
          <w:sz w:val="28"/>
          <w:szCs w:val="28"/>
        </w:rPr>
        <w:t>9</w:t>
      </w:r>
      <w:r>
        <w:rPr>
          <w:rFonts w:hint="eastAsia"/>
          <w:snapToGrid w:val="0"/>
          <w:kern w:val="0"/>
          <w:sz w:val="28"/>
          <w:szCs w:val="28"/>
        </w:rPr>
        <w:t>万元，主要包括车辆 1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>辆价值9万元，及其他固定资产8</w:t>
      </w:r>
      <w:r>
        <w:rPr>
          <w:snapToGrid w:val="0"/>
          <w:kern w:val="0"/>
          <w:sz w:val="28"/>
          <w:szCs w:val="28"/>
        </w:rPr>
        <w:t>.</w:t>
      </w:r>
      <w:r>
        <w:rPr>
          <w:rFonts w:hint="eastAsia"/>
          <w:snapToGrid w:val="0"/>
          <w:kern w:val="0"/>
          <w:sz w:val="28"/>
          <w:szCs w:val="28"/>
        </w:rPr>
        <w:t xml:space="preserve">18万元。 </w:t>
      </w:r>
    </w:p>
    <w:p>
      <w:pPr>
        <w:pStyle w:val="7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2016年资产变动情况：固定资产增加</w:t>
      </w:r>
      <w:r>
        <w:rPr>
          <w:snapToGrid w:val="0"/>
          <w:kern w:val="0"/>
          <w:sz w:val="28"/>
          <w:szCs w:val="28"/>
        </w:rPr>
        <w:t xml:space="preserve">2.64 </w:t>
      </w:r>
      <w:r>
        <w:rPr>
          <w:rFonts w:hint="eastAsia"/>
          <w:snapToGrid w:val="0"/>
          <w:kern w:val="0"/>
          <w:sz w:val="28"/>
          <w:szCs w:val="28"/>
        </w:rPr>
        <w:t>万元，包括</w:t>
      </w:r>
      <w:r>
        <w:rPr>
          <w:snapToGrid w:val="0"/>
          <w:kern w:val="0"/>
          <w:sz w:val="28"/>
          <w:szCs w:val="28"/>
        </w:rPr>
        <w:t>其他固定</w:t>
      </w:r>
      <w:r>
        <w:rPr>
          <w:rFonts w:hint="eastAsia"/>
          <w:snapToGrid w:val="0"/>
          <w:kern w:val="0"/>
          <w:sz w:val="28"/>
          <w:szCs w:val="28"/>
        </w:rPr>
        <w:t>资产增加</w:t>
      </w:r>
      <w:r>
        <w:rPr>
          <w:snapToGrid w:val="0"/>
          <w:kern w:val="0"/>
          <w:sz w:val="28"/>
          <w:szCs w:val="28"/>
        </w:rPr>
        <w:t>2.64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      名词</w:t>
      </w:r>
      <w:r>
        <w:rPr>
          <w:b/>
          <w:sz w:val="44"/>
          <w:szCs w:val="44"/>
        </w:rPr>
        <w:t>解释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（一）财政拨款收入：本年度从本级财政部门取得的财政拨款，包括一般公共预算财政拨款和政府性基金预算财政拨款。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（二）其他收入：指除上述“财政拨款收入”、“事业收入”、“经营收入”等以外的收入。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（三）年初结转和结余：指以前年度尚未完成、结转到本年仍按原规定用途继续使用的资金，或项目已完成等产生的结余资金。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（四）年末结转和结余：指单位按有关规定结转到下年或以后年度继续使用的资金，或项目已完成等产生的结余资金。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（五）基本支出：填列单位为保障机构正常运转、完成日常工作任务而发生的各项支出。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（六）项目支出：填列单位为完成特定的行政工作任务或事业发展目标，在基本支出之外发生的各项支出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（七）其他资本性支出：填列由各级非发展与改革部门集中安排的用于购置固定资产、战备性和应急性储备、土地和无形资产，以及购建基础设施、大型修缮和财政支持企业更新改造所发生的支出。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（八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pStyle w:val="4"/>
        <w:spacing w:before="0" w:beforeAutospacing="0" w:after="0" w:afterAutospacing="0" w:line="384" w:lineRule="atLeast"/>
        <w:ind w:firstLine="540"/>
        <w:rPr>
          <w:rFonts w:ascii="Helvetica" w:hAnsi="Helvetica" w:cs="Helvetica"/>
          <w:color w:val="3E3E3E"/>
        </w:rPr>
      </w:pPr>
      <w:r>
        <w:rPr>
          <w:rFonts w:hint="eastAsia" w:ascii="仿宋_GB2312" w:hAnsi="Helvetica" w:eastAsia="仿宋_GB2312" w:cs="Helvetica"/>
          <w:color w:val="3E3E3E"/>
          <w:sz w:val="27"/>
          <w:szCs w:val="27"/>
        </w:rPr>
        <w:t>  （九）其他交通费用：填列单位除公务用车运行维护费以外的其他交通费用。如飞机、船舶等的燃料费、维修费、过桥过路费、保险费、出租车费用、公务交通补贴等。</w:t>
      </w:r>
    </w:p>
    <w:p>
      <w:pPr>
        <w:pStyle w:val="7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GRjNzdkYWEzZjNmOTdlZDU2N2QyOGY3MDMwODYifQ=="/>
  </w:docVars>
  <w:rsids>
    <w:rsidRoot w:val="008423F5"/>
    <w:rsid w:val="0009148F"/>
    <w:rsid w:val="001041EE"/>
    <w:rsid w:val="00144FAC"/>
    <w:rsid w:val="0015089B"/>
    <w:rsid w:val="00152908"/>
    <w:rsid w:val="001B65E9"/>
    <w:rsid w:val="001C673D"/>
    <w:rsid w:val="001E68F2"/>
    <w:rsid w:val="002273F5"/>
    <w:rsid w:val="003277A3"/>
    <w:rsid w:val="00372DF7"/>
    <w:rsid w:val="003B22DA"/>
    <w:rsid w:val="003F0B48"/>
    <w:rsid w:val="003F3B34"/>
    <w:rsid w:val="00471A6A"/>
    <w:rsid w:val="004B4BB3"/>
    <w:rsid w:val="0058572E"/>
    <w:rsid w:val="005A6B02"/>
    <w:rsid w:val="005B3169"/>
    <w:rsid w:val="0060361A"/>
    <w:rsid w:val="006B564B"/>
    <w:rsid w:val="006B65AC"/>
    <w:rsid w:val="006E71D0"/>
    <w:rsid w:val="006F383C"/>
    <w:rsid w:val="00751875"/>
    <w:rsid w:val="00791B38"/>
    <w:rsid w:val="007B52F0"/>
    <w:rsid w:val="007F6627"/>
    <w:rsid w:val="008026BF"/>
    <w:rsid w:val="0082704B"/>
    <w:rsid w:val="008423F5"/>
    <w:rsid w:val="00842CBB"/>
    <w:rsid w:val="00847904"/>
    <w:rsid w:val="00911E25"/>
    <w:rsid w:val="00945D0B"/>
    <w:rsid w:val="00953FC5"/>
    <w:rsid w:val="009768E0"/>
    <w:rsid w:val="00985214"/>
    <w:rsid w:val="009B74FB"/>
    <w:rsid w:val="00A372C2"/>
    <w:rsid w:val="00A5730C"/>
    <w:rsid w:val="00A660EF"/>
    <w:rsid w:val="00AA21A2"/>
    <w:rsid w:val="00B005DA"/>
    <w:rsid w:val="00B17297"/>
    <w:rsid w:val="00B40ED6"/>
    <w:rsid w:val="00B81EFF"/>
    <w:rsid w:val="00C222CB"/>
    <w:rsid w:val="00C82568"/>
    <w:rsid w:val="00CA2480"/>
    <w:rsid w:val="00CB45AA"/>
    <w:rsid w:val="00D6325B"/>
    <w:rsid w:val="00D767EE"/>
    <w:rsid w:val="00D9008B"/>
    <w:rsid w:val="00D91EDD"/>
    <w:rsid w:val="00DB7E7C"/>
    <w:rsid w:val="00DC5EA2"/>
    <w:rsid w:val="00DE581E"/>
    <w:rsid w:val="00E71A30"/>
    <w:rsid w:val="00F00F83"/>
    <w:rsid w:val="00F34AC5"/>
    <w:rsid w:val="00F7078F"/>
    <w:rsid w:val="064A3FAD"/>
    <w:rsid w:val="0B6A15E4"/>
    <w:rsid w:val="0D6054DA"/>
    <w:rsid w:val="1AF90D88"/>
    <w:rsid w:val="1F545778"/>
    <w:rsid w:val="50A31005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479</Words>
  <Characters>2735</Characters>
  <Lines>22</Lines>
  <Paragraphs>6</Paragraphs>
  <TotalTime>173</TotalTime>
  <ScaleCrop>false</ScaleCrop>
  <LinksUpToDate>false</LinksUpToDate>
  <CharactersWithSpaces>3208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Administrator</cp:lastModifiedBy>
  <cp:lastPrinted>2017-08-29T03:35:00Z</cp:lastPrinted>
  <dcterms:modified xsi:type="dcterms:W3CDTF">2023-11-13T01:28:38Z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FED9E53FD9D7459981268CDC74C2197D_12</vt:lpwstr>
  </property>
</Properties>
</file>