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AE" w:rsidRDefault="00595D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教育局部门</w:t>
      </w:r>
      <w:r>
        <w:rPr>
          <w:b/>
          <w:sz w:val="44"/>
          <w:szCs w:val="44"/>
        </w:rPr>
        <w:t>概况</w:t>
      </w:r>
    </w:p>
    <w:p w:rsidR="004275AE" w:rsidRDefault="00595D95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4275AE" w:rsidRDefault="00595D95">
      <w:pPr>
        <w:pStyle w:val="Normal"/>
        <w:widowControl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根据徐水县人民政府办公室《关于印发徐水县教育局主要职责、内设机构和人员编制规定的通知》（徐政办</w:t>
      </w:r>
      <w:r>
        <w:rPr>
          <w:rFonts w:ascii="仿宋_GB2312" w:eastAsia="仿宋_GB2312" w:hAnsi="仿宋" w:cs="仿宋_GB2312" w:hint="eastAsia"/>
          <w:sz w:val="32"/>
          <w:szCs w:val="32"/>
        </w:rPr>
        <w:t>[2010]72</w:t>
      </w:r>
      <w:r>
        <w:rPr>
          <w:rFonts w:ascii="仿宋_GB2312" w:eastAsia="仿宋_GB2312" w:hAnsi="仿宋" w:cs="仿宋_GB2312" w:hint="eastAsia"/>
          <w:sz w:val="32"/>
          <w:szCs w:val="32"/>
        </w:rPr>
        <w:t>号），现将我局部门概况说明如下：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sz w:val="32"/>
          <w:szCs w:val="32"/>
        </w:rPr>
        <w:t>研究制定全区教育工作的政策和规定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检查、监督教育方针、政策的贯彻执行情况。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（二）研究制定全区各类教育的发展规划，合理调整学校布局，在省、市规定的审批权限内审批公办、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民办各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类学校的设置。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（三）负责教育体制、办学体制、学校管理体制改革及城乡教育综合改革的统筹规划和协调指导。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（四）负责全区各类教育的宏观指导、综合管理与服务，对全区教育工作状况及办学水平进行监督、检查、评估、验收。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（五）按照干部管理权限，负责省级示范性高中、职教中心、教师发展中心校长的推荐、考察工作，配合区委组织部做好任免工作；负责其他中小学（幼儿园）校长（园长）领导班子的考核工作。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（六）负责教师聘用、培训、职称评定、评优评模、考核奖惩等项工作；负责实施教师资格制度工作。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（七）负责管理各级各类教育经费的拨付；负责全区中小</w:t>
      </w:r>
      <w:r>
        <w:rPr>
          <w:rFonts w:ascii="仿宋_GB2312" w:eastAsia="仿宋_GB2312" w:hAnsi="仿宋" w:cs="仿宋_GB2312" w:hint="eastAsia"/>
          <w:sz w:val="32"/>
          <w:szCs w:val="32"/>
        </w:rPr>
        <w:t>学（幼儿园）基建项目规划、资金的审批，财务的管理、监督、审计工作；负责组织年度教育经费的预决算编制工作；负责各级助学政策和经费的落实。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（八）指导各级各类学校的德育、智育、体育、卫生、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艺术、国防教育工作；推动教育教学的理论研究和教育科研工作；负责教育系统党建、工会、共青团、妇女工作及计划生育工作。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（九）负责全区初、高中阶段招生考试工作。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（十）负责全区语言文字工作。</w:t>
      </w:r>
    </w:p>
    <w:p w:rsidR="004275AE" w:rsidRDefault="00595D95">
      <w:pPr>
        <w:pStyle w:val="a8"/>
        <w:spacing w:line="520" w:lineRule="exact"/>
        <w:ind w:firstLineChars="230" w:firstLine="736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（十一）承办区政府和上级教育行政部门交办的其他事项。</w:t>
      </w:r>
    </w:p>
    <w:p w:rsidR="004275AE" w:rsidRDefault="00595D95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275AE" w:rsidRDefault="00595D95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/>
          <w:snapToGrid w:val="0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个。包括：秘书法制股、人事计财股、综合教育股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4275AE" w:rsidRDefault="00595D95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>193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。</w:t>
      </w:r>
    </w:p>
    <w:p w:rsidR="004275AE" w:rsidRDefault="00595D95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</w:t>
      </w:r>
      <w:proofErr w:type="gramEnd"/>
      <w:r>
        <w:rPr>
          <w:snapToGrid w:val="0"/>
          <w:kern w:val="0"/>
          <w:sz w:val="28"/>
          <w:szCs w:val="28"/>
        </w:rPr>
        <w:t>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rFonts w:hint="eastAsia"/>
          <w:snapToGrid w:val="0"/>
          <w:kern w:val="0"/>
          <w:sz w:val="28"/>
          <w:szCs w:val="28"/>
        </w:rPr>
        <w:t>194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55</w:t>
      </w:r>
      <w:r>
        <w:rPr>
          <w:snapToGrid w:val="0"/>
          <w:kern w:val="0"/>
          <w:sz w:val="28"/>
          <w:szCs w:val="28"/>
        </w:rPr>
        <w:t>80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55</w:t>
      </w:r>
      <w:r>
        <w:rPr>
          <w:snapToGrid w:val="0"/>
          <w:kern w:val="0"/>
          <w:sz w:val="28"/>
          <w:szCs w:val="28"/>
        </w:rPr>
        <w:t>60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 w:rsidR="004275AE" w:rsidRDefault="004275AE">
      <w:pPr>
        <w:ind w:firstLineChars="200" w:firstLine="560"/>
        <w:jc w:val="left"/>
        <w:rPr>
          <w:snapToGrid w:val="0"/>
          <w:kern w:val="0"/>
          <w:sz w:val="28"/>
          <w:szCs w:val="28"/>
        </w:rPr>
      </w:pPr>
    </w:p>
    <w:p w:rsidR="004275AE" w:rsidRDefault="00595D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b/>
          <w:sz w:val="44"/>
          <w:szCs w:val="44"/>
        </w:rPr>
        <w:t>教育</w:t>
      </w:r>
      <w:r>
        <w:rPr>
          <w:rFonts w:hint="eastAsia"/>
          <w:b/>
          <w:sz w:val="44"/>
          <w:szCs w:val="44"/>
        </w:rPr>
        <w:t>部门</w:t>
      </w: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4275AE" w:rsidRDefault="00595D9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情况说明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105316.84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24.95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21029.54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原因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1.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三所高中收费收入增加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;2.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政府加大教育投入力度</w:t>
      </w:r>
      <w:r>
        <w:rPr>
          <w:snapToGrid w:val="0"/>
          <w:kern w:val="0"/>
          <w:sz w:val="28"/>
          <w:szCs w:val="28"/>
        </w:rPr>
        <w:t>：；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94218.48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snapToGrid w:val="0"/>
          <w:kern w:val="0"/>
          <w:sz w:val="28"/>
          <w:szCs w:val="28"/>
        </w:rPr>
        <w:t>.03%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6190.18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教育投入增加进而支出增大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19515.39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05216.84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ascii="Calibri" w:eastAsia="宋体" w:hAnsi="Calibri" w:cs="Times New Roman" w:hint="eastAsia"/>
          <w:snapToGrid w:val="0"/>
          <w:kern w:val="0"/>
          <w:sz w:val="28"/>
          <w:szCs w:val="28"/>
        </w:rPr>
        <w:t>103156.89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snapToGrid w:val="0"/>
          <w:kern w:val="0"/>
          <w:sz w:val="28"/>
          <w:szCs w:val="28"/>
        </w:rPr>
        <w:t>19.24%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ascii="仿宋_GB2312" w:eastAsia="仿宋_GB2312" w:hAnsi="仿宋"/>
          <w:sz w:val="32"/>
          <w:szCs w:val="32"/>
          <w:u w:val="single"/>
        </w:rPr>
        <w:t>16646.09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主要原因政府</w:t>
      </w:r>
      <w:r>
        <w:rPr>
          <w:rFonts w:hint="eastAsia"/>
          <w:snapToGrid w:val="0"/>
          <w:kern w:val="0"/>
          <w:sz w:val="28"/>
          <w:szCs w:val="28"/>
        </w:rPr>
        <w:t>加大</w:t>
      </w:r>
      <w:r>
        <w:rPr>
          <w:snapToGrid w:val="0"/>
          <w:kern w:val="0"/>
          <w:sz w:val="28"/>
          <w:szCs w:val="28"/>
        </w:rPr>
        <w:t>教育</w:t>
      </w:r>
      <w:r>
        <w:rPr>
          <w:rFonts w:hint="eastAsia"/>
          <w:snapToGrid w:val="0"/>
          <w:kern w:val="0"/>
          <w:sz w:val="28"/>
          <w:szCs w:val="28"/>
        </w:rPr>
        <w:t>投入；上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87.85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614.23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75.55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青少年活动中心收上级补助收入增加；事业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2054.26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36.1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544.86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；三所高中收费收入增加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17.83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35.07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4.63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各单位银行存款增加导致利息增多。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94218.48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76623.03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81.32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17595.45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18.68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4275AE" w:rsidRDefault="00595D95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103156.89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rFonts w:hint="eastAsia"/>
          <w:snapToGrid w:val="0"/>
          <w:kern w:val="0"/>
          <w:sz w:val="28"/>
          <w:szCs w:val="28"/>
        </w:rPr>
        <w:t>77215.72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133.6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，主要原因：</w:t>
      </w:r>
      <w:r>
        <w:rPr>
          <w:rFonts w:hint="eastAsia"/>
          <w:snapToGrid w:val="0"/>
          <w:kern w:val="0"/>
          <w:sz w:val="28"/>
          <w:szCs w:val="28"/>
        </w:rPr>
        <w:t>徐水第二小学等项目未在年初预算范围内。上年决算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snapToGrid w:val="0"/>
          <w:kern w:val="0"/>
          <w:sz w:val="28"/>
          <w:szCs w:val="28"/>
        </w:rPr>
        <w:t>86510.8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snapToGrid w:val="0"/>
          <w:kern w:val="0"/>
          <w:sz w:val="28"/>
          <w:szCs w:val="28"/>
        </w:rPr>
        <w:t>19.24%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ascii="仿宋_GB2312" w:eastAsia="仿宋_GB2312" w:hAnsi="仿宋"/>
          <w:sz w:val="32"/>
          <w:szCs w:val="32"/>
          <w:u w:val="single"/>
        </w:rPr>
        <w:t>16646.09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主要原因政府</w:t>
      </w:r>
      <w:r>
        <w:rPr>
          <w:rFonts w:hint="eastAsia"/>
          <w:snapToGrid w:val="0"/>
          <w:kern w:val="0"/>
          <w:sz w:val="28"/>
          <w:szCs w:val="28"/>
        </w:rPr>
        <w:t>加大</w:t>
      </w:r>
      <w:r>
        <w:rPr>
          <w:snapToGrid w:val="0"/>
          <w:kern w:val="0"/>
          <w:sz w:val="28"/>
          <w:szCs w:val="28"/>
        </w:rPr>
        <w:t>教育</w:t>
      </w:r>
      <w:r>
        <w:rPr>
          <w:rFonts w:hint="eastAsia"/>
          <w:snapToGrid w:val="0"/>
          <w:kern w:val="0"/>
          <w:sz w:val="28"/>
          <w:szCs w:val="28"/>
        </w:rPr>
        <w:t>投入。</w:t>
      </w:r>
    </w:p>
    <w:p w:rsidR="004275AE" w:rsidRDefault="00595D95">
      <w:pPr>
        <w:adjustRightInd w:val="0"/>
        <w:snapToGrid w:val="0"/>
        <w:spacing w:line="600" w:lineRule="exact"/>
        <w:ind w:leftChars="100" w:left="210"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92384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77215.72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119.64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>：徐水第二小学等项目未在年初预算范围内。上年决算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86510.8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6.79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5873.2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区</w:t>
      </w:r>
      <w:r>
        <w:rPr>
          <w:snapToGrid w:val="0"/>
          <w:kern w:val="0"/>
          <w:sz w:val="28"/>
          <w:szCs w:val="28"/>
        </w:rPr>
        <w:t>政府加大教育</w:t>
      </w:r>
      <w:r>
        <w:rPr>
          <w:rFonts w:hint="eastAsia"/>
          <w:snapToGrid w:val="0"/>
          <w:kern w:val="0"/>
          <w:sz w:val="28"/>
          <w:szCs w:val="28"/>
        </w:rPr>
        <w:t>投入力度。</w:t>
      </w:r>
    </w:p>
    <w:p w:rsidR="004275AE" w:rsidRDefault="00595D95">
      <w:pPr>
        <w:adjustRightInd w:val="0"/>
        <w:snapToGrid w:val="0"/>
        <w:spacing w:line="600" w:lineRule="exact"/>
        <w:ind w:firstLineChars="250" w:firstLine="7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年年</w:t>
      </w:r>
      <w:proofErr w:type="gramStart"/>
      <w:r>
        <w:rPr>
          <w:snapToGrid w:val="0"/>
          <w:kern w:val="0"/>
          <w:sz w:val="28"/>
          <w:szCs w:val="28"/>
        </w:rPr>
        <w:t>末财政</w:t>
      </w:r>
      <w:proofErr w:type="gramEnd"/>
      <w:r>
        <w:rPr>
          <w:snapToGrid w:val="0"/>
          <w:kern w:val="0"/>
          <w:sz w:val="28"/>
          <w:szCs w:val="28"/>
        </w:rPr>
        <w:t>拨款结转结余</w:t>
      </w:r>
      <w:r>
        <w:rPr>
          <w:rFonts w:hint="eastAsia"/>
          <w:snapToGrid w:val="0"/>
          <w:kern w:val="0"/>
          <w:sz w:val="28"/>
          <w:szCs w:val="28"/>
        </w:rPr>
        <w:t>19483.09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595D95" w:rsidRPr="00595D95" w:rsidRDefault="00595D95" w:rsidP="00595D95">
      <w:pPr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28"/>
        </w:rPr>
      </w:pPr>
      <w:bookmarkStart w:id="0" w:name="_Hlk3385520"/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我单位无国有资本经营预算收支。</w:t>
      </w:r>
      <w:bookmarkEnd w:id="0"/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“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三公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”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经费支出决算情况说明</w:t>
      </w:r>
    </w:p>
    <w:p w:rsidR="004275AE" w:rsidRDefault="00595D95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</w:t>
      </w:r>
      <w:r>
        <w:rPr>
          <w:snapToGrid w:val="0"/>
          <w:kern w:val="0"/>
          <w:sz w:val="28"/>
          <w:szCs w:val="28"/>
        </w:rPr>
        <w:t>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24.59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11.41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31.7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。</w:t>
      </w:r>
    </w:p>
    <w:p w:rsidR="004275AE" w:rsidRDefault="00595D9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%,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:2</w:t>
      </w:r>
      <w:r>
        <w:rPr>
          <w:snapToGrid w:val="0"/>
          <w:kern w:val="0"/>
          <w:sz w:val="28"/>
          <w:szCs w:val="28"/>
        </w:rPr>
        <w:t>017</w:t>
      </w:r>
      <w:r>
        <w:rPr>
          <w:rFonts w:hint="eastAsia"/>
          <w:snapToGrid w:val="0"/>
          <w:kern w:val="0"/>
          <w:sz w:val="28"/>
          <w:szCs w:val="28"/>
        </w:rPr>
        <w:t>年无该项支出。因公出国（境）团组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23.51</w:t>
      </w:r>
      <w:r>
        <w:rPr>
          <w:rFonts w:hint="eastAsia"/>
          <w:snapToGrid w:val="0"/>
          <w:kern w:val="0"/>
          <w:sz w:val="28"/>
          <w:szCs w:val="28"/>
        </w:rPr>
        <w:t>万元。（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车</w:t>
      </w:r>
      <w:r>
        <w:rPr>
          <w:rFonts w:hint="eastAsia"/>
          <w:snapToGrid w:val="0"/>
          <w:kern w:val="0"/>
          <w:sz w:val="28"/>
          <w:szCs w:val="28"/>
        </w:rPr>
        <w:t>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12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，主要原因：无公务用车购置。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23.51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21.49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47.75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snapToGrid w:val="0"/>
          <w:kern w:val="0"/>
          <w:sz w:val="28"/>
          <w:szCs w:val="28"/>
        </w:rPr>
        <w:t>.99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33.99%</w:t>
      </w:r>
      <w:r>
        <w:rPr>
          <w:rFonts w:hint="eastAsia"/>
          <w:snapToGrid w:val="0"/>
          <w:kern w:val="0"/>
          <w:sz w:val="28"/>
          <w:szCs w:val="28"/>
        </w:rPr>
        <w:t>，主要原因：降低公务用车支出。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1.08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10.92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91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3.42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317%</w:t>
      </w:r>
      <w:r>
        <w:rPr>
          <w:rFonts w:hint="eastAsia"/>
          <w:snapToGrid w:val="0"/>
          <w:kern w:val="0"/>
          <w:sz w:val="28"/>
          <w:szCs w:val="28"/>
        </w:rPr>
        <w:t>，主要原因：减少公务接待支出费用。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185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（一）预算绩效管理工作开展情况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根据财政预算绩效管理要求，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以“部门职责—工作活动”为依据，确定部门预算项目和预算额度，清晰描述预算项目开支范围和内容，确定预算项目的绩效目标、绩效指标和评价标准，为预算绩效控制、绩效分析、绩效评价打下好的基础。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按照区财政预算绩效管理要求，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hint="eastAsia"/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对</w:t>
      </w:r>
      <w:r>
        <w:rPr>
          <w:rFonts w:hint="eastAsia"/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年初确定的部门一般公共预算支出专项项目全面开展了绩效自评。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决算专项项目</w:t>
      </w:r>
      <w:r>
        <w:rPr>
          <w:rFonts w:hint="eastAsia"/>
          <w:snapToGrid w:val="0"/>
          <w:kern w:val="0"/>
          <w:sz w:val="28"/>
          <w:szCs w:val="28"/>
        </w:rPr>
        <w:t>141</w:t>
      </w:r>
      <w:r>
        <w:rPr>
          <w:rFonts w:hint="eastAsia"/>
          <w:snapToGrid w:val="0"/>
          <w:kern w:val="0"/>
          <w:sz w:val="28"/>
          <w:szCs w:val="28"/>
        </w:rPr>
        <w:t>个，共涉及预算资金</w:t>
      </w:r>
      <w:r>
        <w:rPr>
          <w:rFonts w:hint="eastAsia"/>
          <w:snapToGrid w:val="0"/>
          <w:kern w:val="0"/>
          <w:sz w:val="28"/>
          <w:szCs w:val="28"/>
        </w:rPr>
        <w:t>18581.31</w:t>
      </w:r>
      <w:r>
        <w:rPr>
          <w:rFonts w:hint="eastAsia"/>
          <w:snapToGrid w:val="0"/>
          <w:kern w:val="0"/>
          <w:sz w:val="28"/>
          <w:szCs w:val="28"/>
        </w:rPr>
        <w:t>万元，绩效自评覆盖率达到</w:t>
      </w:r>
      <w:r>
        <w:rPr>
          <w:rFonts w:hint="eastAsia"/>
          <w:snapToGrid w:val="0"/>
          <w:kern w:val="0"/>
          <w:sz w:val="28"/>
          <w:szCs w:val="28"/>
        </w:rPr>
        <w:t>100%</w:t>
      </w:r>
      <w:r>
        <w:rPr>
          <w:rFonts w:hint="eastAsia"/>
          <w:snapToGrid w:val="0"/>
          <w:kern w:val="0"/>
          <w:sz w:val="28"/>
          <w:szCs w:val="28"/>
        </w:rPr>
        <w:t>。</w:t>
      </w:r>
      <w:bookmarkStart w:id="1" w:name="_Hlk3384517"/>
      <w:r>
        <w:rPr>
          <w:rFonts w:asciiTheme="majorEastAsia" w:eastAsiaTheme="majorEastAsia" w:hAnsiTheme="majorEastAsia" w:cstheme="majorEastAsia" w:hint="eastAsia"/>
          <w:sz w:val="28"/>
          <w:szCs w:val="28"/>
        </w:rPr>
        <w:t>较好的完成了各项绩效指标，年底通过绩效评价。</w:t>
      </w:r>
      <w:bookmarkEnd w:id="1"/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校园安保经费</w:t>
      </w:r>
      <w:r>
        <w:rPr>
          <w:rFonts w:hint="eastAsia"/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校园安保经费</w:t>
      </w:r>
      <w:r>
        <w:rPr>
          <w:rFonts w:hint="eastAsia"/>
          <w:snapToGrid w:val="0"/>
          <w:kern w:val="0"/>
          <w:sz w:val="28"/>
          <w:szCs w:val="28"/>
        </w:rPr>
        <w:t>是根据区政府请示设定，</w:t>
      </w:r>
      <w:r>
        <w:rPr>
          <w:rFonts w:hint="eastAsia"/>
          <w:snapToGrid w:val="0"/>
          <w:kern w:val="0"/>
          <w:sz w:val="28"/>
          <w:szCs w:val="28"/>
        </w:rPr>
        <w:t>单位可以购买保安服务，保障办公楼安全。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rFonts w:hint="eastAsia"/>
          <w:snapToGrid w:val="0"/>
          <w:kern w:val="0"/>
          <w:sz w:val="28"/>
          <w:szCs w:val="28"/>
        </w:rPr>
        <w:t>部门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以保证我</w:t>
      </w:r>
      <w:r>
        <w:rPr>
          <w:rFonts w:hint="eastAsia"/>
          <w:snapToGrid w:val="0"/>
          <w:kern w:val="0"/>
          <w:sz w:val="28"/>
          <w:szCs w:val="28"/>
        </w:rPr>
        <w:t>区学校</w:t>
      </w:r>
      <w:r>
        <w:rPr>
          <w:rFonts w:hint="eastAsia"/>
          <w:snapToGrid w:val="0"/>
          <w:kern w:val="0"/>
          <w:sz w:val="28"/>
          <w:szCs w:val="28"/>
        </w:rPr>
        <w:t>安全工作，单位财产不被他人人为破坏为目标。按照财政部要求和项目实施目的，设定项目产出指标为保障公共财物完好率</w:t>
      </w:r>
      <w:r>
        <w:rPr>
          <w:rFonts w:hint="eastAsia"/>
          <w:snapToGrid w:val="0"/>
          <w:kern w:val="0"/>
          <w:sz w:val="28"/>
          <w:szCs w:val="28"/>
        </w:rPr>
        <w:t>95%</w:t>
      </w:r>
      <w:r>
        <w:rPr>
          <w:rFonts w:hint="eastAsia"/>
          <w:snapToGrid w:val="0"/>
          <w:kern w:val="0"/>
          <w:sz w:val="28"/>
          <w:szCs w:val="28"/>
        </w:rPr>
        <w:t>以上。设定效果指标为单位安全率，保障单位财产安全，为教学提供</w:t>
      </w:r>
      <w:r>
        <w:rPr>
          <w:rFonts w:hint="eastAsia"/>
          <w:snapToGrid w:val="0"/>
          <w:kern w:val="0"/>
          <w:sz w:val="28"/>
          <w:szCs w:val="28"/>
        </w:rPr>
        <w:t>良</w:t>
      </w:r>
      <w:r>
        <w:rPr>
          <w:rFonts w:hint="eastAsia"/>
          <w:snapToGrid w:val="0"/>
          <w:kern w:val="0"/>
          <w:sz w:val="28"/>
          <w:szCs w:val="28"/>
        </w:rPr>
        <w:t>好的环境保障。取得了保障校园安全</w:t>
      </w:r>
      <w:r>
        <w:rPr>
          <w:rFonts w:hint="eastAsia"/>
          <w:snapToGrid w:val="0"/>
          <w:kern w:val="0"/>
          <w:sz w:val="28"/>
          <w:szCs w:val="28"/>
        </w:rPr>
        <w:t>公共设施完好的成果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绩效目标自评为“优”。</w:t>
      </w:r>
      <w:r>
        <w:rPr>
          <w:rFonts w:hint="eastAsia"/>
          <w:snapToGrid w:val="0"/>
          <w:kern w:val="0"/>
          <w:sz w:val="28"/>
          <w:szCs w:val="28"/>
        </w:rPr>
        <w:t> 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017</w:t>
      </w:r>
      <w:r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万元、差旅费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万元、公务接待费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万元、公务用</w:t>
      </w:r>
      <w:r>
        <w:rPr>
          <w:rFonts w:hint="eastAsia"/>
          <w:snapToGrid w:val="0"/>
          <w:kern w:val="0"/>
          <w:sz w:val="28"/>
          <w:szCs w:val="28"/>
        </w:rPr>
        <w:lastRenderedPageBreak/>
        <w:t>车运行维护费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本单位为事业单位，没有机关运行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。</w:t>
      </w:r>
    </w:p>
    <w:p w:rsidR="004275AE" w:rsidRDefault="00595D9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4275AE" w:rsidRDefault="00595D95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rFonts w:hint="eastAsia"/>
          <w:snapToGrid w:val="0"/>
          <w:kern w:val="0"/>
          <w:sz w:val="28"/>
          <w:szCs w:val="28"/>
        </w:rPr>
        <w:t>2773.99</w:t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hint="eastAsia"/>
          <w:snapToGrid w:val="0"/>
          <w:kern w:val="0"/>
          <w:sz w:val="28"/>
          <w:szCs w:val="28"/>
        </w:rPr>
        <w:t>1072.16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>1400.83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301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本部门政府采购支出总额</w:t>
      </w:r>
      <w:r>
        <w:rPr>
          <w:rFonts w:hint="eastAsia"/>
          <w:snapToGrid w:val="0"/>
          <w:kern w:val="0"/>
          <w:sz w:val="28"/>
          <w:szCs w:val="28"/>
        </w:rPr>
        <w:t>2685.55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1065.91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1339.99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279.66</w:t>
      </w:r>
      <w:bookmarkStart w:id="2" w:name="_GoBack"/>
      <w:bookmarkEnd w:id="2"/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63801.33</w:t>
      </w:r>
      <w:r>
        <w:rPr>
          <w:rFonts w:hint="eastAsia"/>
          <w:snapToGrid w:val="0"/>
          <w:kern w:val="0"/>
          <w:sz w:val="28"/>
          <w:szCs w:val="28"/>
        </w:rPr>
        <w:t>万元，主要包括房屋平方米价值</w:t>
      </w:r>
      <w:r>
        <w:rPr>
          <w:rFonts w:hint="eastAsia"/>
          <w:snapToGrid w:val="0"/>
          <w:kern w:val="0"/>
          <w:sz w:val="28"/>
          <w:szCs w:val="28"/>
        </w:rPr>
        <w:t>41581.04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276.34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</w:t>
      </w:r>
      <w:r>
        <w:rPr>
          <w:rFonts w:hint="eastAsia"/>
          <w:snapToGrid w:val="0"/>
          <w:kern w:val="0"/>
          <w:sz w:val="28"/>
          <w:szCs w:val="28"/>
        </w:rPr>
        <w:t>318.13</w:t>
      </w:r>
      <w:r>
        <w:rPr>
          <w:rFonts w:hint="eastAsia"/>
          <w:snapToGrid w:val="0"/>
          <w:kern w:val="0"/>
          <w:sz w:val="28"/>
          <w:szCs w:val="28"/>
        </w:rPr>
        <w:t>万元，及其他固定资产</w:t>
      </w:r>
      <w:r>
        <w:rPr>
          <w:snapToGrid w:val="0"/>
          <w:kern w:val="0"/>
          <w:sz w:val="28"/>
          <w:szCs w:val="28"/>
        </w:rPr>
        <w:t>21,625.83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150" w:left="315" w:firstLineChars="100" w:firstLine="28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3214.3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1500.8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车辆减少</w:t>
      </w:r>
      <w:r>
        <w:rPr>
          <w:rFonts w:hint="eastAsia"/>
          <w:snapToGrid w:val="0"/>
          <w:kern w:val="0"/>
          <w:sz w:val="28"/>
          <w:szCs w:val="28"/>
        </w:rPr>
        <w:t>10.2</w:t>
      </w: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万元，单价在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万元以上的通用设备减少</w:t>
      </w:r>
      <w:r>
        <w:rPr>
          <w:snapToGrid w:val="0"/>
          <w:kern w:val="0"/>
          <w:sz w:val="28"/>
          <w:szCs w:val="28"/>
        </w:rPr>
        <w:t>86.51</w:t>
      </w:r>
      <w:r>
        <w:rPr>
          <w:rFonts w:hint="eastAsia"/>
          <w:snapToGrid w:val="0"/>
          <w:kern w:val="0"/>
          <w:sz w:val="28"/>
          <w:szCs w:val="28"/>
        </w:rPr>
        <w:t>万元，其他固定资产增加</w:t>
      </w:r>
      <w:r>
        <w:rPr>
          <w:rFonts w:hint="eastAsia"/>
          <w:snapToGrid w:val="0"/>
          <w:kern w:val="0"/>
          <w:sz w:val="28"/>
          <w:szCs w:val="28"/>
        </w:rPr>
        <w:t>2024.1</w:t>
      </w: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4275AE" w:rsidRDefault="00595D95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4275AE" w:rsidRDefault="00595D9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>无</w:t>
      </w:r>
    </w:p>
    <w:p w:rsidR="004275AE" w:rsidRDefault="00595D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</w:t>
      </w:r>
      <w:r>
        <w:rPr>
          <w:b/>
          <w:sz w:val="44"/>
          <w:szCs w:val="44"/>
        </w:rPr>
        <w:t>解释</w:t>
      </w:r>
    </w:p>
    <w:p w:rsidR="004275AE" w:rsidRDefault="00595D95">
      <w:pPr>
        <w:pStyle w:val="a7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4275AE" w:rsidRDefault="00595D95">
      <w:pPr>
        <w:pStyle w:val="a7"/>
        <w:spacing w:before="0" w:beforeAutospacing="0" w:after="0" w:afterAutospacing="0" w:line="384" w:lineRule="atLeast"/>
        <w:ind w:firstLine="645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lastRenderedPageBreak/>
        <w:t>（二）事业收入：指事业单位开展专业业务活动及辅助活动所取得的收入。</w:t>
      </w:r>
    </w:p>
    <w:p w:rsidR="004275AE" w:rsidRDefault="00595D95">
      <w:pPr>
        <w:pStyle w:val="a7"/>
        <w:spacing w:before="0" w:beforeAutospacing="0" w:after="0" w:afterAutospacing="0" w:line="384" w:lineRule="atLeast"/>
        <w:ind w:firstLine="645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（三）其他收入：指除上述“财政拨款收入”、“事业收入”、“经营收入”等以外的收入。</w:t>
      </w:r>
    </w:p>
    <w:p w:rsidR="004275AE" w:rsidRDefault="00595D95">
      <w:pPr>
        <w:pStyle w:val="a7"/>
        <w:spacing w:before="0" w:beforeAutospacing="0" w:after="0" w:afterAutospacing="0" w:line="384" w:lineRule="atLeast"/>
        <w:ind w:firstLine="645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四）用事业基金弥补收支差额：指事业单位在用当年的“财政拨款收入”、“财政拨款结转和结余资金”、“事业收入”、“经营收入”、“其他收入”不足以安排当年支出的情况下，使用以前年度积累的事业基金（事业单位当年收支相抵后按国家规定提取、用于弥补以后年度收支差额的基金）弥补本年度收支缺口的资金。</w:t>
      </w:r>
    </w:p>
    <w:p w:rsidR="004275AE" w:rsidRDefault="00595D95">
      <w:pPr>
        <w:pStyle w:val="a7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（五）年初结转和结余：指以前年度尚未完成、结转到本年仍按原规定用途继续使用的资金，或项目已完成等产生的结余资金。</w:t>
      </w:r>
    </w:p>
    <w:p w:rsidR="004275AE" w:rsidRDefault="004275AE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42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F5"/>
    <w:rsid w:val="00010569"/>
    <w:rsid w:val="00067F5D"/>
    <w:rsid w:val="000E7C9B"/>
    <w:rsid w:val="001041EE"/>
    <w:rsid w:val="00127FE2"/>
    <w:rsid w:val="0015089B"/>
    <w:rsid w:val="00152908"/>
    <w:rsid w:val="001C673D"/>
    <w:rsid w:val="001E68F2"/>
    <w:rsid w:val="001F50B2"/>
    <w:rsid w:val="00271FE8"/>
    <w:rsid w:val="003277A3"/>
    <w:rsid w:val="003506B4"/>
    <w:rsid w:val="003575E3"/>
    <w:rsid w:val="00372DF7"/>
    <w:rsid w:val="003A7683"/>
    <w:rsid w:val="003C3644"/>
    <w:rsid w:val="003D05DA"/>
    <w:rsid w:val="003F0B48"/>
    <w:rsid w:val="003F3B34"/>
    <w:rsid w:val="0040758E"/>
    <w:rsid w:val="004275AE"/>
    <w:rsid w:val="00441508"/>
    <w:rsid w:val="00471A6A"/>
    <w:rsid w:val="00482E96"/>
    <w:rsid w:val="0058572E"/>
    <w:rsid w:val="00595D95"/>
    <w:rsid w:val="005B3169"/>
    <w:rsid w:val="005C4A7D"/>
    <w:rsid w:val="005D40B4"/>
    <w:rsid w:val="0060361A"/>
    <w:rsid w:val="00627968"/>
    <w:rsid w:val="0066488A"/>
    <w:rsid w:val="006810F4"/>
    <w:rsid w:val="006A5155"/>
    <w:rsid w:val="006B564B"/>
    <w:rsid w:val="006E71D0"/>
    <w:rsid w:val="0078557C"/>
    <w:rsid w:val="00791B38"/>
    <w:rsid w:val="007E4CFB"/>
    <w:rsid w:val="008026BF"/>
    <w:rsid w:val="0082704B"/>
    <w:rsid w:val="008423F5"/>
    <w:rsid w:val="00842CBB"/>
    <w:rsid w:val="00944DD0"/>
    <w:rsid w:val="00945D0B"/>
    <w:rsid w:val="009659BE"/>
    <w:rsid w:val="00985214"/>
    <w:rsid w:val="009B74FB"/>
    <w:rsid w:val="00A125AA"/>
    <w:rsid w:val="00A32D71"/>
    <w:rsid w:val="00A372C2"/>
    <w:rsid w:val="00A40A1C"/>
    <w:rsid w:val="00AA21A2"/>
    <w:rsid w:val="00AA7BEA"/>
    <w:rsid w:val="00AE2C10"/>
    <w:rsid w:val="00B005DA"/>
    <w:rsid w:val="00B17297"/>
    <w:rsid w:val="00B40ED6"/>
    <w:rsid w:val="00BA1955"/>
    <w:rsid w:val="00BE540B"/>
    <w:rsid w:val="00BE6599"/>
    <w:rsid w:val="00C07E97"/>
    <w:rsid w:val="00C21971"/>
    <w:rsid w:val="00C222CB"/>
    <w:rsid w:val="00C43265"/>
    <w:rsid w:val="00C82568"/>
    <w:rsid w:val="00CA2480"/>
    <w:rsid w:val="00CB45AA"/>
    <w:rsid w:val="00CB4771"/>
    <w:rsid w:val="00CC2467"/>
    <w:rsid w:val="00CD29B3"/>
    <w:rsid w:val="00D6325B"/>
    <w:rsid w:val="00D9008B"/>
    <w:rsid w:val="00DB7E7C"/>
    <w:rsid w:val="00DC5EA2"/>
    <w:rsid w:val="00DD0E6B"/>
    <w:rsid w:val="00E2406E"/>
    <w:rsid w:val="00E435AC"/>
    <w:rsid w:val="00E71A30"/>
    <w:rsid w:val="00F00F83"/>
    <w:rsid w:val="00F7078F"/>
    <w:rsid w:val="04700BF9"/>
    <w:rsid w:val="064A3FAD"/>
    <w:rsid w:val="0B6A15E4"/>
    <w:rsid w:val="0D6054DA"/>
    <w:rsid w:val="1AF90D88"/>
    <w:rsid w:val="1F545778"/>
    <w:rsid w:val="2582128B"/>
    <w:rsid w:val="4CB449D6"/>
    <w:rsid w:val="555577E8"/>
    <w:rsid w:val="62A02981"/>
    <w:rsid w:val="67317415"/>
    <w:rsid w:val="6DB55011"/>
    <w:rsid w:val="6E5238A6"/>
    <w:rsid w:val="70FA7241"/>
    <w:rsid w:val="739A1501"/>
    <w:rsid w:val="79082CD5"/>
    <w:rsid w:val="7C52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9D7D"/>
  <w15:docId w15:val="{77CEAE91-D40D-4202-954D-3263C4C4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543</Words>
  <Characters>3101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82</cp:revision>
  <cp:lastPrinted>2017-08-29T03:35:00Z</cp:lastPrinted>
  <dcterms:created xsi:type="dcterms:W3CDTF">2015-11-03T02:02:00Z</dcterms:created>
  <dcterms:modified xsi:type="dcterms:W3CDTF">2019-03-13T08:40:00Z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