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480" w:rsidRPr="0082704B" w:rsidRDefault="00803207" w:rsidP="00945D0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</w:t>
      </w:r>
      <w:r w:rsidR="00AB3BAA">
        <w:rPr>
          <w:rFonts w:hint="eastAsia"/>
          <w:b/>
          <w:sz w:val="44"/>
          <w:szCs w:val="44"/>
        </w:rPr>
        <w:t>机关</w:t>
      </w:r>
      <w:r w:rsidR="00AB3BAA">
        <w:rPr>
          <w:b/>
          <w:sz w:val="44"/>
          <w:szCs w:val="44"/>
        </w:rPr>
        <w:t>服务中心</w:t>
      </w:r>
      <w:r w:rsidR="00CA2480" w:rsidRPr="0082704B">
        <w:rPr>
          <w:rFonts w:hint="eastAsia"/>
          <w:b/>
          <w:sz w:val="44"/>
          <w:szCs w:val="44"/>
        </w:rPr>
        <w:t>2015</w:t>
      </w:r>
      <w:r w:rsidR="00CA2480" w:rsidRPr="0082704B">
        <w:rPr>
          <w:rFonts w:hint="eastAsia"/>
          <w:b/>
          <w:sz w:val="44"/>
          <w:szCs w:val="44"/>
        </w:rPr>
        <w:t>年</w:t>
      </w:r>
      <w:r w:rsidR="00CA2480" w:rsidRPr="0082704B">
        <w:rPr>
          <w:b/>
          <w:sz w:val="44"/>
          <w:szCs w:val="44"/>
        </w:rPr>
        <w:t>部门决算情况说明</w:t>
      </w:r>
    </w:p>
    <w:p w:rsidR="00945D0B" w:rsidRPr="00945D0B" w:rsidRDefault="00945D0B" w:rsidP="00945D0B">
      <w:pPr>
        <w:jc w:val="center"/>
        <w:rPr>
          <w:b/>
          <w:sz w:val="28"/>
          <w:szCs w:val="28"/>
        </w:rPr>
      </w:pPr>
    </w:p>
    <w:p w:rsidR="00CA2480" w:rsidRPr="0082704B" w:rsidRDefault="00CA2480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一、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收入支出决算总体情况说明</w:t>
      </w:r>
    </w:p>
    <w:p w:rsidR="00CA2480" w:rsidRPr="0082704B" w:rsidRDefault="005B3169" w:rsidP="0082704B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部门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2015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年本</w:t>
      </w:r>
      <w:r w:rsidR="00CA2480" w:rsidRPr="0082704B">
        <w:rPr>
          <w:snapToGrid w:val="0"/>
          <w:kern w:val="0"/>
          <w:sz w:val="28"/>
          <w:szCs w:val="28"/>
        </w:rPr>
        <w:t>年收入总计</w:t>
      </w:r>
      <w:r w:rsidR="00957F84">
        <w:rPr>
          <w:rFonts w:hint="eastAsia"/>
          <w:snapToGrid w:val="0"/>
          <w:kern w:val="0"/>
          <w:sz w:val="28"/>
          <w:szCs w:val="28"/>
        </w:rPr>
        <w:t>630.42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较</w:t>
      </w:r>
      <w:r w:rsidR="00CA2480" w:rsidRPr="0082704B">
        <w:rPr>
          <w:snapToGrid w:val="0"/>
          <w:kern w:val="0"/>
          <w:sz w:val="28"/>
          <w:szCs w:val="28"/>
        </w:rPr>
        <w:t>上年增长</w:t>
      </w:r>
      <w:r w:rsidR="00957F84">
        <w:rPr>
          <w:rFonts w:hint="eastAsia"/>
          <w:snapToGrid w:val="0"/>
          <w:kern w:val="0"/>
          <w:sz w:val="28"/>
          <w:szCs w:val="28"/>
        </w:rPr>
        <w:t>37.18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CA2480" w:rsidRPr="0082704B">
        <w:rPr>
          <w:snapToGrid w:val="0"/>
          <w:kern w:val="0"/>
          <w:sz w:val="28"/>
          <w:szCs w:val="28"/>
        </w:rPr>
        <w:t>%</w:t>
      </w:r>
      <w:r w:rsidR="00CA2480" w:rsidRPr="0082704B">
        <w:rPr>
          <w:snapToGrid w:val="0"/>
          <w:kern w:val="0"/>
          <w:sz w:val="28"/>
          <w:szCs w:val="28"/>
        </w:rPr>
        <w:t>，增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收</w:t>
      </w:r>
      <w:r w:rsidR="00957F84">
        <w:rPr>
          <w:rFonts w:hint="eastAsia"/>
          <w:snapToGrid w:val="0"/>
          <w:kern w:val="0"/>
          <w:sz w:val="28"/>
          <w:szCs w:val="28"/>
        </w:rPr>
        <w:t>170.85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元；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本</w:t>
      </w:r>
      <w:r w:rsidR="00CA2480" w:rsidRPr="0082704B">
        <w:rPr>
          <w:snapToGrid w:val="0"/>
          <w:kern w:val="0"/>
          <w:sz w:val="28"/>
          <w:szCs w:val="28"/>
        </w:rPr>
        <w:t>年支出总计</w:t>
      </w:r>
      <w:r w:rsidR="00957F84">
        <w:rPr>
          <w:rFonts w:hint="eastAsia"/>
          <w:snapToGrid w:val="0"/>
          <w:kern w:val="0"/>
          <w:sz w:val="28"/>
          <w:szCs w:val="28"/>
        </w:rPr>
        <w:t>753.17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元，较上年增长</w:t>
      </w:r>
      <w:r w:rsidR="00957F84">
        <w:rPr>
          <w:rFonts w:hint="eastAsia"/>
          <w:snapToGrid w:val="0"/>
          <w:kern w:val="0"/>
          <w:sz w:val="28"/>
          <w:szCs w:val="28"/>
        </w:rPr>
        <w:t>11.28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CA2480" w:rsidRPr="0082704B">
        <w:rPr>
          <w:snapToGrid w:val="0"/>
          <w:kern w:val="0"/>
          <w:sz w:val="28"/>
          <w:szCs w:val="28"/>
        </w:rPr>
        <w:t>%</w:t>
      </w:r>
      <w:r w:rsidR="00CA2480" w:rsidRPr="0082704B">
        <w:rPr>
          <w:snapToGrid w:val="0"/>
          <w:kern w:val="0"/>
          <w:sz w:val="28"/>
          <w:szCs w:val="28"/>
        </w:rPr>
        <w:t>，增支</w:t>
      </w:r>
      <w:r w:rsidR="00957F84">
        <w:rPr>
          <w:rFonts w:hint="eastAsia"/>
          <w:snapToGrid w:val="0"/>
          <w:kern w:val="0"/>
          <w:sz w:val="28"/>
          <w:szCs w:val="28"/>
        </w:rPr>
        <w:t>76.36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，</w:t>
      </w:r>
      <w:r w:rsidR="00CA2480" w:rsidRPr="0082704B">
        <w:rPr>
          <w:snapToGrid w:val="0"/>
          <w:kern w:val="0"/>
          <w:sz w:val="28"/>
          <w:szCs w:val="28"/>
        </w:rPr>
        <w:t>年末结转结余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7E69A1">
        <w:rPr>
          <w:rFonts w:hint="eastAsia"/>
          <w:snapToGrid w:val="0"/>
          <w:kern w:val="0"/>
          <w:sz w:val="28"/>
          <w:szCs w:val="28"/>
        </w:rPr>
        <w:t>19.55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元。</w:t>
      </w:r>
    </w:p>
    <w:p w:rsidR="00CA2480" w:rsidRPr="0082704B" w:rsidRDefault="00CA2480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二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、</w:t>
      </w: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收入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决算情况说明</w:t>
      </w:r>
    </w:p>
    <w:p w:rsidR="00CA2480" w:rsidRPr="0082704B" w:rsidRDefault="005B3169" w:rsidP="0082704B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 w:rsidR="00CA2480" w:rsidRPr="0082704B">
        <w:rPr>
          <w:snapToGrid w:val="0"/>
          <w:kern w:val="0"/>
          <w:sz w:val="28"/>
          <w:szCs w:val="28"/>
        </w:rPr>
        <w:t>部门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2015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年</w:t>
      </w:r>
      <w:r w:rsidR="00CA2480" w:rsidRPr="0082704B">
        <w:rPr>
          <w:snapToGrid w:val="0"/>
          <w:kern w:val="0"/>
          <w:sz w:val="28"/>
          <w:szCs w:val="28"/>
        </w:rPr>
        <w:t>度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收</w:t>
      </w:r>
      <w:r w:rsidR="00CA2480" w:rsidRPr="0082704B">
        <w:rPr>
          <w:snapToGrid w:val="0"/>
          <w:kern w:val="0"/>
          <w:sz w:val="28"/>
          <w:szCs w:val="28"/>
        </w:rPr>
        <w:t>入总计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353A85">
        <w:rPr>
          <w:rFonts w:hint="eastAsia"/>
          <w:snapToGrid w:val="0"/>
          <w:kern w:val="0"/>
          <w:sz w:val="28"/>
          <w:szCs w:val="28"/>
        </w:rPr>
        <w:t>630.42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万元</w:t>
      </w:r>
      <w:r w:rsidR="00CA2480" w:rsidRPr="0082704B">
        <w:rPr>
          <w:snapToGrid w:val="0"/>
          <w:kern w:val="0"/>
          <w:sz w:val="28"/>
          <w:szCs w:val="28"/>
        </w:rPr>
        <w:t>，其中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财政</w:t>
      </w:r>
      <w:r w:rsidR="00CA2480" w:rsidRPr="0082704B">
        <w:rPr>
          <w:snapToGrid w:val="0"/>
          <w:kern w:val="0"/>
          <w:sz w:val="28"/>
          <w:szCs w:val="28"/>
        </w:rPr>
        <w:t>拨款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收</w:t>
      </w:r>
      <w:r w:rsidR="00CA2480" w:rsidRPr="0082704B">
        <w:rPr>
          <w:snapToGrid w:val="0"/>
          <w:kern w:val="0"/>
          <w:sz w:val="28"/>
          <w:szCs w:val="28"/>
        </w:rPr>
        <w:t>入</w:t>
      </w:r>
      <w:r w:rsidR="00097668">
        <w:rPr>
          <w:rFonts w:hint="eastAsia"/>
          <w:snapToGrid w:val="0"/>
          <w:kern w:val="0"/>
          <w:sz w:val="28"/>
          <w:szCs w:val="28"/>
        </w:rPr>
        <w:t>629.</w:t>
      </w:r>
      <w:r w:rsidR="00114755">
        <w:rPr>
          <w:rFonts w:hint="eastAsia"/>
          <w:snapToGrid w:val="0"/>
          <w:kern w:val="0"/>
          <w:sz w:val="28"/>
          <w:szCs w:val="28"/>
        </w:rPr>
        <w:t>6</w:t>
      </w:r>
      <w:r w:rsidR="00097668">
        <w:rPr>
          <w:rFonts w:hint="eastAsia"/>
          <w:snapToGrid w:val="0"/>
          <w:kern w:val="0"/>
          <w:sz w:val="28"/>
          <w:szCs w:val="28"/>
        </w:rPr>
        <w:t>0</w:t>
      </w:r>
      <w:r w:rsidR="007E69A1">
        <w:rPr>
          <w:rFonts w:hint="eastAsia"/>
          <w:snapToGrid w:val="0"/>
          <w:kern w:val="0"/>
          <w:sz w:val="28"/>
          <w:szCs w:val="28"/>
        </w:rPr>
        <w:t xml:space="preserve"> 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万元</w:t>
      </w:r>
      <w:r w:rsidR="00CA2480" w:rsidRPr="0082704B">
        <w:rPr>
          <w:snapToGrid w:val="0"/>
          <w:kern w:val="0"/>
          <w:sz w:val="28"/>
          <w:szCs w:val="28"/>
        </w:rPr>
        <w:t>，其他收入</w:t>
      </w:r>
      <w:r w:rsidR="00353A85">
        <w:rPr>
          <w:rFonts w:hint="eastAsia"/>
          <w:snapToGrid w:val="0"/>
          <w:kern w:val="0"/>
          <w:sz w:val="28"/>
          <w:szCs w:val="28"/>
        </w:rPr>
        <w:t>0.81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元。</w:t>
      </w:r>
    </w:p>
    <w:p w:rsidR="00CA2480" w:rsidRPr="0082704B" w:rsidRDefault="00CA2480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三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、支出决算情况说明</w:t>
      </w:r>
    </w:p>
    <w:p w:rsidR="00CA2480" w:rsidRPr="0082704B" w:rsidRDefault="005B3169" w:rsidP="0082704B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 w:rsidR="00CA2480" w:rsidRPr="0082704B">
        <w:rPr>
          <w:snapToGrid w:val="0"/>
          <w:kern w:val="0"/>
          <w:sz w:val="28"/>
          <w:szCs w:val="28"/>
        </w:rPr>
        <w:t>部门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2015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年</w:t>
      </w:r>
      <w:r w:rsidR="00CA2480" w:rsidRPr="0082704B">
        <w:rPr>
          <w:snapToGrid w:val="0"/>
          <w:kern w:val="0"/>
          <w:sz w:val="28"/>
          <w:szCs w:val="28"/>
        </w:rPr>
        <w:t>度支出总计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0871D0">
        <w:rPr>
          <w:rFonts w:hint="eastAsia"/>
          <w:snapToGrid w:val="0"/>
          <w:kern w:val="0"/>
          <w:sz w:val="28"/>
          <w:szCs w:val="28"/>
        </w:rPr>
        <w:t>753.17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元，其中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基本</w:t>
      </w:r>
      <w:r w:rsidR="00CA2480" w:rsidRPr="0082704B">
        <w:rPr>
          <w:snapToGrid w:val="0"/>
          <w:kern w:val="0"/>
          <w:sz w:val="28"/>
          <w:szCs w:val="28"/>
        </w:rPr>
        <w:t>支出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CE04DA">
        <w:rPr>
          <w:rFonts w:hint="eastAsia"/>
          <w:snapToGrid w:val="0"/>
          <w:kern w:val="0"/>
          <w:sz w:val="28"/>
          <w:szCs w:val="28"/>
        </w:rPr>
        <w:t>545.84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元，项目支出</w:t>
      </w:r>
      <w:r w:rsidR="00CE04DA">
        <w:rPr>
          <w:rFonts w:hint="eastAsia"/>
          <w:snapToGrid w:val="0"/>
          <w:kern w:val="0"/>
          <w:sz w:val="28"/>
          <w:szCs w:val="28"/>
        </w:rPr>
        <w:t>207.33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。</w:t>
      </w:r>
    </w:p>
    <w:p w:rsidR="00CA2480" w:rsidRPr="0082704B" w:rsidRDefault="00CA2480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四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、财政拨款收入支出</w:t>
      </w: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决算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总体情况说明</w:t>
      </w:r>
    </w:p>
    <w:p w:rsidR="00CA2480" w:rsidRPr="0082704B" w:rsidRDefault="005B3169" w:rsidP="0082704B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 w:rsidR="00CA2480" w:rsidRPr="0082704B">
        <w:rPr>
          <w:snapToGrid w:val="0"/>
          <w:kern w:val="0"/>
          <w:sz w:val="28"/>
          <w:szCs w:val="28"/>
        </w:rPr>
        <w:t>部门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2015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年</w:t>
      </w:r>
      <w:r w:rsidR="00CA2480" w:rsidRPr="0082704B">
        <w:rPr>
          <w:snapToGrid w:val="0"/>
          <w:kern w:val="0"/>
          <w:sz w:val="28"/>
          <w:szCs w:val="28"/>
        </w:rPr>
        <w:t>度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财政</w:t>
      </w:r>
      <w:r w:rsidR="00CA2480" w:rsidRPr="0082704B">
        <w:rPr>
          <w:snapToGrid w:val="0"/>
          <w:kern w:val="0"/>
          <w:sz w:val="28"/>
          <w:szCs w:val="28"/>
        </w:rPr>
        <w:t>拨款收入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总</w:t>
      </w:r>
      <w:r w:rsidR="00CA2480" w:rsidRPr="0082704B">
        <w:rPr>
          <w:snapToGrid w:val="0"/>
          <w:kern w:val="0"/>
          <w:sz w:val="28"/>
          <w:szCs w:val="28"/>
        </w:rPr>
        <w:t>计</w:t>
      </w:r>
      <w:r w:rsidR="00C43E13">
        <w:rPr>
          <w:rFonts w:hint="eastAsia"/>
          <w:snapToGrid w:val="0"/>
          <w:kern w:val="0"/>
          <w:sz w:val="28"/>
          <w:szCs w:val="28"/>
        </w:rPr>
        <w:t>629.60</w:t>
      </w:r>
      <w:r w:rsidR="007E69A1">
        <w:rPr>
          <w:rFonts w:hint="eastAsia"/>
          <w:snapToGrid w:val="0"/>
          <w:kern w:val="0"/>
          <w:sz w:val="28"/>
          <w:szCs w:val="28"/>
        </w:rPr>
        <w:t xml:space="preserve"> 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元，较上年增长</w:t>
      </w:r>
      <w:r w:rsidR="00C43E13">
        <w:rPr>
          <w:rFonts w:hint="eastAsia"/>
          <w:snapToGrid w:val="0"/>
          <w:kern w:val="0"/>
          <w:sz w:val="28"/>
          <w:szCs w:val="28"/>
        </w:rPr>
        <w:t>39.68</w:t>
      </w:r>
      <w:r w:rsidR="00CA2480" w:rsidRPr="0082704B">
        <w:rPr>
          <w:snapToGrid w:val="0"/>
          <w:kern w:val="0"/>
          <w:sz w:val="28"/>
          <w:szCs w:val="28"/>
        </w:rPr>
        <w:t>%</w:t>
      </w:r>
      <w:r w:rsidR="00CA2480" w:rsidRPr="0082704B">
        <w:rPr>
          <w:snapToGrid w:val="0"/>
          <w:kern w:val="0"/>
          <w:sz w:val="28"/>
          <w:szCs w:val="28"/>
        </w:rPr>
        <w:t>，增收</w:t>
      </w:r>
      <w:r w:rsidR="00C43E13">
        <w:rPr>
          <w:rFonts w:hint="eastAsia"/>
          <w:snapToGrid w:val="0"/>
          <w:kern w:val="0"/>
          <w:sz w:val="28"/>
          <w:szCs w:val="28"/>
        </w:rPr>
        <w:t>178.85</w:t>
      </w:r>
      <w:r w:rsidR="007E69A1">
        <w:rPr>
          <w:rFonts w:hint="eastAsia"/>
          <w:snapToGrid w:val="0"/>
          <w:kern w:val="0"/>
          <w:sz w:val="28"/>
          <w:szCs w:val="28"/>
        </w:rPr>
        <w:t xml:space="preserve"> 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；</w:t>
      </w:r>
      <w:r w:rsidR="00CA2480" w:rsidRPr="0082704B">
        <w:rPr>
          <w:snapToGrid w:val="0"/>
          <w:kern w:val="0"/>
          <w:sz w:val="28"/>
          <w:szCs w:val="28"/>
        </w:rPr>
        <w:t>财政拨款支出总计</w:t>
      </w:r>
      <w:r w:rsidR="00B47642">
        <w:rPr>
          <w:rFonts w:hint="eastAsia"/>
          <w:snapToGrid w:val="0"/>
          <w:kern w:val="0"/>
          <w:sz w:val="28"/>
          <w:szCs w:val="28"/>
        </w:rPr>
        <w:t>696.85</w:t>
      </w:r>
      <w:r w:rsidR="007E69A1">
        <w:rPr>
          <w:rFonts w:hint="eastAsia"/>
          <w:snapToGrid w:val="0"/>
          <w:kern w:val="0"/>
          <w:sz w:val="28"/>
          <w:szCs w:val="28"/>
        </w:rPr>
        <w:t xml:space="preserve"> 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</w:t>
      </w:r>
      <w:r>
        <w:rPr>
          <w:rFonts w:hint="eastAsia"/>
          <w:snapToGrid w:val="0"/>
          <w:kern w:val="0"/>
          <w:sz w:val="28"/>
          <w:szCs w:val="28"/>
        </w:rPr>
        <w:t>较</w:t>
      </w:r>
      <w:r>
        <w:rPr>
          <w:snapToGrid w:val="0"/>
          <w:kern w:val="0"/>
          <w:sz w:val="28"/>
          <w:szCs w:val="28"/>
        </w:rPr>
        <w:t>上年</w:t>
      </w:r>
      <w:r>
        <w:rPr>
          <w:rFonts w:hint="eastAsia"/>
          <w:snapToGrid w:val="0"/>
          <w:kern w:val="0"/>
          <w:sz w:val="28"/>
          <w:szCs w:val="28"/>
        </w:rPr>
        <w:t>增</w:t>
      </w:r>
      <w:r>
        <w:rPr>
          <w:snapToGrid w:val="0"/>
          <w:kern w:val="0"/>
          <w:sz w:val="28"/>
          <w:szCs w:val="28"/>
        </w:rPr>
        <w:t>长</w:t>
      </w:r>
      <w:r w:rsidR="00B47642">
        <w:rPr>
          <w:rFonts w:hint="eastAsia"/>
          <w:snapToGrid w:val="0"/>
          <w:kern w:val="0"/>
          <w:sz w:val="28"/>
          <w:szCs w:val="28"/>
        </w:rPr>
        <w:t>7.98</w:t>
      </w:r>
      <w:r w:rsidR="007E69A1">
        <w:rPr>
          <w:rFonts w:hint="eastAsia"/>
          <w:snapToGrid w:val="0"/>
          <w:kern w:val="0"/>
          <w:sz w:val="28"/>
          <w:szCs w:val="28"/>
        </w:rPr>
        <w:t xml:space="preserve"> </w:t>
      </w:r>
      <w:r>
        <w:rPr>
          <w:snapToGrid w:val="0"/>
          <w:kern w:val="0"/>
          <w:sz w:val="28"/>
          <w:szCs w:val="28"/>
        </w:rPr>
        <w:t>%</w:t>
      </w:r>
      <w:r>
        <w:rPr>
          <w:snapToGrid w:val="0"/>
          <w:kern w:val="0"/>
          <w:sz w:val="28"/>
          <w:szCs w:val="28"/>
        </w:rPr>
        <w:t>，增支</w:t>
      </w:r>
      <w:r w:rsidR="00B47642">
        <w:rPr>
          <w:rFonts w:hint="eastAsia"/>
          <w:snapToGrid w:val="0"/>
          <w:kern w:val="0"/>
          <w:sz w:val="28"/>
          <w:szCs w:val="28"/>
        </w:rPr>
        <w:t>51.51</w:t>
      </w:r>
      <w:r w:rsidR="007E69A1">
        <w:rPr>
          <w:rFonts w:hint="eastAsia"/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元，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年</w:t>
      </w:r>
      <w:r w:rsidR="00CA2480" w:rsidRPr="0082704B">
        <w:rPr>
          <w:snapToGrid w:val="0"/>
          <w:kern w:val="0"/>
          <w:sz w:val="28"/>
          <w:szCs w:val="28"/>
        </w:rPr>
        <w:t>末财政拨款结转结余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E92ED3">
        <w:rPr>
          <w:rFonts w:hint="eastAsia"/>
          <w:snapToGrid w:val="0"/>
          <w:kern w:val="0"/>
          <w:sz w:val="28"/>
          <w:szCs w:val="28"/>
        </w:rPr>
        <w:t>0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元。</w:t>
      </w:r>
    </w:p>
    <w:p w:rsidR="00CA2480" w:rsidRPr="0082704B" w:rsidRDefault="00CA2480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五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、一般公共预算财政拨款“三公”经费支出决算情况说明</w:t>
      </w:r>
    </w:p>
    <w:p w:rsidR="0060361A" w:rsidRPr="0082704B" w:rsidRDefault="0082704B" w:rsidP="0082704B">
      <w:pPr>
        <w:adjustRightInd w:val="0"/>
        <w:snapToGrid w:val="0"/>
        <w:spacing w:line="600" w:lineRule="exact"/>
        <w:ind w:leftChars="50" w:left="105" w:firstLineChars="200" w:firstLine="560"/>
        <w:rPr>
          <w:snapToGrid w:val="0"/>
          <w:kern w:val="0"/>
          <w:sz w:val="28"/>
          <w:szCs w:val="28"/>
        </w:rPr>
      </w:pPr>
      <w:r w:rsidRPr="0082704B">
        <w:rPr>
          <w:rFonts w:hint="eastAsia"/>
          <w:snapToGrid w:val="0"/>
          <w:kern w:val="0"/>
          <w:sz w:val="28"/>
          <w:szCs w:val="28"/>
        </w:rPr>
        <w:t>1</w:t>
      </w:r>
      <w:r w:rsidRPr="0082704B">
        <w:rPr>
          <w:rFonts w:hint="eastAsia"/>
          <w:snapToGrid w:val="0"/>
          <w:kern w:val="0"/>
          <w:sz w:val="28"/>
          <w:szCs w:val="28"/>
        </w:rPr>
        <w:t>、</w:t>
      </w:r>
      <w:r w:rsidR="005B3169">
        <w:rPr>
          <w:rFonts w:hint="eastAsia"/>
          <w:snapToGrid w:val="0"/>
          <w:kern w:val="0"/>
          <w:sz w:val="28"/>
          <w:szCs w:val="28"/>
        </w:rPr>
        <w:t>本</w:t>
      </w:r>
      <w:r w:rsidRPr="0082704B">
        <w:rPr>
          <w:snapToGrid w:val="0"/>
          <w:kern w:val="0"/>
          <w:sz w:val="28"/>
          <w:szCs w:val="28"/>
        </w:rPr>
        <w:t>部门</w:t>
      </w:r>
      <w:r w:rsidRPr="0082704B">
        <w:rPr>
          <w:rFonts w:hint="eastAsia"/>
          <w:snapToGrid w:val="0"/>
          <w:kern w:val="0"/>
          <w:sz w:val="28"/>
          <w:szCs w:val="28"/>
        </w:rPr>
        <w:t>2015</w:t>
      </w:r>
      <w:r w:rsidRPr="0082704B">
        <w:rPr>
          <w:rFonts w:hint="eastAsia"/>
          <w:snapToGrid w:val="0"/>
          <w:kern w:val="0"/>
          <w:sz w:val="28"/>
          <w:szCs w:val="28"/>
        </w:rPr>
        <w:t>年</w:t>
      </w:r>
      <w:r w:rsidRPr="0082704B">
        <w:rPr>
          <w:snapToGrid w:val="0"/>
          <w:kern w:val="0"/>
          <w:sz w:val="28"/>
          <w:szCs w:val="28"/>
        </w:rPr>
        <w:t>度</w:t>
      </w:r>
      <w:r w:rsidR="0058572E" w:rsidRPr="0082704B">
        <w:rPr>
          <w:rFonts w:hint="eastAsia"/>
          <w:snapToGrid w:val="0"/>
          <w:kern w:val="0"/>
          <w:sz w:val="28"/>
          <w:szCs w:val="28"/>
        </w:rPr>
        <w:t>公务用车运行维护费</w:t>
      </w:r>
      <w:r w:rsidR="001863DB">
        <w:rPr>
          <w:rFonts w:hint="eastAsia"/>
          <w:snapToGrid w:val="0"/>
          <w:kern w:val="0"/>
          <w:sz w:val="28"/>
          <w:szCs w:val="28"/>
        </w:rPr>
        <w:t>2.8</w:t>
      </w:r>
      <w:r w:rsidR="007E69A1">
        <w:rPr>
          <w:rFonts w:hint="eastAsia"/>
          <w:snapToGrid w:val="0"/>
          <w:kern w:val="0"/>
          <w:sz w:val="28"/>
          <w:szCs w:val="28"/>
        </w:rPr>
        <w:t xml:space="preserve"> </w:t>
      </w:r>
      <w:bookmarkStart w:id="0" w:name="_GoBack"/>
      <w:bookmarkEnd w:id="0"/>
      <w:r w:rsidRPr="0082704B">
        <w:rPr>
          <w:rFonts w:hint="eastAsia"/>
          <w:snapToGrid w:val="0"/>
          <w:kern w:val="0"/>
          <w:sz w:val="28"/>
          <w:szCs w:val="28"/>
        </w:rPr>
        <w:t>万</w:t>
      </w:r>
      <w:r w:rsidRPr="0082704B">
        <w:rPr>
          <w:snapToGrid w:val="0"/>
          <w:kern w:val="0"/>
          <w:sz w:val="28"/>
          <w:szCs w:val="28"/>
        </w:rPr>
        <w:t>元</w:t>
      </w:r>
      <w:r w:rsidRPr="0082704B">
        <w:rPr>
          <w:rFonts w:hint="eastAsia"/>
          <w:snapToGrid w:val="0"/>
          <w:kern w:val="0"/>
          <w:sz w:val="28"/>
          <w:szCs w:val="28"/>
        </w:rPr>
        <w:t>；</w:t>
      </w:r>
      <w:r w:rsidR="00F00F83" w:rsidRPr="0082704B">
        <w:rPr>
          <w:rFonts w:hint="eastAsia"/>
          <w:snapToGrid w:val="0"/>
          <w:kern w:val="0"/>
          <w:sz w:val="28"/>
          <w:szCs w:val="28"/>
        </w:rPr>
        <w:t>公务用车购置费</w:t>
      </w:r>
      <w:r w:rsidR="001863DB">
        <w:rPr>
          <w:rFonts w:hint="eastAsia"/>
          <w:snapToGrid w:val="0"/>
          <w:kern w:val="0"/>
          <w:sz w:val="28"/>
          <w:szCs w:val="28"/>
        </w:rPr>
        <w:t>0</w:t>
      </w:r>
      <w:r w:rsidRPr="0082704B">
        <w:rPr>
          <w:rFonts w:hint="eastAsia"/>
          <w:snapToGrid w:val="0"/>
          <w:kern w:val="0"/>
          <w:sz w:val="28"/>
          <w:szCs w:val="28"/>
        </w:rPr>
        <w:t>万</w:t>
      </w:r>
      <w:r w:rsidRPr="0082704B">
        <w:rPr>
          <w:snapToGrid w:val="0"/>
          <w:kern w:val="0"/>
          <w:sz w:val="28"/>
          <w:szCs w:val="28"/>
        </w:rPr>
        <w:t>元；</w:t>
      </w:r>
      <w:r w:rsidR="00F7078F" w:rsidRPr="0082704B">
        <w:rPr>
          <w:rFonts w:hint="eastAsia"/>
          <w:snapToGrid w:val="0"/>
          <w:kern w:val="0"/>
          <w:sz w:val="28"/>
          <w:szCs w:val="28"/>
        </w:rPr>
        <w:t>较</w:t>
      </w:r>
      <w:r w:rsidR="00945D0B" w:rsidRPr="0082704B">
        <w:rPr>
          <w:rFonts w:hint="eastAsia"/>
          <w:snapToGrid w:val="0"/>
          <w:kern w:val="0"/>
          <w:sz w:val="28"/>
          <w:szCs w:val="28"/>
        </w:rPr>
        <w:t>201</w:t>
      </w:r>
      <w:r w:rsidR="0015089B" w:rsidRPr="0082704B">
        <w:rPr>
          <w:rFonts w:hint="eastAsia"/>
          <w:snapToGrid w:val="0"/>
          <w:kern w:val="0"/>
          <w:sz w:val="28"/>
          <w:szCs w:val="28"/>
        </w:rPr>
        <w:t>4</w:t>
      </w:r>
      <w:r w:rsidR="00F7078F" w:rsidRPr="0082704B">
        <w:rPr>
          <w:rFonts w:hint="eastAsia"/>
          <w:snapToGrid w:val="0"/>
          <w:kern w:val="0"/>
          <w:sz w:val="28"/>
          <w:szCs w:val="28"/>
        </w:rPr>
        <w:t>年</w:t>
      </w:r>
      <w:r w:rsidR="001863DB">
        <w:rPr>
          <w:rFonts w:hint="eastAsia"/>
          <w:snapToGrid w:val="0"/>
          <w:kern w:val="0"/>
          <w:sz w:val="28"/>
          <w:szCs w:val="28"/>
        </w:rPr>
        <w:t>上升</w:t>
      </w:r>
      <w:r w:rsidR="001863DB">
        <w:rPr>
          <w:rFonts w:hint="eastAsia"/>
          <w:snapToGrid w:val="0"/>
          <w:kern w:val="0"/>
          <w:sz w:val="28"/>
          <w:szCs w:val="28"/>
        </w:rPr>
        <w:t>0.14</w:t>
      </w:r>
      <w:r w:rsidR="001863DB">
        <w:rPr>
          <w:rFonts w:hint="eastAsia"/>
          <w:snapToGrid w:val="0"/>
          <w:kern w:val="0"/>
          <w:sz w:val="28"/>
          <w:szCs w:val="28"/>
        </w:rPr>
        <w:t>万元</w:t>
      </w:r>
      <w:r w:rsidRPr="0082704B">
        <w:rPr>
          <w:rFonts w:hint="eastAsia"/>
          <w:snapToGrid w:val="0"/>
          <w:kern w:val="0"/>
          <w:sz w:val="28"/>
          <w:szCs w:val="28"/>
        </w:rPr>
        <w:t>，</w:t>
      </w:r>
      <w:r w:rsidR="0060361A" w:rsidRPr="0082704B">
        <w:rPr>
          <w:rFonts w:hint="eastAsia"/>
          <w:snapToGrid w:val="0"/>
          <w:kern w:val="0"/>
          <w:sz w:val="28"/>
          <w:szCs w:val="28"/>
        </w:rPr>
        <w:t>主要原因是</w:t>
      </w:r>
      <w:r w:rsidR="00336552">
        <w:rPr>
          <w:rFonts w:hint="eastAsia"/>
          <w:snapToGrid w:val="0"/>
          <w:kern w:val="0"/>
          <w:sz w:val="28"/>
          <w:szCs w:val="28"/>
        </w:rPr>
        <w:t>车辆老化，维修费用增加</w:t>
      </w:r>
      <w:r w:rsidR="0060361A" w:rsidRPr="0082704B">
        <w:rPr>
          <w:rFonts w:hint="eastAsia"/>
          <w:snapToGrid w:val="0"/>
          <w:kern w:val="0"/>
          <w:sz w:val="28"/>
          <w:szCs w:val="28"/>
        </w:rPr>
        <w:t>。</w:t>
      </w:r>
    </w:p>
    <w:p w:rsidR="00F7078F" w:rsidRPr="0082704B" w:rsidRDefault="0082704B" w:rsidP="0082704B">
      <w:pPr>
        <w:pStyle w:val="a3"/>
        <w:adjustRightInd w:val="0"/>
        <w:snapToGrid w:val="0"/>
        <w:spacing w:line="600" w:lineRule="exact"/>
        <w:ind w:firstLine="560"/>
        <w:rPr>
          <w:snapToGrid w:val="0"/>
          <w:kern w:val="0"/>
          <w:sz w:val="28"/>
          <w:szCs w:val="28"/>
        </w:rPr>
      </w:pPr>
      <w:r w:rsidRPr="0082704B">
        <w:rPr>
          <w:rFonts w:hint="eastAsia"/>
          <w:snapToGrid w:val="0"/>
          <w:kern w:val="0"/>
          <w:sz w:val="28"/>
          <w:szCs w:val="28"/>
        </w:rPr>
        <w:t>2</w:t>
      </w:r>
      <w:r w:rsidRPr="0082704B">
        <w:rPr>
          <w:rFonts w:hint="eastAsia"/>
          <w:snapToGrid w:val="0"/>
          <w:kern w:val="0"/>
          <w:sz w:val="28"/>
          <w:szCs w:val="28"/>
        </w:rPr>
        <w:t>、</w:t>
      </w:r>
      <w:r w:rsidR="005B3169">
        <w:rPr>
          <w:rFonts w:hint="eastAsia"/>
          <w:snapToGrid w:val="0"/>
          <w:kern w:val="0"/>
          <w:sz w:val="28"/>
          <w:szCs w:val="28"/>
        </w:rPr>
        <w:t>本</w:t>
      </w:r>
      <w:r w:rsidR="005B3169">
        <w:rPr>
          <w:snapToGrid w:val="0"/>
          <w:kern w:val="0"/>
          <w:sz w:val="28"/>
          <w:szCs w:val="28"/>
        </w:rPr>
        <w:t>部门</w:t>
      </w:r>
      <w:r w:rsidR="00F00F83" w:rsidRPr="0082704B">
        <w:rPr>
          <w:rFonts w:hint="eastAsia"/>
          <w:snapToGrid w:val="0"/>
          <w:kern w:val="0"/>
          <w:sz w:val="28"/>
          <w:szCs w:val="28"/>
        </w:rPr>
        <w:t>公务接待费</w:t>
      </w:r>
      <w:r w:rsidR="00F7078F" w:rsidRPr="0082704B">
        <w:rPr>
          <w:rFonts w:hint="eastAsia"/>
          <w:snapToGrid w:val="0"/>
          <w:kern w:val="0"/>
          <w:sz w:val="28"/>
          <w:szCs w:val="28"/>
        </w:rPr>
        <w:t>全年支出</w:t>
      </w:r>
      <w:r w:rsidR="00E90796">
        <w:rPr>
          <w:rFonts w:hint="eastAsia"/>
          <w:snapToGrid w:val="0"/>
          <w:kern w:val="0"/>
          <w:sz w:val="28"/>
          <w:szCs w:val="28"/>
        </w:rPr>
        <w:t>0</w:t>
      </w:r>
      <w:r w:rsidR="0015089B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E90796">
        <w:rPr>
          <w:rFonts w:hint="eastAsia"/>
          <w:snapToGrid w:val="0"/>
          <w:kern w:val="0"/>
          <w:sz w:val="28"/>
          <w:szCs w:val="28"/>
        </w:rPr>
        <w:t>万元</w:t>
      </w:r>
      <w:r w:rsidR="008D10CE">
        <w:rPr>
          <w:rFonts w:hint="eastAsia"/>
          <w:snapToGrid w:val="0"/>
          <w:kern w:val="0"/>
          <w:sz w:val="28"/>
          <w:szCs w:val="28"/>
        </w:rPr>
        <w:t>，</w:t>
      </w:r>
      <w:r w:rsidR="00E90796">
        <w:rPr>
          <w:rFonts w:hint="eastAsia"/>
          <w:snapToGrid w:val="0"/>
          <w:kern w:val="0"/>
          <w:sz w:val="28"/>
          <w:szCs w:val="28"/>
        </w:rPr>
        <w:t>与</w:t>
      </w:r>
      <w:r w:rsidR="00E90796">
        <w:rPr>
          <w:rFonts w:hint="eastAsia"/>
          <w:snapToGrid w:val="0"/>
          <w:kern w:val="0"/>
          <w:sz w:val="28"/>
          <w:szCs w:val="28"/>
        </w:rPr>
        <w:t>2014</w:t>
      </w:r>
      <w:r w:rsidR="00E90796">
        <w:rPr>
          <w:rFonts w:hint="eastAsia"/>
          <w:snapToGrid w:val="0"/>
          <w:kern w:val="0"/>
          <w:sz w:val="28"/>
          <w:szCs w:val="28"/>
        </w:rPr>
        <w:t>年持平。</w:t>
      </w:r>
    </w:p>
    <w:p w:rsidR="0082704B" w:rsidRPr="0082704B" w:rsidRDefault="0082704B" w:rsidP="0082704B">
      <w:pPr>
        <w:pStyle w:val="a3"/>
        <w:adjustRightInd w:val="0"/>
        <w:snapToGrid w:val="0"/>
        <w:spacing w:line="600" w:lineRule="exact"/>
        <w:ind w:leftChars="50" w:left="105" w:firstLine="560"/>
        <w:rPr>
          <w:snapToGrid w:val="0"/>
          <w:kern w:val="0"/>
          <w:sz w:val="28"/>
          <w:szCs w:val="28"/>
        </w:rPr>
      </w:pPr>
    </w:p>
    <w:sectPr w:rsidR="0082704B" w:rsidRPr="00827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5663E"/>
    <w:multiLevelType w:val="hybridMultilevel"/>
    <w:tmpl w:val="8BBE6DEA"/>
    <w:lvl w:ilvl="0" w:tplc="B23AFD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7D5612"/>
    <w:multiLevelType w:val="hybridMultilevel"/>
    <w:tmpl w:val="2696B8E6"/>
    <w:lvl w:ilvl="0" w:tplc="B3C28E5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4B001C"/>
    <w:multiLevelType w:val="hybridMultilevel"/>
    <w:tmpl w:val="70749916"/>
    <w:lvl w:ilvl="0" w:tplc="799A930A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0332A40"/>
    <w:multiLevelType w:val="hybridMultilevel"/>
    <w:tmpl w:val="C1569402"/>
    <w:lvl w:ilvl="0" w:tplc="1A3A7812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3F5"/>
    <w:rsid w:val="000871D0"/>
    <w:rsid w:val="00097668"/>
    <w:rsid w:val="000A6442"/>
    <w:rsid w:val="00114755"/>
    <w:rsid w:val="0015089B"/>
    <w:rsid w:val="00152908"/>
    <w:rsid w:val="001863DB"/>
    <w:rsid w:val="00336552"/>
    <w:rsid w:val="00353A85"/>
    <w:rsid w:val="004B5A72"/>
    <w:rsid w:val="0058572E"/>
    <w:rsid w:val="005B3169"/>
    <w:rsid w:val="005F0223"/>
    <w:rsid w:val="0060361A"/>
    <w:rsid w:val="00695B6F"/>
    <w:rsid w:val="006E71D0"/>
    <w:rsid w:val="007E69A1"/>
    <w:rsid w:val="00803207"/>
    <w:rsid w:val="0082704B"/>
    <w:rsid w:val="008423F5"/>
    <w:rsid w:val="008D10CE"/>
    <w:rsid w:val="008F2602"/>
    <w:rsid w:val="00945D0B"/>
    <w:rsid w:val="00957F84"/>
    <w:rsid w:val="00A209AA"/>
    <w:rsid w:val="00AB3BAA"/>
    <w:rsid w:val="00B005DA"/>
    <w:rsid w:val="00B40ED6"/>
    <w:rsid w:val="00B47642"/>
    <w:rsid w:val="00C222CB"/>
    <w:rsid w:val="00C43E13"/>
    <w:rsid w:val="00C82568"/>
    <w:rsid w:val="00CA2480"/>
    <w:rsid w:val="00CB45AA"/>
    <w:rsid w:val="00CE04DA"/>
    <w:rsid w:val="00D9008B"/>
    <w:rsid w:val="00E66BD3"/>
    <w:rsid w:val="00E83A86"/>
    <w:rsid w:val="00E90796"/>
    <w:rsid w:val="00E92ED3"/>
    <w:rsid w:val="00F00F83"/>
    <w:rsid w:val="00F7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72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7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78</Words>
  <Characters>446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yuanxiaowei</dc:creator>
  <cp:keywords/>
  <dc:description/>
  <cp:lastModifiedBy>Lenovo</cp:lastModifiedBy>
  <cp:revision>71</cp:revision>
  <dcterms:created xsi:type="dcterms:W3CDTF">2015-11-03T02:02:00Z</dcterms:created>
  <dcterms:modified xsi:type="dcterms:W3CDTF">2016-09-13T09:11:00Z</dcterms:modified>
</cp:coreProperties>
</file>