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科协部门预算安排情况说明</w:t>
      </w:r>
    </w:p>
    <w:p>
      <w:pPr>
        <w:rPr>
          <w:rFonts w:hint="eastAsia"/>
        </w:rPr>
      </w:pPr>
      <w:r>
        <w:rPr>
          <w:rFonts w:hint="eastAsia"/>
        </w:rPr>
        <w:t>一、部门预算总体安排情况。2016年部门预算支出安排139.88万元，其中，人员经费支出135.88万元，日常公用经费支出11.09万元，项目支出4万元。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机关运行经费安排情况。2016年日常公用经费预算安排11.09万元，其中，办公费综合定额4.4万元，公务用车运行维护费3万，邮电费0.90万，离退休干部经费1.05，工会经费和福利费等按规定比例计提项目1.74万元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三、机构设置情况。科协机关共设置1个</w:t>
      </w:r>
      <w:bookmarkStart w:id="0" w:name="_GoBack"/>
      <w:bookmarkEnd w:id="0"/>
      <w:r>
        <w:rPr>
          <w:rFonts w:hint="eastAsia"/>
        </w:rPr>
        <w:t>综合股，事业编制10人，，在编在职人员9人。</w:t>
      </w:r>
    </w:p>
    <w:p>
      <w:pPr>
        <w:rPr>
          <w:rFonts w:hint="eastAsia"/>
        </w:rPr>
      </w:pPr>
    </w:p>
    <w:p>
      <w:r>
        <w:rPr>
          <w:rFonts w:hint="eastAsia"/>
        </w:rPr>
        <w:t>四、数据增减变化说明。2016年部门支出预算较2015年出现大幅增长。由于工资增长导致人员经费增加40.88万元；日常公用经费增加1.2万元，专项项目经费和2015年一样。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B1BCD"/>
    <w:rsid w:val="507B1BC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2016-12-11T05:11:00Z</dcterms:created>
  <dc:creator>Administrator</dc:creator>
  <cp:lastModifiedBy>Administrator</cp:lastModifiedBy>
  <dcterms:modified xsi:type="dcterms:W3CDTF">2016-12-11T05:13:16Z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