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16C57">
      <w:pPr>
        <w:pStyle w:val="10"/>
        <w:keepNext w:val="0"/>
        <w:keepLines w:val="0"/>
        <w:widowControl/>
        <w:suppressLineNumbers w:val="0"/>
        <w:spacing w:before="0" w:beforeAutospacing="0" w:after="0" w:afterAutospacing="0" w:line="560" w:lineRule="atLeast"/>
        <w:ind w:left="0" w:right="0" w:firstLine="640"/>
        <w:jc w:val="center"/>
        <w:rPr>
          <w:rFonts w:hint="eastAsia" w:ascii="微软雅黑" w:hAnsi="微软雅黑" w:eastAsia="微软雅黑" w:cs="微软雅黑"/>
          <w:caps w:val="0"/>
          <w:spacing w:val="0"/>
          <w:sz w:val="21"/>
          <w:szCs w:val="21"/>
        </w:rPr>
      </w:pPr>
      <w:r>
        <w:rPr>
          <w:rFonts w:ascii="微软雅黑" w:hAnsi="微软雅黑" w:eastAsia="微软雅黑" w:cs="微软雅黑"/>
          <w:b/>
          <w:bCs/>
          <w:caps w:val="0"/>
          <w:spacing w:val="0"/>
          <w:sz w:val="45"/>
          <w:szCs w:val="45"/>
        </w:rPr>
        <w:t>保定市徐水区</w:t>
      </w:r>
      <w:r>
        <w:rPr>
          <w:rFonts w:hint="eastAsia" w:ascii="微软雅黑" w:hAnsi="微软雅黑" w:eastAsia="微软雅黑" w:cs="微软雅黑"/>
          <w:b/>
          <w:bCs/>
          <w:caps w:val="0"/>
          <w:spacing w:val="0"/>
          <w:sz w:val="45"/>
          <w:szCs w:val="45"/>
          <w:lang w:eastAsia="zh-CN"/>
        </w:rPr>
        <w:t>退役军人事务局</w:t>
      </w:r>
      <w:r>
        <w:rPr>
          <w:rFonts w:hint="eastAsia" w:ascii="微软雅黑" w:hAnsi="微软雅黑" w:eastAsia="微软雅黑" w:cs="微软雅黑"/>
          <w:b/>
          <w:bCs/>
          <w:caps w:val="0"/>
          <w:spacing w:val="0"/>
          <w:sz w:val="45"/>
          <w:szCs w:val="45"/>
        </w:rPr>
        <w:br w:type="textWrapping"/>
      </w:r>
      <w:r>
        <w:rPr>
          <w:rFonts w:hint="eastAsia" w:ascii="微软雅黑" w:hAnsi="微软雅黑" w:eastAsia="微软雅黑" w:cs="微软雅黑"/>
          <w:b/>
          <w:bCs/>
          <w:caps w:val="0"/>
          <w:spacing w:val="0"/>
          <w:sz w:val="45"/>
          <w:szCs w:val="45"/>
        </w:rPr>
        <w:t>202</w:t>
      </w:r>
      <w:r>
        <w:rPr>
          <w:rFonts w:hint="eastAsia" w:ascii="微软雅黑" w:hAnsi="微软雅黑" w:eastAsia="微软雅黑" w:cs="微软雅黑"/>
          <w:b/>
          <w:bCs/>
          <w:caps w:val="0"/>
          <w:spacing w:val="0"/>
          <w:sz w:val="45"/>
          <w:szCs w:val="45"/>
          <w:lang w:val="en-US" w:eastAsia="zh-CN"/>
        </w:rPr>
        <w:t>4</w:t>
      </w:r>
      <w:r>
        <w:rPr>
          <w:rFonts w:hint="eastAsia" w:ascii="微软雅黑" w:hAnsi="微软雅黑" w:eastAsia="微软雅黑" w:cs="微软雅黑"/>
          <w:b/>
          <w:bCs/>
          <w:caps w:val="0"/>
          <w:spacing w:val="0"/>
          <w:sz w:val="45"/>
          <w:szCs w:val="45"/>
        </w:rPr>
        <w:t>年政府信息公开工作年度报告</w:t>
      </w:r>
    </w:p>
    <w:p w14:paraId="6610875A">
      <w:pPr>
        <w:pStyle w:val="10"/>
        <w:keepNext w:val="0"/>
        <w:keepLines w:val="0"/>
        <w:widowControl/>
        <w:suppressLineNumbers w:val="0"/>
        <w:spacing w:before="0" w:beforeAutospacing="0" w:after="0" w:afterAutospacing="0" w:line="560" w:lineRule="atLeast"/>
        <w:ind w:left="0" w:right="0" w:firstLine="640"/>
        <w:jc w:val="both"/>
        <w:rPr>
          <w:sz w:val="21"/>
          <w:szCs w:val="21"/>
        </w:rPr>
      </w:pPr>
      <w:r>
        <w:rPr>
          <w:rFonts w:hint="eastAsia" w:ascii="微软雅黑" w:hAnsi="微软雅黑" w:eastAsia="微软雅黑" w:cs="微软雅黑"/>
          <w:caps w:val="0"/>
          <w:spacing w:val="0"/>
          <w:sz w:val="21"/>
          <w:szCs w:val="21"/>
        </w:rPr>
        <w:t>依据《中华人民共和国政府信息公开条例》和国务院办公厅政府信息与政务公开办公室关于印发《中华人民共和国政府信息公开工作年度报告格式》的通知（国办公开办函〔2021〕30号）要求。包括总体情况、主动公开政府信息情况、收到和处理政府信息公开申请情况、政府信息公开行政复议和行政诉讼情况、存在的主要问题及改进情况、其他需要</w:t>
      </w:r>
      <w:bookmarkStart w:id="0" w:name="_GoBack"/>
      <w:bookmarkEnd w:id="0"/>
      <w:r>
        <w:rPr>
          <w:rFonts w:hint="eastAsia" w:ascii="微软雅黑" w:hAnsi="微软雅黑" w:eastAsia="微软雅黑" w:cs="微软雅黑"/>
          <w:caps w:val="0"/>
          <w:spacing w:val="0"/>
          <w:sz w:val="21"/>
          <w:szCs w:val="21"/>
        </w:rPr>
        <w:t>报告的事项等六部分组成。本年度报告中所列数据的统计期限自202</w:t>
      </w:r>
      <w:r>
        <w:rPr>
          <w:rFonts w:hint="eastAsia" w:ascii="微软雅黑" w:hAnsi="微软雅黑" w:eastAsia="微软雅黑" w:cs="微软雅黑"/>
          <w:caps w:val="0"/>
          <w:spacing w:val="0"/>
          <w:sz w:val="21"/>
          <w:szCs w:val="21"/>
          <w:lang w:val="en-US" w:eastAsia="zh-CN"/>
        </w:rPr>
        <w:t>4</w:t>
      </w:r>
      <w:r>
        <w:rPr>
          <w:rFonts w:hint="eastAsia" w:ascii="微软雅黑" w:hAnsi="微软雅黑" w:eastAsia="微软雅黑" w:cs="微软雅黑"/>
          <w:caps w:val="0"/>
          <w:spacing w:val="0"/>
          <w:sz w:val="21"/>
          <w:szCs w:val="21"/>
        </w:rPr>
        <w:t>年1月1日至12月31日。</w:t>
      </w:r>
    </w:p>
    <w:p w14:paraId="07AD6A60">
      <w:pPr>
        <w:pStyle w:val="10"/>
        <w:keepNext w:val="0"/>
        <w:keepLines w:val="0"/>
        <w:widowControl/>
        <w:suppressLineNumbers w:val="0"/>
        <w:spacing w:before="0" w:beforeAutospacing="0" w:after="0" w:afterAutospacing="0" w:line="560" w:lineRule="atLeast"/>
        <w:ind w:left="0" w:right="0" w:firstLine="643"/>
        <w:jc w:val="both"/>
        <w:rPr>
          <w:sz w:val="21"/>
          <w:szCs w:val="21"/>
        </w:rPr>
      </w:pPr>
      <w:r>
        <w:rPr>
          <w:rFonts w:hint="eastAsia" w:ascii="微软雅黑" w:hAnsi="微软雅黑" w:eastAsia="微软雅黑" w:cs="微软雅黑"/>
          <w:b/>
          <w:bCs/>
          <w:caps w:val="0"/>
          <w:spacing w:val="0"/>
          <w:sz w:val="21"/>
          <w:szCs w:val="21"/>
        </w:rPr>
        <w:t>一、总体情况</w:t>
      </w:r>
    </w:p>
    <w:p w14:paraId="089C93C8">
      <w:pPr>
        <w:keepNext w:val="0"/>
        <w:keepLines w:val="0"/>
        <w:widowControl/>
        <w:suppressLineNumbers w:val="0"/>
        <w:spacing w:before="0" w:beforeAutospacing="0" w:after="0" w:afterAutospacing="0" w:line="560" w:lineRule="atLeast"/>
        <w:ind w:left="0" w:right="0" w:firstLine="420"/>
        <w:jc w:val="left"/>
        <w:rPr>
          <w:rFonts w:hint="eastAsia" w:ascii="微软雅黑" w:hAnsi="微软雅黑" w:eastAsia="微软雅黑" w:cs="微软雅黑"/>
          <w:caps w:val="0"/>
          <w:spacing w:val="0"/>
          <w:kern w:val="0"/>
          <w:sz w:val="21"/>
          <w:szCs w:val="21"/>
          <w:shd w:val="clear"/>
          <w:lang w:val="en-US" w:eastAsia="zh-CN" w:bidi="ar"/>
        </w:rPr>
      </w:pPr>
      <w:r>
        <w:rPr>
          <w:rFonts w:hint="eastAsia" w:ascii="微软雅黑" w:hAnsi="微软雅黑" w:eastAsia="微软雅黑" w:cs="微软雅黑"/>
          <w:caps w:val="0"/>
          <w:spacing w:val="0"/>
          <w:kern w:val="0"/>
          <w:sz w:val="21"/>
          <w:szCs w:val="21"/>
          <w:lang w:val="en-US" w:eastAsia="zh-CN" w:bidi="ar"/>
        </w:rPr>
        <w:t>2024年，保定市徐水区退役军人事务局坚持以习近平新时代中国特色社会主义思想为指导，紧紧围绕党中央、国务院，省委、省政府决策部署和市委、市政府，区委、区政府中心工作，不断夯实政务公开工作基础、</w:t>
      </w:r>
      <w:r>
        <w:rPr>
          <w:rFonts w:ascii="微软雅黑" w:hAnsi="微软雅黑" w:eastAsia="微软雅黑" w:cs="微软雅黑"/>
          <w:i w:val="0"/>
          <w:iCs w:val="0"/>
          <w:caps w:val="0"/>
          <w:color w:val="000000"/>
          <w:spacing w:val="0"/>
          <w:sz w:val="21"/>
          <w:szCs w:val="21"/>
          <w:shd w:val="clear"/>
        </w:rPr>
        <w:t>认真执行信息审核发布制度和主动公开及依申请公开办事程序。</w:t>
      </w:r>
    </w:p>
    <w:p w14:paraId="5E412A4E">
      <w:pPr>
        <w:keepNext w:val="0"/>
        <w:keepLines w:val="0"/>
        <w:widowControl/>
        <w:numPr>
          <w:ilvl w:val="0"/>
          <w:numId w:val="2"/>
        </w:numPr>
        <w:suppressLineNumbers w:val="0"/>
        <w:spacing w:before="0" w:beforeAutospacing="0" w:after="0" w:afterAutospacing="0" w:line="560" w:lineRule="atLeast"/>
        <w:ind w:right="0" w:firstLine="420" w:firstLineChars="200"/>
        <w:jc w:val="left"/>
        <w:rPr>
          <w:rFonts w:hint="eastAsia" w:ascii="微软雅黑" w:hAnsi="微软雅黑" w:eastAsia="微软雅黑" w:cs="微软雅黑"/>
          <w:caps w:val="0"/>
          <w:spacing w:val="0"/>
          <w:kern w:val="0"/>
          <w:sz w:val="21"/>
          <w:szCs w:val="21"/>
          <w:lang w:val="en-US" w:eastAsia="zh-CN" w:bidi="ar"/>
        </w:rPr>
      </w:pPr>
      <w:r>
        <w:rPr>
          <w:rFonts w:hint="eastAsia" w:ascii="微软雅黑" w:hAnsi="微软雅黑" w:eastAsia="微软雅黑" w:cs="微软雅黑"/>
          <w:caps w:val="0"/>
          <w:spacing w:val="0"/>
          <w:kern w:val="0"/>
          <w:sz w:val="21"/>
          <w:szCs w:val="21"/>
          <w:lang w:val="en-US" w:eastAsia="zh-CN" w:bidi="ar"/>
        </w:rPr>
        <w:t>加强信息主动公开。按照《中华人民共和国政府信息公开条例》规定，及时更新各类政府信息。</w:t>
      </w:r>
    </w:p>
    <w:p w14:paraId="671E0AF1">
      <w:pPr>
        <w:keepNext w:val="0"/>
        <w:keepLines w:val="0"/>
        <w:widowControl/>
        <w:numPr>
          <w:numId w:val="0"/>
        </w:numPr>
        <w:suppressLineNumbers w:val="0"/>
        <w:spacing w:before="0" w:beforeAutospacing="0" w:after="0" w:afterAutospacing="0" w:line="560" w:lineRule="atLeast"/>
        <w:ind w:right="0" w:rightChars="0" w:firstLine="420" w:firstLineChars="200"/>
        <w:jc w:val="left"/>
        <w:rPr>
          <w:rFonts w:hint="eastAsia" w:ascii="微软雅黑" w:hAnsi="微软雅黑" w:eastAsia="微软雅黑" w:cs="微软雅黑"/>
          <w:caps w:val="0"/>
          <w:spacing w:val="0"/>
          <w:kern w:val="0"/>
          <w:sz w:val="21"/>
          <w:szCs w:val="21"/>
          <w:lang w:val="en-US" w:eastAsia="zh-CN" w:bidi="ar"/>
        </w:rPr>
      </w:pPr>
      <w:r>
        <w:rPr>
          <w:rFonts w:hint="eastAsia" w:ascii="微软雅黑" w:hAnsi="微软雅黑" w:eastAsia="微软雅黑" w:cs="微软雅黑"/>
          <w:caps w:val="0"/>
          <w:spacing w:val="0"/>
          <w:kern w:val="0"/>
          <w:sz w:val="21"/>
          <w:szCs w:val="21"/>
          <w:lang w:val="en-US" w:eastAsia="zh-CN" w:bidi="ar"/>
        </w:rPr>
        <w:t>（二）完善政府信息公开平台建设。</w:t>
      </w:r>
      <w:r>
        <w:rPr>
          <w:rFonts w:ascii="微软雅黑" w:hAnsi="微软雅黑" w:eastAsia="微软雅黑" w:cs="微软雅黑"/>
          <w:i w:val="0"/>
          <w:iCs w:val="0"/>
          <w:caps w:val="0"/>
          <w:color w:val="000000"/>
          <w:spacing w:val="0"/>
          <w:sz w:val="21"/>
          <w:szCs w:val="21"/>
          <w:shd w:val="clear" w:fill="FFFFFF"/>
        </w:rPr>
        <w:t>对政务信息进行全周期的规范管理，规范发布重要政务信息，并根据立、改、废等情况，动态调整更新。</w:t>
      </w:r>
    </w:p>
    <w:p w14:paraId="6C9FDF72">
      <w:pPr>
        <w:keepNext w:val="0"/>
        <w:keepLines w:val="0"/>
        <w:widowControl/>
        <w:suppressLineNumbers w:val="0"/>
        <w:spacing w:before="0" w:beforeAutospacing="0" w:after="0" w:afterAutospacing="0" w:line="560" w:lineRule="atLeast"/>
        <w:ind w:right="0" w:firstLine="420" w:firstLineChars="200"/>
        <w:jc w:val="left"/>
        <w:rPr>
          <w:sz w:val="21"/>
          <w:szCs w:val="21"/>
        </w:rPr>
      </w:pPr>
      <w:r>
        <w:rPr>
          <w:rFonts w:hint="eastAsia" w:ascii="微软雅黑" w:hAnsi="微软雅黑" w:eastAsia="微软雅黑" w:cs="微软雅黑"/>
          <w:caps w:val="0"/>
          <w:spacing w:val="0"/>
          <w:kern w:val="0"/>
          <w:sz w:val="21"/>
          <w:szCs w:val="21"/>
          <w:lang w:val="en-US" w:eastAsia="zh-CN" w:bidi="ar"/>
        </w:rPr>
        <w:t>（三）提升依申请信息公开办理水平。区退役军人事务局全年办理申请信息公开</w:t>
      </w:r>
      <w:r>
        <w:rPr>
          <w:rFonts w:hint="eastAsia" w:ascii="微软雅黑" w:hAnsi="微软雅黑" w:eastAsia="微软雅黑" w:cs="微软雅黑"/>
          <w:caps w:val="0"/>
          <w:color w:val="000000" w:themeColor="text1"/>
          <w:spacing w:val="0"/>
          <w:kern w:val="0"/>
          <w:sz w:val="21"/>
          <w:szCs w:val="21"/>
          <w:lang w:val="en-US" w:eastAsia="zh-CN" w:bidi="ar"/>
          <w14:textFill>
            <w14:solidFill>
              <w14:schemeClr w14:val="tx1"/>
            </w14:solidFill>
          </w14:textFill>
        </w:rPr>
        <w:t>0</w:t>
      </w:r>
      <w:r>
        <w:rPr>
          <w:rFonts w:hint="eastAsia" w:ascii="微软雅黑" w:hAnsi="微软雅黑" w:eastAsia="微软雅黑" w:cs="微软雅黑"/>
          <w:caps w:val="0"/>
          <w:spacing w:val="0"/>
          <w:kern w:val="0"/>
          <w:sz w:val="21"/>
          <w:szCs w:val="21"/>
          <w:lang w:val="en-US" w:eastAsia="zh-CN" w:bidi="ar"/>
        </w:rPr>
        <w:t>件。</w:t>
      </w:r>
    </w:p>
    <w:p w14:paraId="15245AB9">
      <w:pPr>
        <w:keepNext w:val="0"/>
        <w:keepLines w:val="0"/>
        <w:widowControl/>
        <w:suppressLineNumbers w:val="0"/>
        <w:spacing w:before="0" w:beforeAutospacing="0" w:after="0" w:afterAutospacing="0" w:line="560" w:lineRule="atLeast"/>
        <w:ind w:right="0" w:firstLine="420" w:firstLineChars="200"/>
        <w:jc w:val="left"/>
        <w:rPr>
          <w:sz w:val="21"/>
          <w:szCs w:val="21"/>
        </w:rPr>
      </w:pPr>
      <w:r>
        <w:rPr>
          <w:rFonts w:hint="eastAsia" w:ascii="微软雅黑" w:hAnsi="微软雅黑" w:eastAsia="微软雅黑" w:cs="微软雅黑"/>
          <w:caps w:val="0"/>
          <w:spacing w:val="0"/>
          <w:kern w:val="0"/>
          <w:sz w:val="21"/>
          <w:szCs w:val="21"/>
          <w:lang w:val="en-US" w:eastAsia="zh-CN" w:bidi="ar"/>
        </w:rPr>
        <w:t>（四）规范政府信息管理。</w:t>
      </w:r>
      <w:r>
        <w:rPr>
          <w:rFonts w:hint="default" w:ascii="微软雅黑" w:hAnsi="微软雅黑" w:eastAsia="微软雅黑" w:cs="微软雅黑"/>
          <w:caps w:val="0"/>
          <w:spacing w:val="0"/>
          <w:kern w:val="0"/>
          <w:sz w:val="21"/>
          <w:szCs w:val="21"/>
          <w:lang w:val="en-US" w:eastAsia="zh-CN" w:bidi="ar"/>
        </w:rPr>
        <w:t>按照先审查、后公开，谁审查、谁负责，谁公开、谁负责的原则，严把信息内容审核关，确保信息公开安全性。</w:t>
      </w:r>
    </w:p>
    <w:p w14:paraId="04EE0352">
      <w:pPr>
        <w:pStyle w:val="10"/>
        <w:keepNext w:val="0"/>
        <w:keepLines w:val="0"/>
        <w:widowControl/>
        <w:suppressLineNumbers w:val="0"/>
        <w:spacing w:before="0" w:beforeAutospacing="0" w:after="0" w:afterAutospacing="0" w:line="560" w:lineRule="atLeast"/>
        <w:ind w:left="0" w:right="0" w:firstLine="321"/>
        <w:jc w:val="both"/>
        <w:rPr>
          <w:rFonts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caps w:val="0"/>
          <w:spacing w:val="0"/>
          <w:kern w:val="0"/>
          <w:sz w:val="21"/>
          <w:szCs w:val="21"/>
          <w:lang w:val="en-US" w:eastAsia="zh-CN" w:bidi="ar"/>
        </w:rPr>
        <w:t>（五）强化监督考评。加强区政府门户网站、政务新媒体日常监管，</w:t>
      </w:r>
      <w:r>
        <w:rPr>
          <w:rFonts w:ascii="微软雅黑" w:hAnsi="微软雅黑" w:eastAsia="微软雅黑" w:cs="微软雅黑"/>
          <w:i w:val="0"/>
          <w:iCs w:val="0"/>
          <w:caps w:val="0"/>
          <w:color w:val="000000"/>
          <w:spacing w:val="0"/>
          <w:sz w:val="21"/>
          <w:szCs w:val="21"/>
          <w:shd w:val="clear" w:fill="FFFFFF"/>
        </w:rPr>
        <w:t>明确各股（室）任务分工，结合本单位工作实际，认真梳理政府信息，及时更新政府信息目录。</w:t>
      </w:r>
    </w:p>
    <w:p w14:paraId="0543D4AA">
      <w:pPr>
        <w:pStyle w:val="10"/>
        <w:keepNext w:val="0"/>
        <w:keepLines w:val="0"/>
        <w:widowControl/>
        <w:suppressLineNumbers w:val="0"/>
        <w:spacing w:before="0" w:beforeAutospacing="0" w:after="0" w:afterAutospacing="0" w:line="560" w:lineRule="atLeast"/>
        <w:ind w:left="0" w:right="0" w:firstLine="321"/>
        <w:jc w:val="both"/>
        <w:rPr>
          <w:sz w:val="21"/>
          <w:szCs w:val="21"/>
        </w:rPr>
      </w:pPr>
      <w:r>
        <w:rPr>
          <w:rFonts w:hint="eastAsia" w:ascii="微软雅黑" w:hAnsi="微软雅黑" w:eastAsia="微软雅黑" w:cs="微软雅黑"/>
          <w:b/>
          <w:bCs/>
          <w:caps w:val="0"/>
          <w:spacing w:val="0"/>
          <w:sz w:val="21"/>
          <w:szCs w:val="21"/>
        </w:rPr>
        <w:t>二、主动公开政府信息情况</w:t>
      </w:r>
    </w:p>
    <w:tbl>
      <w:tblPr>
        <w:tblStyle w:val="12"/>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275A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52D055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第二十条第（一）项</w:t>
            </w:r>
          </w:p>
        </w:tc>
      </w:tr>
      <w:tr w14:paraId="6400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9642A2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0F5A9B6">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本年制发件数</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6380F3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本年废止件数</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46707F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现行有效件数</w:t>
            </w:r>
          </w:p>
        </w:tc>
      </w:tr>
      <w:tr w14:paraId="2210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D12E762">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C446AD9">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A804529">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D79E10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5764F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3FA8FBE">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A8739DA">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BD448DC">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FE7735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3046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F6C3C5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第二十条第（五）项</w:t>
            </w:r>
          </w:p>
        </w:tc>
      </w:tr>
      <w:tr w14:paraId="1B29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D98C4A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58F9CE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本年处理决定数量</w:t>
            </w:r>
          </w:p>
        </w:tc>
      </w:tr>
      <w:tr w14:paraId="0478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157555A">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B9B8E3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019F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31E23D8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第二十条第（六）项</w:t>
            </w:r>
          </w:p>
        </w:tc>
      </w:tr>
      <w:tr w14:paraId="7E09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0AE99C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251A2FA">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本年处理决定数量</w:t>
            </w:r>
          </w:p>
        </w:tc>
      </w:tr>
      <w:tr w14:paraId="198A3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7B3FE57">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A320A99">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22FF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E248356">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ED0392B">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78B5E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B30752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第二十条第（八）项</w:t>
            </w:r>
          </w:p>
        </w:tc>
      </w:tr>
      <w:tr w14:paraId="5509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10F5B5B">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583CB8FA">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本年收费金额（单位：万元）</w:t>
            </w:r>
          </w:p>
        </w:tc>
      </w:tr>
      <w:tr w14:paraId="6A100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DCB22CA">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78FE9E5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bl>
    <w:p w14:paraId="1F8E0210">
      <w:pPr>
        <w:pStyle w:val="10"/>
        <w:keepNext w:val="0"/>
        <w:keepLines w:val="0"/>
        <w:widowControl/>
        <w:suppressLineNumbers w:val="0"/>
        <w:spacing w:before="0" w:beforeAutospacing="0" w:after="0" w:afterAutospacing="0" w:line="560" w:lineRule="atLeast"/>
        <w:ind w:left="0" w:right="0" w:firstLine="321"/>
        <w:jc w:val="both"/>
        <w:rPr>
          <w:sz w:val="21"/>
          <w:szCs w:val="21"/>
        </w:rPr>
      </w:pPr>
      <w:r>
        <w:rPr>
          <w:rFonts w:hint="eastAsia" w:ascii="微软雅黑" w:hAnsi="微软雅黑" w:eastAsia="微软雅黑" w:cs="微软雅黑"/>
          <w:b/>
          <w:bCs/>
          <w:caps w:val="0"/>
          <w:spacing w:val="0"/>
          <w:sz w:val="21"/>
          <w:szCs w:val="21"/>
        </w:rPr>
        <w:t>三、收到和处理政府信息公开申请情况</w:t>
      </w:r>
    </w:p>
    <w:tbl>
      <w:tblPr>
        <w:tblStyle w:val="1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14:paraId="3C1E49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noWrap w:val="0"/>
            <w:tcMar>
              <w:left w:w="108" w:type="dxa"/>
              <w:right w:w="108" w:type="dxa"/>
            </w:tcMar>
            <w:vAlign w:val="center"/>
          </w:tcPr>
          <w:p w14:paraId="21C62928">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418EA5FC">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申请人情况</w:t>
            </w:r>
          </w:p>
        </w:tc>
      </w:tr>
      <w:tr w14:paraId="198978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noWrap w:val="0"/>
            <w:tcMar>
              <w:left w:w="108" w:type="dxa"/>
              <w:right w:w="108" w:type="dxa"/>
            </w:tcMar>
            <w:vAlign w:val="center"/>
          </w:tcPr>
          <w:p w14:paraId="68AFB301">
            <w:pPr>
              <w:rPr>
                <w:rFonts w:hint="eastAsia" w:ascii="微软雅黑" w:hAnsi="微软雅黑" w:eastAsia="微软雅黑" w:cs="微软雅黑"/>
                <w:sz w:val="19"/>
                <w:szCs w:val="19"/>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2004BD16">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自然人</w:t>
            </w:r>
          </w:p>
        </w:tc>
        <w:tc>
          <w:tcPr>
            <w:tcW w:w="3440" w:type="dxa"/>
            <w:gridSpan w:val="5"/>
            <w:tcBorders>
              <w:top w:val="nil"/>
              <w:left w:val="nil"/>
              <w:bottom w:val="single" w:color="auto" w:sz="8" w:space="0"/>
              <w:right w:val="single" w:color="auto" w:sz="8" w:space="0"/>
            </w:tcBorders>
            <w:noWrap w:val="0"/>
            <w:tcMar>
              <w:left w:w="57" w:type="dxa"/>
              <w:right w:w="57" w:type="dxa"/>
            </w:tcMar>
            <w:vAlign w:val="center"/>
          </w:tcPr>
          <w:p w14:paraId="0F7AEF4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法人或其他组织</w:t>
            </w:r>
          </w:p>
        </w:tc>
        <w:tc>
          <w:tcPr>
            <w:tcW w:w="688" w:type="dxa"/>
            <w:vMerge w:val="restart"/>
            <w:tcBorders>
              <w:top w:val="nil"/>
              <w:left w:val="nil"/>
              <w:bottom w:val="inset" w:color="auto" w:sz="8" w:space="0"/>
              <w:right w:val="single" w:color="auto" w:sz="8" w:space="0"/>
            </w:tcBorders>
            <w:noWrap w:val="0"/>
            <w:tcMar>
              <w:left w:w="57" w:type="dxa"/>
              <w:right w:w="57" w:type="dxa"/>
            </w:tcMar>
            <w:vAlign w:val="center"/>
          </w:tcPr>
          <w:p w14:paraId="5B081F0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总计</w:t>
            </w:r>
          </w:p>
        </w:tc>
      </w:tr>
      <w:tr w14:paraId="057205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noWrap w:val="0"/>
            <w:tcMar>
              <w:left w:w="108" w:type="dxa"/>
              <w:right w:w="108" w:type="dxa"/>
            </w:tcMar>
            <w:vAlign w:val="center"/>
          </w:tcPr>
          <w:p w14:paraId="123DD2DA">
            <w:pPr>
              <w:rPr>
                <w:rFonts w:hint="eastAsia" w:ascii="微软雅黑" w:hAnsi="微软雅黑" w:eastAsia="微软雅黑" w:cs="微软雅黑"/>
                <w:sz w:val="19"/>
                <w:szCs w:val="19"/>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66FD91E9">
            <w:pPr>
              <w:rPr>
                <w:rFonts w:hint="eastAsia" w:ascii="微软雅黑" w:hAnsi="微软雅黑" w:eastAsia="微软雅黑" w:cs="微软雅黑"/>
                <w:sz w:val="19"/>
                <w:szCs w:val="19"/>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CFE9A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商业</w:t>
            </w:r>
          </w:p>
          <w:p w14:paraId="55CA6B1C">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80F00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科研</w:t>
            </w:r>
          </w:p>
          <w:p w14:paraId="7FB504B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机构</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99E65B">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社会公益组织</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D4C33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法律服务机构</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9BBB3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其他</w:t>
            </w:r>
          </w:p>
        </w:tc>
        <w:tc>
          <w:tcPr>
            <w:tcW w:w="688" w:type="dxa"/>
            <w:vMerge w:val="continue"/>
            <w:tcBorders>
              <w:top w:val="nil"/>
              <w:left w:val="nil"/>
              <w:bottom w:val="inset" w:color="auto" w:sz="8" w:space="0"/>
              <w:right w:val="single" w:color="auto" w:sz="8" w:space="0"/>
            </w:tcBorders>
            <w:noWrap w:val="0"/>
            <w:tcMar>
              <w:left w:w="57" w:type="dxa"/>
              <w:right w:w="57" w:type="dxa"/>
            </w:tcMar>
            <w:vAlign w:val="center"/>
          </w:tcPr>
          <w:p w14:paraId="5F332FA3">
            <w:pPr>
              <w:rPr>
                <w:rFonts w:hint="eastAsia" w:ascii="微软雅黑" w:hAnsi="微软雅黑" w:eastAsia="微软雅黑" w:cs="微软雅黑"/>
                <w:sz w:val="19"/>
                <w:szCs w:val="19"/>
              </w:rPr>
            </w:pPr>
          </w:p>
        </w:tc>
      </w:tr>
      <w:tr w14:paraId="273AF4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68CFD68E">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611AC9">
            <w:pPr>
              <w:keepNext w:val="0"/>
              <w:keepLines w:val="0"/>
              <w:widowControl/>
              <w:suppressLineNumbers w:val="0"/>
              <w:spacing w:before="0" w:beforeAutospacing="0" w:after="0" w:afterAutospacing="0" w:line="560" w:lineRule="atLeast"/>
              <w:ind w:left="0" w:right="0"/>
              <w:jc w:val="center"/>
              <w:rPr>
                <w:rFonts w:hint="default"/>
                <w:sz w:val="21"/>
                <w:szCs w:val="21"/>
                <w:lang w:val="en-US"/>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7178F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96BA7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41CD9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E2F97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74CD7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7C7139E">
            <w:pPr>
              <w:keepNext w:val="0"/>
              <w:keepLines w:val="0"/>
              <w:widowControl/>
              <w:suppressLineNumbers w:val="0"/>
              <w:spacing w:before="0" w:beforeAutospacing="0" w:after="0" w:afterAutospacing="0" w:line="560" w:lineRule="atLeast"/>
              <w:ind w:left="0" w:right="0"/>
              <w:jc w:val="center"/>
              <w:rPr>
                <w:rFonts w:hint="default"/>
                <w:sz w:val="21"/>
                <w:szCs w:val="21"/>
                <w:lang w:val="en-US"/>
              </w:rPr>
            </w:pPr>
            <w:r>
              <w:rPr>
                <w:rFonts w:hint="eastAsia" w:ascii="微软雅黑" w:hAnsi="微软雅黑" w:eastAsia="微软雅黑" w:cs="微软雅黑"/>
                <w:kern w:val="0"/>
                <w:sz w:val="21"/>
                <w:szCs w:val="21"/>
                <w:lang w:val="en-US" w:eastAsia="zh-CN" w:bidi="ar"/>
              </w:rPr>
              <w:t>0</w:t>
            </w:r>
          </w:p>
        </w:tc>
      </w:tr>
      <w:tr w14:paraId="37F98B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758D059">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55C109">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270BA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B29686">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50BC96">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B0232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708B3A">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3B8714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3242FD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noWrap w:val="0"/>
            <w:tcMar>
              <w:left w:w="57" w:type="dxa"/>
              <w:right w:w="57" w:type="dxa"/>
            </w:tcMar>
            <w:vAlign w:val="center"/>
          </w:tcPr>
          <w:p w14:paraId="778F8035">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三、本年度办理结果0</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4ACFC76F">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905DE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568773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82524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F4D5A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EDFE7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453F3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4FF2CD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26A6FE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15763352">
            <w:pPr>
              <w:rPr>
                <w:rFonts w:hint="eastAsia" w:ascii="微软雅黑" w:hAnsi="微软雅黑" w:eastAsia="微软雅黑" w:cs="微软雅黑"/>
                <w:sz w:val="19"/>
                <w:szCs w:val="19"/>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6FC67803">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（二）部分公开（区分处理的，只计这一情形，不计其他情形）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71997F">
            <w:pPr>
              <w:keepNext w:val="0"/>
              <w:keepLines w:val="0"/>
              <w:widowControl/>
              <w:suppressLineNumbers w:val="0"/>
              <w:spacing w:before="0" w:beforeAutospacing="0" w:after="0" w:afterAutospacing="0" w:line="560" w:lineRule="atLeast"/>
              <w:ind w:left="0" w:right="0"/>
              <w:jc w:val="center"/>
              <w:rPr>
                <w:rFonts w:hint="default"/>
                <w:sz w:val="21"/>
                <w:szCs w:val="21"/>
                <w:lang w:val="en-US"/>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E5480B">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00C54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29ED2A">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BB884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BECD2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108CEB">
            <w:pPr>
              <w:keepNext w:val="0"/>
              <w:keepLines w:val="0"/>
              <w:widowControl/>
              <w:suppressLineNumbers w:val="0"/>
              <w:spacing w:before="0" w:beforeAutospacing="0" w:after="0" w:afterAutospacing="0" w:line="560" w:lineRule="atLeast"/>
              <w:ind w:left="0" w:right="0"/>
              <w:jc w:val="center"/>
              <w:rPr>
                <w:rFonts w:hint="default"/>
                <w:sz w:val="21"/>
                <w:szCs w:val="21"/>
                <w:lang w:val="en-US"/>
              </w:rPr>
            </w:pPr>
            <w:r>
              <w:rPr>
                <w:rFonts w:hint="eastAsia" w:ascii="微软雅黑" w:hAnsi="微软雅黑" w:eastAsia="微软雅黑" w:cs="微软雅黑"/>
                <w:kern w:val="0"/>
                <w:sz w:val="21"/>
                <w:szCs w:val="21"/>
                <w:lang w:val="en-US" w:eastAsia="zh-CN" w:bidi="ar"/>
              </w:rPr>
              <w:t>0</w:t>
            </w:r>
          </w:p>
        </w:tc>
      </w:tr>
      <w:tr w14:paraId="311AE1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6CE90CB1">
            <w:pPr>
              <w:rPr>
                <w:rFonts w:hint="eastAsia" w:ascii="微软雅黑" w:hAnsi="微软雅黑" w:eastAsia="微软雅黑" w:cs="微软雅黑"/>
                <w:sz w:val="19"/>
                <w:szCs w:val="19"/>
              </w:rPr>
            </w:pPr>
          </w:p>
        </w:tc>
        <w:tc>
          <w:tcPr>
            <w:tcW w:w="943" w:type="dxa"/>
            <w:vMerge w:val="restart"/>
            <w:tcBorders>
              <w:top w:val="nil"/>
              <w:left w:val="nil"/>
              <w:bottom w:val="inset" w:color="auto" w:sz="8" w:space="0"/>
              <w:right w:val="single" w:color="auto" w:sz="8" w:space="0"/>
            </w:tcBorders>
            <w:noWrap w:val="0"/>
            <w:tcMar>
              <w:left w:w="57" w:type="dxa"/>
              <w:right w:w="57" w:type="dxa"/>
            </w:tcMar>
            <w:vAlign w:val="center"/>
          </w:tcPr>
          <w:p w14:paraId="6AE051DE">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75498232">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0A2615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30767E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7AEE69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CA5250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DB39A8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8732C0B">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9EE2E6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705750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0C31A0D3">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1B32FCFD">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3135A353">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0D875E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ACEF31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ED8463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AF4010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0A44CD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C5D5A2C">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47029A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665E08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0967B05C">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4AF216F1">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F4E5D53">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DB348A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C712AA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7E1A48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DAB787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93FC5A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EEA002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35D212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584815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4E3C7FDB">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74A1AC39">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3ABC562D">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CE43A5A">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6A4AA16">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96C6BF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F0C6A4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888166B">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8F3588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8D446C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6B51CC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2BDC4399">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627EF153">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AD372C3">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B1F137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38961E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FA46D6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538006B">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6FE909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B3D1CD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6A6B9B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5497FC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6EB30BEE">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6150C6B9">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12CE0C96">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5A185A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004A9A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C0E951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39B0FB9">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771BE3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17C57E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7B9F99A">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42EF81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43BE1AFE">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227EECE2">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6EB102DB">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FF237E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96B56D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8A08ED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C45F16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E7793E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8D2476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9AD8CF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201616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347FEBD9">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1294A35D">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3CCBBD4">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B17B0C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590D90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EEC1C4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E01B3E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A3C2F7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6B6E72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2AE897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17B4AA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3C66B182">
            <w:pPr>
              <w:rPr>
                <w:rFonts w:hint="eastAsia" w:ascii="微软雅黑" w:hAnsi="微软雅黑" w:eastAsia="微软雅黑" w:cs="微软雅黑"/>
                <w:sz w:val="19"/>
                <w:szCs w:val="19"/>
              </w:rPr>
            </w:pPr>
          </w:p>
        </w:tc>
        <w:tc>
          <w:tcPr>
            <w:tcW w:w="943" w:type="dxa"/>
            <w:vMerge w:val="restart"/>
            <w:tcBorders>
              <w:top w:val="nil"/>
              <w:left w:val="nil"/>
              <w:bottom w:val="inset" w:color="auto" w:sz="8" w:space="0"/>
              <w:right w:val="single" w:color="auto" w:sz="8" w:space="0"/>
            </w:tcBorders>
            <w:noWrap w:val="0"/>
            <w:tcMar>
              <w:left w:w="57" w:type="dxa"/>
              <w:right w:w="57" w:type="dxa"/>
            </w:tcMar>
            <w:vAlign w:val="center"/>
          </w:tcPr>
          <w:p w14:paraId="2A97EDF4">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33A05889">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73DE75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AED8D8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8C07E5B">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B96098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FD953D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ED1D49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3DB933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5FF04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5D01D078">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6BD92B2F">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0A51E203">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5CEEDA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555207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B87E04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17CEA9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5AA0AE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099CB09">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F14372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4C4F9C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75C092B9">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432B0497">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43D8E837">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56D490C">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1702C7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2C5B65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C9617F9">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EA1B40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D33F186">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0194C9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0AB0A1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3999549D">
            <w:pPr>
              <w:rPr>
                <w:rFonts w:hint="eastAsia" w:ascii="微软雅黑" w:hAnsi="微软雅黑" w:eastAsia="微软雅黑" w:cs="微软雅黑"/>
                <w:sz w:val="19"/>
                <w:szCs w:val="19"/>
              </w:rPr>
            </w:pPr>
          </w:p>
        </w:tc>
        <w:tc>
          <w:tcPr>
            <w:tcW w:w="943" w:type="dxa"/>
            <w:vMerge w:val="restart"/>
            <w:tcBorders>
              <w:top w:val="nil"/>
              <w:left w:val="nil"/>
              <w:bottom w:val="inset" w:color="auto" w:sz="8" w:space="0"/>
              <w:right w:val="single" w:color="auto" w:sz="8" w:space="0"/>
            </w:tcBorders>
            <w:noWrap w:val="0"/>
            <w:tcMar>
              <w:left w:w="57" w:type="dxa"/>
              <w:right w:w="57" w:type="dxa"/>
            </w:tcMar>
            <w:vAlign w:val="center"/>
          </w:tcPr>
          <w:p w14:paraId="313E9A7A">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1600E2DB">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884579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985BE59">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140265A">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356B41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D31E8D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21E239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C4B8FD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1DE680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3C43DEB6">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6FCF6A16">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1B176BC5">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BBBCE4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4BF307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ABD962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04A392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EEA914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907AF2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CDDF2D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1A741C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347EE2C9">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0B794BD6">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5E48E113">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6AB703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6462FA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84F9DF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F12575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33B424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3887E4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98956D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07C8E0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35CA567E">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24BD27B4">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025C564">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3CF7B2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C57041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E5E4BE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7D2376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2A225E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0FA073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EEF069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72534E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0C3BBF61">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326DFE99">
            <w:pPr>
              <w:rPr>
                <w:rFonts w:hint="eastAsia" w:ascii="微软雅黑" w:hAnsi="微软雅黑" w:eastAsia="微软雅黑" w:cs="微软雅黑"/>
                <w:sz w:val="19"/>
                <w:szCs w:val="19"/>
              </w:rPr>
            </w:pPr>
          </w:p>
        </w:tc>
        <w:tc>
          <w:tcPr>
            <w:tcW w:w="3220" w:type="dxa"/>
            <w:tcBorders>
              <w:top w:val="nil"/>
              <w:left w:val="nil"/>
              <w:bottom w:val="inset" w:color="auto" w:sz="8" w:space="0"/>
              <w:right w:val="single" w:color="auto" w:sz="8" w:space="0"/>
            </w:tcBorders>
            <w:noWrap w:val="0"/>
            <w:tcMar>
              <w:left w:w="57" w:type="dxa"/>
              <w:right w:w="57" w:type="dxa"/>
            </w:tcMar>
            <w:vAlign w:val="center"/>
          </w:tcPr>
          <w:p w14:paraId="18164C17">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5.要求行政机关确认或重新出具已获取信息</w:t>
            </w:r>
          </w:p>
        </w:tc>
        <w:tc>
          <w:tcPr>
            <w:tcW w:w="688" w:type="dxa"/>
            <w:tcBorders>
              <w:top w:val="nil"/>
              <w:left w:val="nil"/>
              <w:bottom w:val="inset" w:color="auto" w:sz="8" w:space="0"/>
              <w:right w:val="single" w:color="auto" w:sz="8" w:space="0"/>
            </w:tcBorders>
            <w:noWrap w:val="0"/>
            <w:tcMar>
              <w:left w:w="57" w:type="dxa"/>
              <w:right w:w="57" w:type="dxa"/>
            </w:tcMar>
            <w:vAlign w:val="center"/>
          </w:tcPr>
          <w:p w14:paraId="722B92EB">
            <w:pPr>
              <w:keepNext w:val="0"/>
              <w:keepLines w:val="0"/>
              <w:widowControl/>
              <w:suppressLineNumbers w:val="0"/>
              <w:spacing w:before="0" w:beforeAutospacing="0" w:after="0" w:afterAutospacing="0" w:line="560" w:lineRule="atLeast"/>
              <w:ind w:left="0" w:right="0"/>
              <w:jc w:val="center"/>
              <w:rPr>
                <w:sz w:val="21"/>
                <w:szCs w:val="21"/>
              </w:rPr>
            </w:pPr>
          </w:p>
          <w:p w14:paraId="570E218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inset" w:color="auto" w:sz="8" w:space="0"/>
              <w:right w:val="single" w:color="auto" w:sz="8" w:space="0"/>
            </w:tcBorders>
            <w:noWrap w:val="0"/>
            <w:tcMar>
              <w:left w:w="57" w:type="dxa"/>
              <w:right w:w="57" w:type="dxa"/>
            </w:tcMar>
            <w:vAlign w:val="center"/>
          </w:tcPr>
          <w:p w14:paraId="637B9FE5">
            <w:pPr>
              <w:keepNext w:val="0"/>
              <w:keepLines w:val="0"/>
              <w:widowControl/>
              <w:suppressLineNumbers w:val="0"/>
              <w:spacing w:before="0" w:beforeAutospacing="0" w:after="0" w:afterAutospacing="0" w:line="560" w:lineRule="atLeast"/>
              <w:ind w:left="0" w:right="0"/>
              <w:jc w:val="center"/>
              <w:rPr>
                <w:sz w:val="21"/>
                <w:szCs w:val="21"/>
              </w:rPr>
            </w:pPr>
          </w:p>
          <w:p w14:paraId="7B61EE5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inset" w:color="auto" w:sz="8" w:space="0"/>
              <w:right w:val="single" w:color="auto" w:sz="8" w:space="0"/>
            </w:tcBorders>
            <w:noWrap w:val="0"/>
            <w:tcMar>
              <w:left w:w="57" w:type="dxa"/>
              <w:right w:w="57" w:type="dxa"/>
            </w:tcMar>
            <w:vAlign w:val="center"/>
          </w:tcPr>
          <w:p w14:paraId="4F1C2608">
            <w:pPr>
              <w:keepNext w:val="0"/>
              <w:keepLines w:val="0"/>
              <w:widowControl/>
              <w:suppressLineNumbers w:val="0"/>
              <w:spacing w:before="0" w:beforeAutospacing="0" w:after="0" w:afterAutospacing="0" w:line="560" w:lineRule="atLeast"/>
              <w:ind w:left="0" w:right="0"/>
              <w:jc w:val="center"/>
              <w:rPr>
                <w:sz w:val="21"/>
                <w:szCs w:val="21"/>
              </w:rPr>
            </w:pPr>
          </w:p>
          <w:p w14:paraId="0EA1D94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inset" w:color="auto" w:sz="8" w:space="0"/>
              <w:right w:val="single" w:color="auto" w:sz="8" w:space="0"/>
            </w:tcBorders>
            <w:noWrap w:val="0"/>
            <w:tcMar>
              <w:left w:w="57" w:type="dxa"/>
              <w:right w:w="57" w:type="dxa"/>
            </w:tcMar>
            <w:vAlign w:val="center"/>
          </w:tcPr>
          <w:p w14:paraId="0405015F">
            <w:pPr>
              <w:keepNext w:val="0"/>
              <w:keepLines w:val="0"/>
              <w:widowControl/>
              <w:suppressLineNumbers w:val="0"/>
              <w:spacing w:before="0" w:beforeAutospacing="0" w:after="0" w:afterAutospacing="0" w:line="560" w:lineRule="atLeast"/>
              <w:ind w:left="0" w:right="0"/>
              <w:jc w:val="center"/>
              <w:rPr>
                <w:sz w:val="21"/>
                <w:szCs w:val="21"/>
              </w:rPr>
            </w:pPr>
          </w:p>
          <w:p w14:paraId="5CD40016">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inset" w:color="auto" w:sz="8" w:space="0"/>
              <w:right w:val="single" w:color="auto" w:sz="8" w:space="0"/>
            </w:tcBorders>
            <w:noWrap w:val="0"/>
            <w:tcMar>
              <w:left w:w="57" w:type="dxa"/>
              <w:right w:w="57" w:type="dxa"/>
            </w:tcMar>
            <w:vAlign w:val="center"/>
          </w:tcPr>
          <w:p w14:paraId="41684025">
            <w:pPr>
              <w:keepNext w:val="0"/>
              <w:keepLines w:val="0"/>
              <w:widowControl/>
              <w:suppressLineNumbers w:val="0"/>
              <w:spacing w:before="0" w:beforeAutospacing="0" w:after="0" w:afterAutospacing="0" w:line="560" w:lineRule="atLeast"/>
              <w:ind w:left="0" w:right="0"/>
              <w:jc w:val="center"/>
              <w:rPr>
                <w:sz w:val="21"/>
                <w:szCs w:val="21"/>
              </w:rPr>
            </w:pPr>
          </w:p>
          <w:p w14:paraId="23D36E7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inset" w:color="auto" w:sz="8" w:space="0"/>
              <w:right w:val="single" w:color="auto" w:sz="8" w:space="0"/>
            </w:tcBorders>
            <w:noWrap w:val="0"/>
            <w:tcMar>
              <w:left w:w="57" w:type="dxa"/>
              <w:right w:w="57" w:type="dxa"/>
            </w:tcMar>
            <w:vAlign w:val="center"/>
          </w:tcPr>
          <w:p w14:paraId="4DE9C8AC">
            <w:pPr>
              <w:keepNext w:val="0"/>
              <w:keepLines w:val="0"/>
              <w:widowControl/>
              <w:suppressLineNumbers w:val="0"/>
              <w:spacing w:before="0" w:beforeAutospacing="0" w:after="0" w:afterAutospacing="0" w:line="560" w:lineRule="atLeast"/>
              <w:ind w:left="0" w:right="0"/>
              <w:jc w:val="center"/>
              <w:rPr>
                <w:sz w:val="21"/>
                <w:szCs w:val="21"/>
              </w:rPr>
            </w:pPr>
          </w:p>
          <w:p w14:paraId="4FCD237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inset" w:color="auto" w:sz="8" w:space="0"/>
              <w:right w:val="single" w:color="auto" w:sz="8" w:space="0"/>
            </w:tcBorders>
            <w:noWrap w:val="0"/>
            <w:tcMar>
              <w:left w:w="57" w:type="dxa"/>
              <w:right w:w="57" w:type="dxa"/>
            </w:tcMar>
            <w:vAlign w:val="center"/>
          </w:tcPr>
          <w:p w14:paraId="61396047">
            <w:pPr>
              <w:keepNext w:val="0"/>
              <w:keepLines w:val="0"/>
              <w:widowControl/>
              <w:suppressLineNumbers w:val="0"/>
              <w:spacing w:before="0" w:beforeAutospacing="0" w:after="0" w:afterAutospacing="0" w:line="560" w:lineRule="atLeast"/>
              <w:ind w:left="0" w:right="0"/>
              <w:jc w:val="center"/>
              <w:rPr>
                <w:sz w:val="21"/>
                <w:szCs w:val="21"/>
              </w:rPr>
            </w:pPr>
          </w:p>
          <w:p w14:paraId="32D9A56B">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6D0718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09797329">
            <w:pPr>
              <w:rPr>
                <w:rFonts w:hint="eastAsia" w:ascii="微软雅黑" w:hAnsi="微软雅黑" w:eastAsia="微软雅黑" w:cs="微软雅黑"/>
                <w:sz w:val="19"/>
                <w:szCs w:val="19"/>
              </w:rPr>
            </w:pPr>
          </w:p>
        </w:tc>
        <w:tc>
          <w:tcPr>
            <w:tcW w:w="943" w:type="dxa"/>
            <w:vMerge w:val="restart"/>
            <w:tcBorders>
              <w:top w:val="nil"/>
              <w:left w:val="nil"/>
              <w:bottom w:val="inset" w:color="auto" w:sz="8" w:space="0"/>
              <w:right w:val="single" w:color="auto" w:sz="8" w:space="0"/>
            </w:tcBorders>
            <w:noWrap w:val="0"/>
            <w:tcMar>
              <w:left w:w="57" w:type="dxa"/>
              <w:right w:w="57" w:type="dxa"/>
            </w:tcMar>
            <w:vAlign w:val="center"/>
          </w:tcPr>
          <w:p w14:paraId="1E4CA1E5">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768260C1">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5AFAF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91E03B">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2F914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2266A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15F22C">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28E526">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1214F1C">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w:t>
            </w:r>
          </w:p>
          <w:p w14:paraId="6BAC0B2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6A2002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1CCFCCD7">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013477C3">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77C5E609">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B6203B">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51031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F1C62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DA6249">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2714FA">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7D4D6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E46F41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w:t>
            </w:r>
          </w:p>
          <w:p w14:paraId="29CADA7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0F838D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7ACC0E1B">
            <w:pPr>
              <w:rPr>
                <w:rFonts w:hint="eastAsia" w:ascii="微软雅黑" w:hAnsi="微软雅黑" w:eastAsia="微软雅黑" w:cs="微软雅黑"/>
                <w:sz w:val="19"/>
                <w:szCs w:val="19"/>
              </w:rPr>
            </w:pPr>
          </w:p>
        </w:tc>
        <w:tc>
          <w:tcPr>
            <w:tcW w:w="943" w:type="dxa"/>
            <w:vMerge w:val="continue"/>
            <w:tcBorders>
              <w:top w:val="nil"/>
              <w:left w:val="nil"/>
              <w:bottom w:val="inset" w:color="auto" w:sz="8" w:space="0"/>
              <w:right w:val="single" w:color="auto" w:sz="8" w:space="0"/>
            </w:tcBorders>
            <w:noWrap w:val="0"/>
            <w:tcMar>
              <w:left w:w="57" w:type="dxa"/>
              <w:right w:w="57" w:type="dxa"/>
            </w:tcMar>
            <w:vAlign w:val="center"/>
          </w:tcPr>
          <w:p w14:paraId="4D63A050">
            <w:pPr>
              <w:rPr>
                <w:rFonts w:hint="eastAsia" w:ascii="微软雅黑" w:hAnsi="微软雅黑" w:eastAsia="微软雅黑" w:cs="微软雅黑"/>
                <w:sz w:val="19"/>
                <w:szCs w:val="19"/>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0C322348">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793F6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29A0E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43A16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25755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94098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00D66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521700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14:paraId="336757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noWrap w:val="0"/>
            <w:tcMar>
              <w:left w:w="57" w:type="dxa"/>
              <w:right w:w="57" w:type="dxa"/>
            </w:tcMar>
            <w:vAlign w:val="center"/>
          </w:tcPr>
          <w:p w14:paraId="08C4363F">
            <w:pPr>
              <w:rPr>
                <w:rFonts w:hint="eastAsia" w:ascii="微软雅黑" w:hAnsi="微软雅黑" w:eastAsia="微软雅黑" w:cs="微软雅黑"/>
                <w:sz w:val="19"/>
                <w:szCs w:val="19"/>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2EEC32A3">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2F761A">
            <w:pPr>
              <w:keepNext w:val="0"/>
              <w:keepLines w:val="0"/>
              <w:widowControl/>
              <w:suppressLineNumbers w:val="0"/>
              <w:spacing w:before="0" w:beforeAutospacing="0" w:after="0" w:afterAutospacing="0" w:line="560" w:lineRule="atLeast"/>
              <w:ind w:left="0" w:right="0"/>
              <w:jc w:val="center"/>
              <w:rPr>
                <w:rFonts w:hint="default"/>
                <w:sz w:val="21"/>
                <w:szCs w:val="21"/>
                <w:lang w:val="en-US"/>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0E498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92AB59">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79DC4C">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FA262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EE37C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35DDD7C">
            <w:pPr>
              <w:keepNext w:val="0"/>
              <w:keepLines w:val="0"/>
              <w:widowControl/>
              <w:suppressLineNumbers w:val="0"/>
              <w:spacing w:before="0" w:beforeAutospacing="0" w:after="0" w:afterAutospacing="0" w:line="560" w:lineRule="atLeast"/>
              <w:ind w:left="0" w:right="0"/>
              <w:jc w:val="center"/>
              <w:rPr>
                <w:rFonts w:hint="default"/>
                <w:sz w:val="21"/>
                <w:szCs w:val="21"/>
                <w:lang w:val="en-US"/>
              </w:rPr>
            </w:pPr>
            <w:r>
              <w:rPr>
                <w:rFonts w:hint="eastAsia" w:ascii="微软雅黑" w:hAnsi="微软雅黑" w:eastAsia="微软雅黑" w:cs="微软雅黑"/>
                <w:kern w:val="0"/>
                <w:sz w:val="21"/>
                <w:szCs w:val="21"/>
                <w:lang w:val="en-US" w:eastAsia="zh-CN" w:bidi="ar"/>
              </w:rPr>
              <w:t>0</w:t>
            </w:r>
          </w:p>
        </w:tc>
      </w:tr>
      <w:tr w14:paraId="2B2FDC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20375BE">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47415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7EDA8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5A47F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BB359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AE678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F2349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78AD8A4">
            <w:pPr>
              <w:keepNext w:val="0"/>
              <w:keepLines w:val="0"/>
              <w:widowControl/>
              <w:suppressLineNumbers w:val="0"/>
              <w:spacing w:before="0" w:beforeAutospacing="0" w:after="0" w:afterAutospacing="0" w:line="560" w:lineRule="atLeast"/>
              <w:ind w:left="0" w:right="0" w:firstLine="240"/>
              <w:jc w:val="left"/>
              <w:rPr>
                <w:sz w:val="21"/>
                <w:szCs w:val="21"/>
              </w:rPr>
            </w:pPr>
            <w:r>
              <w:rPr>
                <w:rFonts w:hint="eastAsia" w:ascii="微软雅黑" w:hAnsi="微软雅黑" w:eastAsia="微软雅黑" w:cs="微软雅黑"/>
                <w:kern w:val="0"/>
                <w:sz w:val="21"/>
                <w:szCs w:val="21"/>
                <w:lang w:val="en-US" w:eastAsia="zh-CN" w:bidi="ar"/>
              </w:rPr>
              <w:t>0</w:t>
            </w:r>
          </w:p>
        </w:tc>
      </w:tr>
    </w:tbl>
    <w:p w14:paraId="60B324E8">
      <w:pPr>
        <w:pStyle w:val="10"/>
        <w:keepNext w:val="0"/>
        <w:keepLines w:val="0"/>
        <w:widowControl/>
        <w:suppressLineNumbers w:val="0"/>
        <w:spacing w:before="0" w:beforeAutospacing="0" w:after="0" w:afterAutospacing="0" w:line="560" w:lineRule="atLeast"/>
        <w:ind w:left="0" w:right="0" w:firstLine="529" w:firstLineChars="252"/>
        <w:jc w:val="both"/>
        <w:rPr>
          <w:sz w:val="21"/>
          <w:szCs w:val="21"/>
        </w:rPr>
      </w:pPr>
      <w:r>
        <w:rPr>
          <w:rFonts w:hint="eastAsia" w:ascii="微软雅黑" w:hAnsi="微软雅黑" w:eastAsia="微软雅黑" w:cs="微软雅黑"/>
          <w:b/>
          <w:bCs/>
          <w:caps w:val="0"/>
          <w:spacing w:val="0"/>
          <w:sz w:val="21"/>
          <w:szCs w:val="21"/>
        </w:rPr>
        <w:t>四、政府信息公开行政复议、行政诉讼情况</w:t>
      </w:r>
    </w:p>
    <w:tbl>
      <w:tblPr>
        <w:tblStyle w:val="1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3F84B9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411140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行政复议</w:t>
            </w:r>
          </w:p>
        </w:tc>
        <w:tc>
          <w:tcPr>
            <w:tcW w:w="4862"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75A7F62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行政诉讼</w:t>
            </w:r>
          </w:p>
        </w:tc>
      </w:tr>
      <w:tr w14:paraId="061366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7133C9A">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结果维持</w:t>
            </w:r>
          </w:p>
        </w:tc>
        <w:tc>
          <w:tcPr>
            <w:tcW w:w="650" w:type="dxa"/>
            <w:vMerge w:val="restart"/>
            <w:tcBorders>
              <w:top w:val="nil"/>
              <w:left w:val="nil"/>
              <w:bottom w:val="single" w:color="auto" w:sz="8" w:space="0"/>
              <w:right w:val="single" w:color="auto" w:sz="8" w:space="0"/>
            </w:tcBorders>
            <w:noWrap w:val="0"/>
            <w:tcMar>
              <w:left w:w="108" w:type="dxa"/>
              <w:right w:w="108" w:type="dxa"/>
            </w:tcMar>
            <w:vAlign w:val="center"/>
          </w:tcPr>
          <w:p w14:paraId="385EF5C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纠正</w:t>
            </w:r>
          </w:p>
        </w:tc>
        <w:tc>
          <w:tcPr>
            <w:tcW w:w="650" w:type="dxa"/>
            <w:vMerge w:val="restart"/>
            <w:tcBorders>
              <w:top w:val="nil"/>
              <w:left w:val="nil"/>
              <w:bottom w:val="single" w:color="auto" w:sz="8" w:space="0"/>
              <w:right w:val="single" w:color="auto" w:sz="8" w:space="0"/>
            </w:tcBorders>
            <w:noWrap w:val="0"/>
            <w:tcMar>
              <w:left w:w="108" w:type="dxa"/>
              <w:right w:w="108" w:type="dxa"/>
            </w:tcMar>
            <w:vAlign w:val="center"/>
          </w:tcPr>
          <w:p w14:paraId="286CE57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其他</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结果</w:t>
            </w:r>
          </w:p>
        </w:tc>
        <w:tc>
          <w:tcPr>
            <w:tcW w:w="650" w:type="dxa"/>
            <w:vMerge w:val="restart"/>
            <w:tcBorders>
              <w:top w:val="nil"/>
              <w:left w:val="nil"/>
              <w:bottom w:val="single" w:color="auto" w:sz="8" w:space="0"/>
              <w:right w:val="single" w:color="auto" w:sz="8" w:space="0"/>
            </w:tcBorders>
            <w:noWrap w:val="0"/>
            <w:tcMar>
              <w:left w:w="108" w:type="dxa"/>
              <w:right w:w="108" w:type="dxa"/>
            </w:tcMar>
            <w:vAlign w:val="center"/>
          </w:tcPr>
          <w:p w14:paraId="5A7A257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尚未</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审结</w:t>
            </w:r>
          </w:p>
        </w:tc>
        <w:tc>
          <w:tcPr>
            <w:tcW w:w="650" w:type="dxa"/>
            <w:vMerge w:val="restart"/>
            <w:tcBorders>
              <w:top w:val="nil"/>
              <w:left w:val="nil"/>
              <w:bottom w:val="single" w:color="auto" w:sz="8" w:space="0"/>
              <w:right w:val="single" w:color="auto" w:sz="8" w:space="0"/>
            </w:tcBorders>
            <w:noWrap w:val="0"/>
            <w:tcMar>
              <w:left w:w="108" w:type="dxa"/>
              <w:right w:w="108" w:type="dxa"/>
            </w:tcMar>
            <w:vAlign w:val="center"/>
          </w:tcPr>
          <w:p w14:paraId="1A8E088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总计</w:t>
            </w:r>
          </w:p>
        </w:tc>
        <w:tc>
          <w:tcPr>
            <w:tcW w:w="3248" w:type="dxa"/>
            <w:gridSpan w:val="5"/>
            <w:tcBorders>
              <w:top w:val="nil"/>
              <w:left w:val="nil"/>
              <w:bottom w:val="single" w:color="auto" w:sz="8" w:space="0"/>
              <w:right w:val="single" w:color="auto" w:sz="8" w:space="0"/>
            </w:tcBorders>
            <w:noWrap w:val="0"/>
            <w:tcMar>
              <w:left w:w="108" w:type="dxa"/>
              <w:right w:w="108" w:type="dxa"/>
            </w:tcMar>
            <w:vAlign w:val="center"/>
          </w:tcPr>
          <w:p w14:paraId="756026B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未经复议直接起诉</w:t>
            </w:r>
          </w:p>
        </w:tc>
        <w:tc>
          <w:tcPr>
            <w:tcW w:w="3250" w:type="dxa"/>
            <w:gridSpan w:val="5"/>
            <w:tcBorders>
              <w:top w:val="nil"/>
              <w:left w:val="nil"/>
              <w:bottom w:val="single" w:color="auto" w:sz="8" w:space="0"/>
              <w:right w:val="single" w:color="auto" w:sz="8" w:space="0"/>
            </w:tcBorders>
            <w:noWrap w:val="0"/>
            <w:tcMar>
              <w:left w:w="108" w:type="dxa"/>
              <w:right w:w="108" w:type="dxa"/>
            </w:tcMar>
            <w:vAlign w:val="center"/>
          </w:tcPr>
          <w:p w14:paraId="3836352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复议后起诉</w:t>
            </w:r>
          </w:p>
        </w:tc>
      </w:tr>
      <w:tr w14:paraId="076C7C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720377A">
            <w:pPr>
              <w:rPr>
                <w:rFonts w:hint="eastAsia" w:ascii="微软雅黑" w:hAnsi="微软雅黑" w:eastAsia="微软雅黑" w:cs="微软雅黑"/>
                <w:sz w:val="19"/>
                <w:szCs w:val="19"/>
              </w:rPr>
            </w:pPr>
          </w:p>
        </w:tc>
        <w:tc>
          <w:tcPr>
            <w:tcW w:w="650" w:type="dxa"/>
            <w:vMerge w:val="continue"/>
            <w:tcBorders>
              <w:top w:val="nil"/>
              <w:left w:val="nil"/>
              <w:bottom w:val="single" w:color="auto" w:sz="8" w:space="0"/>
              <w:right w:val="single" w:color="auto" w:sz="8" w:space="0"/>
            </w:tcBorders>
            <w:noWrap w:val="0"/>
            <w:tcMar>
              <w:left w:w="108" w:type="dxa"/>
              <w:right w:w="108" w:type="dxa"/>
            </w:tcMar>
            <w:vAlign w:val="center"/>
          </w:tcPr>
          <w:p w14:paraId="576A98B5">
            <w:pPr>
              <w:rPr>
                <w:rFonts w:hint="eastAsia" w:ascii="微软雅黑" w:hAnsi="微软雅黑" w:eastAsia="微软雅黑" w:cs="微软雅黑"/>
                <w:sz w:val="19"/>
                <w:szCs w:val="19"/>
              </w:rPr>
            </w:pPr>
          </w:p>
        </w:tc>
        <w:tc>
          <w:tcPr>
            <w:tcW w:w="650" w:type="dxa"/>
            <w:vMerge w:val="continue"/>
            <w:tcBorders>
              <w:top w:val="nil"/>
              <w:left w:val="nil"/>
              <w:bottom w:val="single" w:color="auto" w:sz="8" w:space="0"/>
              <w:right w:val="single" w:color="auto" w:sz="8" w:space="0"/>
            </w:tcBorders>
            <w:noWrap w:val="0"/>
            <w:tcMar>
              <w:left w:w="108" w:type="dxa"/>
              <w:right w:w="108" w:type="dxa"/>
            </w:tcMar>
            <w:vAlign w:val="center"/>
          </w:tcPr>
          <w:p w14:paraId="6F75754D">
            <w:pPr>
              <w:rPr>
                <w:rFonts w:hint="eastAsia" w:ascii="微软雅黑" w:hAnsi="微软雅黑" w:eastAsia="微软雅黑" w:cs="微软雅黑"/>
                <w:sz w:val="19"/>
                <w:szCs w:val="19"/>
              </w:rPr>
            </w:pPr>
          </w:p>
        </w:tc>
        <w:tc>
          <w:tcPr>
            <w:tcW w:w="650" w:type="dxa"/>
            <w:vMerge w:val="continue"/>
            <w:tcBorders>
              <w:top w:val="nil"/>
              <w:left w:val="nil"/>
              <w:bottom w:val="single" w:color="auto" w:sz="8" w:space="0"/>
              <w:right w:val="single" w:color="auto" w:sz="8" w:space="0"/>
            </w:tcBorders>
            <w:noWrap w:val="0"/>
            <w:tcMar>
              <w:left w:w="108" w:type="dxa"/>
              <w:right w:w="108" w:type="dxa"/>
            </w:tcMar>
            <w:vAlign w:val="center"/>
          </w:tcPr>
          <w:p w14:paraId="222E4C87">
            <w:pPr>
              <w:rPr>
                <w:rFonts w:hint="eastAsia" w:ascii="微软雅黑" w:hAnsi="微软雅黑" w:eastAsia="微软雅黑" w:cs="微软雅黑"/>
                <w:sz w:val="19"/>
                <w:szCs w:val="19"/>
              </w:rPr>
            </w:pPr>
          </w:p>
        </w:tc>
        <w:tc>
          <w:tcPr>
            <w:tcW w:w="650" w:type="dxa"/>
            <w:vMerge w:val="continue"/>
            <w:tcBorders>
              <w:top w:val="nil"/>
              <w:left w:val="nil"/>
              <w:bottom w:val="single" w:color="auto" w:sz="8" w:space="0"/>
              <w:right w:val="single" w:color="auto" w:sz="8" w:space="0"/>
            </w:tcBorders>
            <w:noWrap w:val="0"/>
            <w:tcMar>
              <w:left w:w="108" w:type="dxa"/>
              <w:right w:w="108" w:type="dxa"/>
            </w:tcMar>
            <w:vAlign w:val="center"/>
          </w:tcPr>
          <w:p w14:paraId="720BA0EB">
            <w:pPr>
              <w:rPr>
                <w:rFonts w:hint="eastAsia" w:ascii="微软雅黑" w:hAnsi="微软雅黑" w:eastAsia="微软雅黑" w:cs="微软雅黑"/>
                <w:sz w:val="19"/>
                <w:szCs w:val="19"/>
              </w:rPr>
            </w:pP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20CAEFD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维持</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4751B4A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纠正</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BFF4EF6">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其他</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结果</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8E1F7A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尚未</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审结</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D502B25">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总计</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A5839F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维持</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C3C64F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纠正</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A9A19FF">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其他</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结果</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ED7448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尚未</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审结</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1B037D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总计</w:t>
            </w:r>
          </w:p>
        </w:tc>
      </w:tr>
      <w:tr w14:paraId="25C8AB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72052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2F58A40">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D0F6D29">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41CBDFE">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FDBAE3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34D95587">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14:paraId="70856D63">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42C466D">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BE3B0D4">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E85AEA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16F284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5A27EE2">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22E98C1">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496D5F8">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77E5753">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0</w:t>
            </w:r>
          </w:p>
        </w:tc>
      </w:tr>
    </w:tbl>
    <w:p w14:paraId="53237CEA">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caps w:val="0"/>
          <w:spacing w:val="0"/>
          <w:kern w:val="0"/>
          <w:sz w:val="21"/>
          <w:szCs w:val="21"/>
          <w:lang w:val="en-US" w:eastAsia="zh-CN" w:bidi="ar"/>
        </w:rPr>
        <w:t> </w:t>
      </w:r>
    </w:p>
    <w:p w14:paraId="58CA10EA">
      <w:pPr>
        <w:pStyle w:val="10"/>
        <w:keepNext w:val="0"/>
        <w:keepLines w:val="0"/>
        <w:widowControl/>
        <w:suppressLineNumbers w:val="0"/>
        <w:spacing w:before="0" w:beforeAutospacing="0" w:after="0" w:afterAutospacing="0" w:line="560" w:lineRule="atLeast"/>
        <w:ind w:left="0" w:right="0" w:firstLine="630" w:firstLineChars="300"/>
        <w:jc w:val="both"/>
        <w:rPr>
          <w:sz w:val="21"/>
          <w:szCs w:val="21"/>
        </w:rPr>
      </w:pPr>
      <w:r>
        <w:rPr>
          <w:rFonts w:hint="eastAsia" w:ascii="微软雅黑" w:hAnsi="微软雅黑" w:eastAsia="微软雅黑" w:cs="微软雅黑"/>
          <w:b/>
          <w:bCs/>
          <w:caps w:val="0"/>
          <w:spacing w:val="0"/>
          <w:sz w:val="21"/>
          <w:szCs w:val="21"/>
        </w:rPr>
        <w:t>五、存在的主要问题及改进情况</w:t>
      </w:r>
    </w:p>
    <w:p w14:paraId="4F55FE8D">
      <w:pPr>
        <w:pStyle w:val="10"/>
        <w:keepNext w:val="0"/>
        <w:keepLines w:val="0"/>
        <w:widowControl/>
        <w:suppressLineNumbers w:val="0"/>
        <w:spacing w:before="0" w:beforeAutospacing="0" w:after="0" w:afterAutospacing="0" w:line="560" w:lineRule="atLeast"/>
        <w:ind w:left="0" w:right="0" w:firstLine="640"/>
        <w:jc w:val="both"/>
        <w:rPr>
          <w:rFonts w:ascii="微软雅黑" w:hAnsi="微软雅黑" w:eastAsia="微软雅黑" w:cs="微软雅黑"/>
          <w:i w:val="0"/>
          <w:iCs w:val="0"/>
          <w:caps w:val="0"/>
          <w:color w:val="000000"/>
          <w:spacing w:val="0"/>
          <w:sz w:val="21"/>
          <w:szCs w:val="21"/>
          <w:shd w:val="clear" w:fill="FEFEFE"/>
        </w:rPr>
      </w:pPr>
      <w:r>
        <w:rPr>
          <w:rFonts w:ascii="微软雅黑" w:hAnsi="微软雅黑" w:eastAsia="微软雅黑" w:cs="微软雅黑"/>
          <w:i w:val="0"/>
          <w:iCs w:val="0"/>
          <w:caps w:val="0"/>
          <w:color w:val="000000"/>
          <w:spacing w:val="0"/>
          <w:sz w:val="21"/>
          <w:szCs w:val="21"/>
          <w:shd w:val="clear"/>
        </w:rPr>
        <w:t>一是信息公开不及时，不能很好的协调各股室需要公开事项及时上报。二是公开信息</w:t>
      </w:r>
      <w:r>
        <w:rPr>
          <w:rFonts w:hint="eastAsia" w:ascii="微软雅黑" w:hAnsi="微软雅黑" w:eastAsia="微软雅黑" w:cs="微软雅黑"/>
          <w:i w:val="0"/>
          <w:iCs w:val="0"/>
          <w:caps w:val="0"/>
          <w:color w:val="000000"/>
          <w:spacing w:val="0"/>
          <w:sz w:val="21"/>
          <w:szCs w:val="21"/>
          <w:shd w:val="clear"/>
          <w:lang w:eastAsia="zh-CN"/>
        </w:rPr>
        <w:t>不够全面，及时更新不经常</w:t>
      </w:r>
      <w:r>
        <w:rPr>
          <w:rFonts w:ascii="微软雅黑" w:hAnsi="微软雅黑" w:eastAsia="微软雅黑" w:cs="微软雅黑"/>
          <w:i w:val="0"/>
          <w:iCs w:val="0"/>
          <w:caps w:val="0"/>
          <w:color w:val="000000"/>
          <w:spacing w:val="0"/>
          <w:sz w:val="21"/>
          <w:szCs w:val="21"/>
          <w:shd w:val="clear"/>
        </w:rPr>
        <w:t>。</w:t>
      </w:r>
    </w:p>
    <w:p w14:paraId="17797197">
      <w:pPr>
        <w:pStyle w:val="10"/>
        <w:keepNext w:val="0"/>
        <w:keepLines w:val="0"/>
        <w:widowControl/>
        <w:suppressLineNumbers w:val="0"/>
        <w:shd w:val="clear"/>
        <w:spacing w:before="0" w:beforeAutospacing="0" w:after="0" w:afterAutospacing="0" w:line="560" w:lineRule="atLeast"/>
        <w:ind w:left="0" w:right="0" w:firstLine="640"/>
        <w:jc w:val="both"/>
        <w:rPr>
          <w:rFonts w:hint="eastAsia" w:eastAsia="微软雅黑"/>
          <w:sz w:val="21"/>
          <w:szCs w:val="21"/>
          <w:shd w:val="clear"/>
          <w:lang w:eastAsia="zh-CN"/>
        </w:rPr>
      </w:pPr>
      <w:r>
        <w:rPr>
          <w:rFonts w:hint="eastAsia" w:ascii="微软雅黑" w:hAnsi="微软雅黑" w:eastAsia="微软雅黑" w:cs="微软雅黑"/>
          <w:caps w:val="0"/>
          <w:spacing w:val="0"/>
          <w:sz w:val="21"/>
          <w:szCs w:val="21"/>
        </w:rPr>
        <w:t>202</w:t>
      </w:r>
      <w:r>
        <w:rPr>
          <w:rFonts w:hint="eastAsia" w:ascii="微软雅黑" w:hAnsi="微软雅黑" w:eastAsia="微软雅黑" w:cs="微软雅黑"/>
          <w:caps w:val="0"/>
          <w:spacing w:val="0"/>
          <w:sz w:val="21"/>
          <w:szCs w:val="21"/>
          <w:lang w:val="en-US" w:eastAsia="zh-CN"/>
        </w:rPr>
        <w:t>5</w:t>
      </w:r>
      <w:r>
        <w:rPr>
          <w:rFonts w:hint="eastAsia" w:ascii="微软雅黑" w:hAnsi="微软雅黑" w:eastAsia="微软雅黑" w:cs="微软雅黑"/>
          <w:caps w:val="0"/>
          <w:spacing w:val="0"/>
          <w:sz w:val="21"/>
          <w:szCs w:val="21"/>
        </w:rPr>
        <w:t>年，</w:t>
      </w:r>
      <w:r>
        <w:rPr>
          <w:rFonts w:hint="eastAsia" w:ascii="微软雅黑" w:hAnsi="微软雅黑" w:eastAsia="微软雅黑" w:cs="微软雅黑"/>
          <w:caps w:val="0"/>
          <w:spacing w:val="0"/>
          <w:sz w:val="21"/>
          <w:szCs w:val="21"/>
          <w:lang w:eastAsia="zh-CN"/>
        </w:rPr>
        <w:t>区退役军人事务局</w:t>
      </w:r>
      <w:r>
        <w:rPr>
          <w:rFonts w:hint="eastAsia" w:ascii="微软雅黑" w:hAnsi="微软雅黑" w:eastAsia="微软雅黑" w:cs="微软雅黑"/>
          <w:caps w:val="0"/>
          <w:spacing w:val="0"/>
          <w:sz w:val="21"/>
          <w:szCs w:val="21"/>
        </w:rPr>
        <w:t>将进一步</w:t>
      </w:r>
      <w:r>
        <w:rPr>
          <w:rFonts w:hint="eastAsia" w:ascii="微软雅黑" w:hAnsi="微软雅黑" w:eastAsia="微软雅黑" w:cs="微软雅黑"/>
          <w:caps w:val="0"/>
          <w:spacing w:val="0"/>
          <w:sz w:val="21"/>
          <w:szCs w:val="21"/>
          <w:lang w:val="en-US" w:eastAsia="zh-CN"/>
        </w:rPr>
        <w:t>立足实际，</w:t>
      </w:r>
      <w:r>
        <w:rPr>
          <w:rFonts w:hint="eastAsia" w:ascii="微软雅黑" w:hAnsi="微软雅黑" w:eastAsia="微软雅黑" w:cs="微软雅黑"/>
          <w:caps w:val="0"/>
          <w:spacing w:val="0"/>
          <w:sz w:val="21"/>
          <w:szCs w:val="21"/>
        </w:rPr>
        <w:t>做好</w:t>
      </w:r>
      <w:r>
        <w:rPr>
          <w:rFonts w:hint="eastAsia" w:ascii="微软雅黑" w:hAnsi="微软雅黑" w:eastAsia="微软雅黑" w:cs="微软雅黑"/>
          <w:caps w:val="0"/>
          <w:spacing w:val="0"/>
          <w:sz w:val="21"/>
          <w:szCs w:val="21"/>
          <w:lang w:val="en-US" w:eastAsia="zh-CN"/>
        </w:rPr>
        <w:t>以下</w:t>
      </w:r>
      <w:r>
        <w:rPr>
          <w:rFonts w:hint="eastAsia" w:ascii="微软雅黑" w:hAnsi="微软雅黑" w:eastAsia="微软雅黑" w:cs="微软雅黑"/>
          <w:caps w:val="0"/>
          <w:spacing w:val="0"/>
          <w:sz w:val="21"/>
          <w:szCs w:val="21"/>
        </w:rPr>
        <w:t>工作：</w:t>
      </w:r>
      <w:r>
        <w:rPr>
          <w:rFonts w:ascii="微软雅黑" w:hAnsi="微软雅黑" w:eastAsia="微软雅黑" w:cs="微软雅黑"/>
          <w:i w:val="0"/>
          <w:iCs w:val="0"/>
          <w:caps w:val="0"/>
          <w:color w:val="000000"/>
          <w:spacing w:val="0"/>
          <w:sz w:val="21"/>
          <w:szCs w:val="21"/>
          <w:shd w:val="clear"/>
        </w:rPr>
        <w:t>加强信息公开管理专职人员的业务培训，提高专业能力水平。</w:t>
      </w:r>
      <w:r>
        <w:rPr>
          <w:rFonts w:hint="eastAsia" w:ascii="微软雅黑" w:hAnsi="微软雅黑" w:eastAsia="微软雅黑" w:cs="微软雅黑"/>
          <w:i w:val="0"/>
          <w:iCs w:val="0"/>
          <w:caps w:val="0"/>
          <w:color w:val="000000"/>
          <w:spacing w:val="0"/>
          <w:sz w:val="21"/>
          <w:szCs w:val="21"/>
          <w:shd w:val="clear"/>
          <w:lang w:eastAsia="zh-CN"/>
        </w:rPr>
        <w:t>与政府办工作人员多沟通，加强人员培训。</w:t>
      </w:r>
    </w:p>
    <w:p w14:paraId="641885D2">
      <w:pPr>
        <w:numPr>
          <w:ilvl w:val="0"/>
          <w:numId w:val="3"/>
        </w:numPr>
        <w:ind w:firstLine="420" w:firstLineChars="200"/>
        <w:rPr>
          <w:rFonts w:hint="eastAsia" w:ascii="微软雅黑" w:hAnsi="微软雅黑" w:eastAsia="微软雅黑" w:cs="微软雅黑"/>
          <w:b/>
          <w:bCs/>
          <w:caps w:val="0"/>
          <w:spacing w:val="0"/>
          <w:sz w:val="21"/>
          <w:szCs w:val="21"/>
        </w:rPr>
      </w:pPr>
      <w:r>
        <w:rPr>
          <w:rFonts w:hint="eastAsia" w:ascii="微软雅黑" w:hAnsi="微软雅黑" w:eastAsia="微软雅黑" w:cs="微软雅黑"/>
          <w:b/>
          <w:bCs/>
          <w:caps w:val="0"/>
          <w:spacing w:val="0"/>
          <w:sz w:val="21"/>
          <w:szCs w:val="21"/>
        </w:rPr>
        <w:t>其他需要报告的事项</w:t>
      </w:r>
    </w:p>
    <w:p w14:paraId="74EF40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b w:val="0"/>
          <w:bCs w:val="0"/>
          <w:i w:val="0"/>
          <w:iCs w:val="0"/>
          <w:caps w:val="0"/>
          <w:color w:val="333333"/>
          <w:spacing w:val="0"/>
          <w:sz w:val="24"/>
          <w:szCs w:val="24"/>
          <w:highlight w:val="none"/>
          <w:shd w:val="clear" w:fill="FFFFFF"/>
          <w:lang w:eastAsia="zh-CN"/>
        </w:rPr>
      </w:pPr>
      <w:r>
        <w:rPr>
          <w:rFonts w:hint="eastAsia" w:ascii="宋体" w:hAnsi="宋体" w:eastAsia="宋体" w:cs="宋体"/>
          <w:b w:val="0"/>
          <w:bCs w:val="0"/>
          <w:i w:val="0"/>
          <w:iCs w:val="0"/>
          <w:caps w:val="0"/>
          <w:color w:val="333333"/>
          <w:spacing w:val="0"/>
          <w:sz w:val="24"/>
          <w:szCs w:val="24"/>
          <w:highlight w:val="none"/>
          <w:shd w:val="clear" w:fill="FFFFFF"/>
          <w:lang w:eastAsia="zh-CN"/>
        </w:rPr>
        <w:t>认真贯彻执行国务院办公厅《政府信息公开信息处理费管理办法》和《关于政府信息公开处理费管理有关事项的通知》。202</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4</w:t>
      </w:r>
      <w:r>
        <w:rPr>
          <w:rFonts w:hint="eastAsia" w:ascii="宋体" w:hAnsi="宋体" w:eastAsia="宋体" w:cs="宋体"/>
          <w:b w:val="0"/>
          <w:bCs w:val="0"/>
          <w:i w:val="0"/>
          <w:iCs w:val="0"/>
          <w:caps w:val="0"/>
          <w:color w:val="333333"/>
          <w:spacing w:val="0"/>
          <w:sz w:val="24"/>
          <w:szCs w:val="24"/>
          <w:highlight w:val="none"/>
          <w:shd w:val="clear" w:fill="FFFFFF"/>
          <w:lang w:eastAsia="zh-CN"/>
        </w:rPr>
        <w:t>年未收取信息处理费。</w:t>
      </w:r>
    </w:p>
    <w:p w14:paraId="1025E103">
      <w:pPr>
        <w:numPr>
          <w:ilvl w:val="0"/>
          <w:numId w:val="0"/>
        </w:numPr>
        <w:ind w:firstLine="420" w:firstLineChars="200"/>
        <w:rPr>
          <w:rFonts w:hint="eastAsia" w:eastAsia="宋体"/>
          <w:lang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9D161"/>
    <w:multiLevelType w:val="singleLevel"/>
    <w:tmpl w:val="D0D9D161"/>
    <w:lvl w:ilvl="0" w:tentative="0">
      <w:start w:val="1"/>
      <w:numFmt w:val="chineseCounting"/>
      <w:suff w:val="nothing"/>
      <w:lvlText w:val="（%1）"/>
      <w:lvlJc w:val="left"/>
      <w:rPr>
        <w:rFonts w:hint="eastAsia"/>
      </w:rPr>
    </w:lvl>
  </w:abstractNum>
  <w:abstractNum w:abstractNumId="1">
    <w:nsid w:val="F1218E16"/>
    <w:multiLevelType w:val="multilevel"/>
    <w:tmpl w:val="F1218E16"/>
    <w:lvl w:ilvl="0" w:tentative="0">
      <w:start w:val="1"/>
      <w:numFmt w:val="chineseCounting"/>
      <w:suff w:val="nothing"/>
      <w:lvlText w:val="%1、"/>
      <w:lvlJc w:val="left"/>
      <w:pPr>
        <w:tabs>
          <w:tab w:val="left" w:pos="0"/>
        </w:tabs>
        <w:ind w:left="0" w:firstLine="0"/>
      </w:pPr>
      <w:rPr>
        <w:rFonts w:hint="eastAsia" w:eastAsia="黑体"/>
        <w:sz w:val="32"/>
      </w:rPr>
    </w:lvl>
    <w:lvl w:ilvl="1" w:tentative="0">
      <w:start w:val="1"/>
      <w:numFmt w:val="chineseCounting"/>
      <w:pStyle w:val="2"/>
      <w:suff w:val="nothing"/>
      <w:lvlText w:val="（%2）"/>
      <w:lvlJc w:val="left"/>
      <w:pPr>
        <w:ind w:left="0" w:firstLine="0"/>
      </w:pPr>
      <w:rPr>
        <w:rFonts w:hint="eastAsia" w:ascii="宋体" w:hAnsi="宋体" w:eastAsia="仿宋" w:cs="宋体"/>
        <w:sz w:val="32"/>
      </w:rPr>
    </w:lvl>
    <w:lvl w:ilvl="2" w:tentative="0">
      <w:start w:val="1"/>
      <w:numFmt w:val="decimal"/>
      <w:pStyle w:val="3"/>
      <w:suff w:val="nothing"/>
      <w:lvlText w:val="%3．"/>
      <w:lvlJc w:val="left"/>
      <w:pPr>
        <w:ind w:left="0" w:firstLine="400"/>
      </w:pPr>
      <w:rPr>
        <w:rFonts w:hint="eastAsia"/>
      </w:rPr>
    </w:lvl>
    <w:lvl w:ilvl="3" w:tentative="0">
      <w:start w:val="1"/>
      <w:numFmt w:val="decimal"/>
      <w:pStyle w:val="4"/>
      <w:suff w:val="nothing"/>
      <w:lvlText w:val="（%4）"/>
      <w:lvlJc w:val="left"/>
      <w:pPr>
        <w:ind w:left="0" w:firstLine="402"/>
      </w:pPr>
      <w:rPr>
        <w:rFonts w:hint="eastAsia"/>
      </w:rPr>
    </w:lvl>
    <w:lvl w:ilvl="4" w:tentative="0">
      <w:start w:val="1"/>
      <w:numFmt w:val="decimalEnclosedCircleChinese"/>
      <w:pStyle w:val="5"/>
      <w:suff w:val="nothing"/>
      <w:lvlText w:val="%5"/>
      <w:lvlJc w:val="left"/>
      <w:pPr>
        <w:ind w:left="0" w:firstLine="402"/>
      </w:pPr>
      <w:rPr>
        <w:rFonts w:hint="eastAsia"/>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2">
    <w:nsid w:val="5A140611"/>
    <w:multiLevelType w:val="singleLevel"/>
    <w:tmpl w:val="5A140611"/>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22700"/>
    <w:rsid w:val="06D73318"/>
    <w:rsid w:val="0BFB4525"/>
    <w:rsid w:val="12B27C45"/>
    <w:rsid w:val="2DF960E4"/>
    <w:rsid w:val="303E0BE4"/>
    <w:rsid w:val="32CA117B"/>
    <w:rsid w:val="3D2E3C08"/>
    <w:rsid w:val="3F491DE4"/>
    <w:rsid w:val="402972CB"/>
    <w:rsid w:val="5AA02CC1"/>
    <w:rsid w:val="5AB50BF6"/>
    <w:rsid w:val="63022700"/>
    <w:rsid w:val="6426618D"/>
    <w:rsid w:val="675F5789"/>
    <w:rsid w:val="74F6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Lines="0" w:beforeAutospacing="0" w:afterLines="0" w:afterAutospacing="0" w:line="560" w:lineRule="exact"/>
      <w:ind w:firstLine="880" w:firstLineChars="200"/>
      <w:outlineLvl w:val="1"/>
    </w:pPr>
    <w:rPr>
      <w:rFonts w:ascii="Arial" w:hAnsi="Arial" w:eastAsia="楷体_GB2312"/>
      <w:sz w:val="32"/>
    </w:rPr>
  </w:style>
  <w:style w:type="paragraph" w:styleId="3">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rFonts w:ascii="Times New Roman" w:hAnsi="Times New Roman" w:eastAsia="楷体_GB2312"/>
      <w:sz w:val="32"/>
    </w:rPr>
  </w:style>
  <w:style w:type="paragraph" w:styleId="4">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4">
    <w:name w:val="标准标题"/>
    <w:basedOn w:val="11"/>
    <w:qFormat/>
    <w:uiPriority w:val="0"/>
    <w:pPr>
      <w:snapToGrid w:val="0"/>
      <w:spacing w:line="560" w:lineRule="exact"/>
    </w:pPr>
    <w:rPr>
      <w:rFonts w:ascii="Calibri" w:hAnsi="Calibri" w:eastAsia="方正小标宋简体" w:cs="Times New Roman"/>
      <w:b w:val="0"/>
      <w:sz w:val="44"/>
    </w:rPr>
  </w:style>
  <w:style w:type="paragraph" w:customStyle="1" w:styleId="15">
    <w:name w:val="标准正文"/>
    <w:basedOn w:val="1"/>
    <w:qFormat/>
    <w:uiPriority w:val="0"/>
    <w:pPr>
      <w:spacing w:line="560" w:lineRule="exact"/>
      <w:ind w:firstLine="640" w:firstLineChars="200"/>
    </w:pPr>
    <w:rPr>
      <w:rFonts w:ascii="仿宋_GB2312" w:hAnsi="仿宋_GB2312"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882</Words>
  <Characters>903</Characters>
  <Lines>0</Lines>
  <Paragraphs>0</Paragraphs>
  <TotalTime>11</TotalTime>
  <ScaleCrop>false</ScaleCrop>
  <LinksUpToDate>false</LinksUpToDate>
  <CharactersWithSpaces>903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2025-01-20T08:58:00Z</dcterms:created>
  <dc:creator>WPS_1469754690</dc:creator>
  <cp:lastModifiedBy>米薇</cp:lastModifiedBy>
  <cp:lastPrinted>2025-01-22T01:58:00Z</cp:lastPrinted>
  <dcterms:modified xsi:type="dcterms:W3CDTF">2025-01-22T06:51:16Z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32BEE471EA2C4977A68E3DF8A28A68DA_13</vt:lpwstr>
  </property>
  <property fmtid="{D5CDD505-2E9C-101B-9397-08002B2CF9AE}" pid="4" name="KSOTemplateDocerSaveRecord">
    <vt:lpwstr>eyJoZGlkIjoiOTk5YmUxNTgzM2YwZmFjYTJmZjM3MzExMTM2NTgzMTAiLCJ1c2VySWQiOiIyODYzNTcwNDcifQ==</vt:lpwstr>
  </property>
</Properties>
</file>