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30" w:lineRule="atLeast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</w:rPr>
              <w:t>保定市徐水区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lang w:val="en-US" w:eastAsia="zh-CN"/>
              </w:rPr>
              <w:t>住建局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</w:rPr>
              <w:t>2023年度政府信息公开工作年度报告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2023年1月1日至12月31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一、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2"/>
                <w:szCs w:val="22"/>
              </w:rPr>
              <w:t>总体情况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2023年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住建局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严格贯彻落实新修订的政府信息公开条例要求，认真落实中央、省、市、区关于全面推进政务公开工作决策部署，按照区有关工作安排，全面实施政府信息公开条例，不断强化组织领导，完善工作制度，结合工作实际，坚持将政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府信息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公开工作作为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年度工作的一项重要内容进行部署落实，切实推进政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府信息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公开工作有序开展。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（一）主动公开情况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2023年我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高度重视政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府信息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公开标准化规范化工作，为保证工作顺利开展，由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主要领导牵头，明确分管负责人调度，具体办理人员落实，确保全面推进政务决策公开、执行公开、管理公开、服务公开、结果公开，推动政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府信息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公开全覆盖，切实保障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企业及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人民群众的知情权、参与权、表达权、监督权。我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充分利用网站、微信公众号和政务公开栏等方式发布信息，各项信息做到常态化、实时化，均按照规定范围、时限，定期向社会公开。我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在政府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网站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显著位置设立政务公开栏，及时公开行政许可、行政处罚等相关信息。2023年，我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共办理行政许可</w:t>
            </w:r>
            <w:r>
              <w:rPr>
                <w:rFonts w:hint="default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/>
              </w:rPr>
              <w:t>122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项，办理行政处罚</w:t>
            </w:r>
            <w:r>
              <w:rPr>
                <w:rFonts w:hint="default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项，办理行政强制0项。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（二）依申请公开情况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1.2023年，我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共收到政府信息公开申请</w:t>
            </w:r>
            <w:r>
              <w:rPr>
                <w:rFonts w:hint="default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2.2023年，我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未发生因信息公开引起的行政诉讼情况；未发生因信息公开引起的行政复议情况。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（三）政府信息管理情况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高度重视政府信息公开工作，进一步规范政府信息制作、获取、保存、处理相关流程，加强“全周期管理”。健全公开前保密审查制度，规范保密审查程序，确定由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综合组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专人负责文件公开审核，确保信息公开及时性。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（四）政府信息公开平台建设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依托区政府门户网站以及我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微信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公众号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徐水住建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”等新媒体，优化调整微信公众号栏目，积极推动我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政务信息公开工作，增强信息公开的准确性、权威性。同时，大力宣传全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政务工作动态、典型经验、创新举措，提升服务水平，方便群众办事。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（五）监督保障情况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进一步健全信息公开工作机制，确保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企业及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广大群众对我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工作的知情权、参与权和监督权。2023年我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政府信息公开工作有条不紊向前推进，接受人民群众的社会监督及评议。不断完善政务公开领导体制、工作机制，明确由分管领导负责政务公开工作，加强政务公开制度建设，把政务公开要求全面贯穿于办文办会办事等日常工作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二、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2"/>
                <w:szCs w:val="22"/>
              </w:rPr>
              <w:t>主动公开政府信息情况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 </w:t>
            </w:r>
          </w:p>
          <w:tbl>
            <w:tblPr>
              <w:tblStyle w:val="3"/>
              <w:tblW w:w="97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现行有效件数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/>
                      <w:sz w:val="21"/>
                      <w:szCs w:val="21"/>
                      <w:lang w:val="en-US"/>
                    </w:rPr>
                    <w:t>122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三、收到和处理政府信息公开申请情况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 </w:t>
            </w: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7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商业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科研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9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/>
                      <w:sz w:val="21"/>
                      <w:szCs w:val="21"/>
                      <w:lang w:val="en-US"/>
                    </w:rPr>
                    <w:t>15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/>
                      <w:sz w:val="21"/>
                      <w:szCs w:val="21"/>
                      <w:lang w:val="en-US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四、政府信息公开行政复议、行政诉讼情况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4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503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55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五、存在的主要问题及改进情况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（一）存在问题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一是个别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组室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重视程度还不够，参与配合度不高，主动公开政府信息的责任意识还比较薄弱。二是公开信息的质量和时效有待提升。三是政府信息公开工作力量薄弱，由于人员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年龄大、数量少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，队伍建设还需加强。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（二）下一步工作措施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一是加强对新修订《条例》的学习，进一步提高工作人员的责任意识，增强运用规范化流程推动政府信息公开的自觉性。二是完善工作机制，进一步完善政府信息公开工作制度，落实目标责任制，建立健全各项规章制度，规范信息公开流程，方便公众查阅、申请、获取政府信息，提升政府公信力。三是加强信息梳理，进一步提高部门协作配合力度，及时完善更新主动公开的政府信息目录，保证公开信息的完整性和准确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六、其他需要报告的事项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认真贯彻执行国务院办公厅《政府信息公开信息处理费管理办法》和《关于政府信息公开处理费管理有关事项的通知》。2023年未收取信息处理费。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63CB"/>
    <w:rsid w:val="1BAA63CB"/>
    <w:rsid w:val="1D916939"/>
    <w:rsid w:val="32BF590B"/>
    <w:rsid w:val="771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2024-01-29T06:34:00Z</dcterms:created>
  <dc:creator>NTKO</dc:creator>
  <cp:lastModifiedBy>NTKO</cp:lastModifiedBy>
  <dcterms:modified xsi:type="dcterms:W3CDTF">2024-01-29T07:19:51Z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8C32E1EB5E094AE99D870970A56E80CD</vt:lpwstr>
  </property>
</Properties>
</file>