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452" w:afterAutospacing="0" w:line="30" w:lineRule="atLeast"/>
        <w:ind w:left="0" w:right="0"/>
        <w:jc w:val="center"/>
        <w:rPr>
          <w:rFonts w:hint="eastAsia" w:ascii="方正小标宋简体" w:hAnsi="方正小标宋简体" w:eastAsia="方正小标宋简体" w:cs="方正小标宋简体"/>
          <w:b/>
          <w:bCs/>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rPr>
        <w:t>关于在中国（上海）自由贸易试验区试点暂时进境修理有关税收政策的通知</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上海海关，国家税务总局上海市税务局，中国（上海）自由贸易试验区管理委员会，中国（上海）自由贸易试验区临港新片区管理委员会：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为贯彻落实国务院印发的《全面对接国际高标准经贸规则推进中国（上海）自由贸易试验区高水平制度型开放总体方案》（国发〔2023〕23号）相关要求，现将中国（上海）自由贸易试验区（含临港新片区）暂时进境修理有关税收政策通知如下：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一、在中国（上海）自由贸易试验区（含临港新片区）的海关特殊监管区域内（以下称试点区域），对企业自本通知实施之日起自境外暂时准许进入试点区域进行修理的货物实施保税，复运出境的免征关税、进口环节增值税和消费税；不复运出境转为内销的，按要求办理进口手续，以修理后货物的实际报验状态，照章征收进口关税、进口环节增值税和消费税。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本政策仅适用于洋山特殊综合保税区、上海浦东机场综合保税区、上海外高桥港综合保税区、上海外高桥保税区，以及中国（上海）自由贸易试验区（含临港新片区）内经国务院批复同意的其他海关特殊监管区域。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三、开展上述修理业务的货物范围包括：1.商务部、生态环境部、海关总署制定的综合保税区维修产品目录内的货物；2.按照有关规定允许在中国（上海）自由贸易试验区（含临港新片区）海关特殊监管区域内开展保税维修的其他货物。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除法律、行政法规、国务院的规定或国务院有关部门依据法律、行政法规授权作出的规定准许外，试点区域内不得开展国家禁止进出口货物的修理业务，不得通过修理方式开展拆解、报废等业务。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四、上述维修产品范围内的货物，修理后经验核许可证件并符合相关进口监管要求的允许内销，但属于国家禁止进口的和未经准许限制进口的货物，修理后应复运出境不得内销；进境修理过程中产生或替换的边角料、旧件、坏件等，原则上应全部复运出境；确实无法复运出境的，一律不得内销，应当按照有关规定进行销毁处置。其中属于固体废物的，企业应当按照固体废物环境管理有关规定进行处置。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五、试点区域内企业申请开展上述修理业务，由企业所在海关特殊监管区域管委会会同商务、生态环境、主管海关等部门共同研究确定试点企业名单，并报上海市财政、商务、生态环境、税务，以及上海海关等部门备案。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六、享受政策措施的企业应建立符合海关监管要求的信息化管理制度，能够实现对修理耗用等信息的全流程跟踪，对待修理货物、修理过程中替换的坏损零部件和产生的边角料、修理后的废用料件等进行专门管理。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七、上海市人民政府商商务部、生态环境部、海关总署、财政部、税务总局等部门制定配套监管方案，明确入境修理货物的管理、违规处置标准、处罚办法等内容，并与本通知同步印发实施。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同时，上海市相关部门应通过信息化等手段加强监管、防控风险、及时查处违规行为，并加强信息互联互通，共享符合政策措施条件企业及修理货物的监管等信息。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八、对自境外暂时进入试点区域内进行修理的货物实施保税，海关按保税维修方式办理手续并实施监管。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本通知自印发之日起实施，通知印发前已征税的进口货物，不再退还相关税款。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财政部 生态环境部 商务部 海关总署 税务总局</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default" w:ascii="仿宋_GB2312" w:hAnsi="仿宋_GB2312" w:eastAsia="仿宋_GB2312" w:cs="仿宋_GB2312"/>
          <w:i w:val="0"/>
          <w:iCs w:val="0"/>
          <w:caps w:val="0"/>
          <w:color w:val="333333"/>
          <w:spacing w:val="0"/>
          <w:sz w:val="32"/>
          <w:szCs w:val="32"/>
          <w:lang w:val="en-US"/>
        </w:rPr>
        <w:t xml:space="preserve">     </w:t>
      </w:r>
      <w:r>
        <w:rPr>
          <w:rFonts w:hint="eastAsia" w:ascii="仿宋_GB2312" w:hAnsi="仿宋_GB2312" w:eastAsia="仿宋_GB2312" w:cs="仿宋_GB2312"/>
          <w:i w:val="0"/>
          <w:iCs w:val="0"/>
          <w:caps w:val="0"/>
          <w:color w:val="333333"/>
          <w:spacing w:val="0"/>
          <w:sz w:val="32"/>
          <w:szCs w:val="32"/>
        </w:rPr>
        <w:t>2024年6月27日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0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2024-07-17T09:16:19Z</dcterms:created>
  <dc:creator>lenovo</dc:creator>
  <cp:lastModifiedBy>user</cp:lastModifiedBy>
  <dcterms:modified xsi:type="dcterms:W3CDTF">2024-07-17T09:19:43Z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9CD325524A20494882B27EE0070F5D8D</vt:lpwstr>
  </property>
</Properties>
</file>