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4FB3F">
      <w:pPr>
        <w:pStyle w:val="4"/>
        <w:spacing w:line="530" w:lineRule="exact"/>
        <w:ind w:left="0"/>
        <w:rPr>
          <w:rFonts w:ascii="Times New Roman"/>
          <w:sz w:val="20"/>
        </w:rPr>
      </w:pPr>
    </w:p>
    <w:p w14:paraId="727AFD15">
      <w:pPr>
        <w:pStyle w:val="5"/>
        <w:spacing w:line="530" w:lineRule="exact"/>
      </w:pPr>
    </w:p>
    <w:p w14:paraId="15F0312B">
      <w:pPr>
        <w:pStyle w:val="4"/>
        <w:spacing w:line="530" w:lineRule="exact"/>
        <w:ind w:left="0"/>
        <w:rPr>
          <w:rFonts w:ascii="Times New Roman"/>
          <w:sz w:val="20"/>
        </w:rPr>
      </w:pPr>
    </w:p>
    <w:p w14:paraId="148D322C">
      <w:pPr>
        <w:pStyle w:val="4"/>
        <w:spacing w:line="530" w:lineRule="exact"/>
        <w:ind w:left="0"/>
        <w:rPr>
          <w:rFonts w:ascii="Times New Roman"/>
          <w:sz w:val="20"/>
        </w:rPr>
      </w:pPr>
    </w:p>
    <w:p w14:paraId="3EE17D45">
      <w:pPr>
        <w:pStyle w:val="4"/>
        <w:spacing w:line="530" w:lineRule="exact"/>
        <w:ind w:left="0"/>
        <w:rPr>
          <w:rFonts w:ascii="Times New Roman"/>
          <w:sz w:val="20"/>
        </w:rPr>
      </w:pPr>
    </w:p>
    <w:p w14:paraId="5A52751A">
      <w:pPr>
        <w:pStyle w:val="4"/>
        <w:spacing w:line="530" w:lineRule="exact"/>
        <w:ind w:left="0"/>
        <w:rPr>
          <w:rFonts w:ascii="Times New Roman"/>
          <w:sz w:val="20"/>
        </w:rPr>
      </w:pPr>
    </w:p>
    <w:p w14:paraId="5A7B12D4">
      <w:pPr>
        <w:spacing w:before="55" w:line="530" w:lineRule="exact"/>
        <w:ind w:left="311" w:right="451"/>
        <w:jc w:val="center"/>
        <w:rPr>
          <w:sz w:val="32"/>
        </w:rPr>
      </w:pPr>
      <w:r>
        <w:rPr>
          <w:sz w:val="32"/>
        </w:rPr>
        <w:t>徐审环表字〔20</w:t>
      </w:r>
      <w:r>
        <w:rPr>
          <w:rFonts w:hint="eastAsia"/>
          <w:sz w:val="32"/>
          <w:lang w:val="en-US"/>
        </w:rPr>
        <w:t>2</w:t>
      </w:r>
      <w:r>
        <w:rPr>
          <w:rFonts w:hint="eastAsia"/>
          <w:sz w:val="32"/>
          <w:lang w:val="en-US" w:eastAsia="zh-CN"/>
        </w:rPr>
        <w:t>5</w:t>
      </w:r>
      <w:r>
        <w:rPr>
          <w:sz w:val="32"/>
        </w:rPr>
        <w:t>〕</w:t>
      </w:r>
      <w:r>
        <w:rPr>
          <w:rFonts w:hint="eastAsia"/>
          <w:sz w:val="32"/>
          <w:lang w:val="en-US" w:eastAsia="zh-CN"/>
        </w:rPr>
        <w:t>1</w:t>
      </w:r>
      <w:r>
        <w:rPr>
          <w:sz w:val="32"/>
        </w:rPr>
        <w:t>号</w:t>
      </w:r>
    </w:p>
    <w:p w14:paraId="05D752BD">
      <w:pPr>
        <w:pStyle w:val="4"/>
        <w:spacing w:line="530" w:lineRule="exact"/>
        <w:ind w:left="0"/>
        <w:rPr>
          <w:sz w:val="32"/>
        </w:rPr>
      </w:pPr>
    </w:p>
    <w:p w14:paraId="4149CB4D">
      <w:pPr>
        <w:autoSpaceDE/>
        <w:autoSpaceDN/>
        <w:snapToGrid w:val="0"/>
        <w:spacing w:line="530" w:lineRule="exact"/>
        <w:ind w:firstLine="2530" w:firstLineChars="700"/>
        <w:jc w:val="both"/>
        <w:outlineLvl w:val="0"/>
        <w:rPr>
          <w:rFonts w:hint="eastAsia" w:ascii="黑体" w:hAnsi="黑体" w:eastAsia="黑体" w:cs="黑体"/>
          <w:b/>
          <w:bCs w:val="0"/>
          <w:kern w:val="2"/>
          <w:sz w:val="36"/>
          <w:szCs w:val="36"/>
          <w:lang w:val="en-US" w:bidi="ar-SA"/>
        </w:rPr>
      </w:pPr>
      <w:bookmarkStart w:id="0" w:name="保定市徐水区行政审批局"/>
      <w:bookmarkEnd w:id="0"/>
      <w:r>
        <w:rPr>
          <w:rFonts w:hint="eastAsia" w:ascii="黑体" w:hAnsi="黑体" w:eastAsia="黑体" w:cs="黑体"/>
          <w:b/>
          <w:bCs w:val="0"/>
          <w:kern w:val="2"/>
          <w:sz w:val="36"/>
          <w:szCs w:val="36"/>
          <w:lang w:val="en-US" w:bidi="ar-SA"/>
        </w:rPr>
        <w:t>保</w:t>
      </w:r>
      <w:r>
        <w:rPr>
          <w:rFonts w:hint="eastAsia" w:ascii="黑体" w:hAnsi="黑体" w:eastAsia="黑体" w:cs="黑体"/>
          <w:b w:val="0"/>
          <w:bCs/>
          <w:kern w:val="2"/>
          <w:sz w:val="36"/>
          <w:szCs w:val="36"/>
          <w:lang w:val="en-US" w:bidi="ar-SA"/>
        </w:rPr>
        <w:t>定</w:t>
      </w:r>
      <w:r>
        <w:rPr>
          <w:rFonts w:hint="eastAsia" w:ascii="黑体" w:hAnsi="黑体" w:eastAsia="黑体" w:cs="黑体"/>
          <w:b/>
          <w:bCs w:val="0"/>
          <w:kern w:val="2"/>
          <w:sz w:val="36"/>
          <w:szCs w:val="36"/>
          <w:lang w:val="en-US" w:bidi="ar-SA"/>
        </w:rPr>
        <w:t>市徐水区行政审批局</w:t>
      </w:r>
    </w:p>
    <w:p w14:paraId="4F40208C">
      <w:pPr>
        <w:autoSpaceDE/>
        <w:autoSpaceDN/>
        <w:snapToGrid w:val="0"/>
        <w:spacing w:line="530" w:lineRule="exact"/>
        <w:jc w:val="center"/>
        <w:outlineLvl w:val="0"/>
        <w:rPr>
          <w:rFonts w:ascii="方正小标宋简体" w:hAnsi="宋体" w:eastAsia="方正小标宋简体" w:cs="Times New Roman"/>
          <w:b/>
          <w:bCs w:val="0"/>
          <w:kern w:val="2"/>
          <w:sz w:val="36"/>
          <w:szCs w:val="36"/>
          <w:lang w:val="en-US" w:bidi="ar-SA"/>
        </w:rPr>
      </w:pPr>
      <w:r>
        <w:rPr>
          <w:rFonts w:hint="eastAsia" w:ascii="黑体" w:hAnsi="黑体" w:eastAsia="黑体" w:cs="黑体"/>
          <w:b/>
          <w:bCs w:val="0"/>
          <w:kern w:val="2"/>
          <w:sz w:val="36"/>
          <w:szCs w:val="36"/>
          <w:lang w:val="en-US" w:eastAsia="zh-CN" w:bidi="ar-SA"/>
        </w:rPr>
        <w:t xml:space="preserve"> </w:t>
      </w:r>
      <w:r>
        <w:rPr>
          <w:rFonts w:hint="eastAsia" w:ascii="黑体" w:hAnsi="黑体" w:eastAsia="黑体" w:cs="黑体"/>
          <w:b/>
          <w:bCs w:val="0"/>
          <w:kern w:val="2"/>
          <w:sz w:val="36"/>
          <w:szCs w:val="36"/>
          <w:lang w:val="en-US" w:bidi="ar-SA"/>
        </w:rPr>
        <w:t>关于</w:t>
      </w:r>
      <w:r>
        <w:rPr>
          <w:rFonts w:hint="eastAsia" w:ascii="黑体" w:hAnsi="黑体" w:eastAsia="黑体" w:cs="黑体"/>
          <w:b/>
          <w:bCs w:val="0"/>
          <w:kern w:val="2"/>
          <w:sz w:val="36"/>
          <w:szCs w:val="36"/>
          <w:lang w:val="en-US" w:eastAsia="zh-CN" w:bidi="ar-SA"/>
        </w:rPr>
        <w:t>徐水建军医院新院址建设项目</w:t>
      </w:r>
      <w:r>
        <w:rPr>
          <w:rFonts w:hint="eastAsia" w:ascii="黑体" w:hAnsi="黑体" w:eastAsia="黑体" w:cs="黑体"/>
          <w:b/>
          <w:bCs w:val="0"/>
          <w:kern w:val="2"/>
          <w:sz w:val="36"/>
          <w:szCs w:val="36"/>
          <w:lang w:val="en-US" w:bidi="ar-SA"/>
        </w:rPr>
        <w:t>环境影响报告表的批复</w:t>
      </w:r>
    </w:p>
    <w:p w14:paraId="332EDAA7">
      <w:pPr>
        <w:autoSpaceDE/>
        <w:autoSpaceDN/>
        <w:snapToGrid w:val="0"/>
        <w:spacing w:line="530" w:lineRule="exact"/>
        <w:jc w:val="center"/>
        <w:outlineLvl w:val="0"/>
        <w:rPr>
          <w:rFonts w:ascii="方正小标宋简体" w:hAnsi="宋体" w:eastAsia="方正小标宋简体" w:cs="Times New Roman"/>
          <w:bCs/>
          <w:kern w:val="2"/>
          <w:sz w:val="44"/>
          <w:szCs w:val="44"/>
          <w:lang w:val="en-US" w:bidi="ar-SA"/>
        </w:rPr>
      </w:pPr>
    </w:p>
    <w:p w14:paraId="5CF5A1C0">
      <w:pPr>
        <w:pStyle w:val="4"/>
        <w:spacing w:before="40" w:line="360" w:lineRule="auto"/>
        <w:ind w:right="115"/>
        <w:rPr>
          <w:sz w:val="28"/>
          <w:szCs w:val="28"/>
        </w:rPr>
      </w:pPr>
      <w:r>
        <w:rPr>
          <w:rFonts w:hint="eastAsia"/>
          <w:sz w:val="28"/>
          <w:szCs w:val="28"/>
          <w:lang w:eastAsia="zh-CN"/>
        </w:rPr>
        <w:t>徐水建军医院</w:t>
      </w:r>
      <w:r>
        <w:rPr>
          <w:sz w:val="28"/>
          <w:szCs w:val="28"/>
        </w:rPr>
        <w:t>：</w:t>
      </w:r>
    </w:p>
    <w:p w14:paraId="06452787">
      <w:pPr>
        <w:pStyle w:val="4"/>
        <w:spacing w:before="40" w:line="360" w:lineRule="auto"/>
        <w:ind w:right="115" w:firstLine="559"/>
        <w:rPr>
          <w:sz w:val="28"/>
          <w:szCs w:val="28"/>
        </w:rPr>
      </w:pPr>
      <w:r>
        <w:rPr>
          <w:rFonts w:hint="eastAsia"/>
          <w:sz w:val="28"/>
          <w:szCs w:val="28"/>
        </w:rPr>
        <w:t>你单位</w:t>
      </w:r>
      <w:r>
        <w:rPr>
          <w:sz w:val="28"/>
          <w:szCs w:val="28"/>
        </w:rPr>
        <w:t>所</w:t>
      </w:r>
      <w:r>
        <w:rPr>
          <w:spacing w:val="-6"/>
          <w:sz w:val="28"/>
          <w:szCs w:val="28"/>
        </w:rPr>
        <w:t>报《</w:t>
      </w:r>
      <w:r>
        <w:rPr>
          <w:rFonts w:hint="eastAsia"/>
          <w:spacing w:val="-6"/>
          <w:sz w:val="28"/>
          <w:szCs w:val="28"/>
          <w:lang w:eastAsia="zh-CN"/>
        </w:rPr>
        <w:t>徐水建军医院新院址建设</w:t>
      </w:r>
      <w:r>
        <w:rPr>
          <w:rFonts w:hint="eastAsia"/>
          <w:sz w:val="28"/>
          <w:szCs w:val="28"/>
          <w:lang w:val="en-US" w:eastAsia="zh-CN"/>
        </w:rPr>
        <w:t>项目</w:t>
      </w:r>
      <w:r>
        <w:rPr>
          <w:rFonts w:hint="eastAsia"/>
          <w:sz w:val="28"/>
          <w:szCs w:val="28"/>
          <w:lang w:val="en-US"/>
        </w:rPr>
        <w:t>环境影响报告表</w:t>
      </w:r>
      <w:r>
        <w:rPr>
          <w:rFonts w:hint="eastAsia"/>
          <w:sz w:val="28"/>
          <w:szCs w:val="28"/>
          <w:lang w:val="en-US" w:eastAsia="zh-CN"/>
        </w:rPr>
        <w:t>》</w:t>
      </w:r>
      <w:r>
        <w:rPr>
          <w:rFonts w:hint="eastAsia" w:ascii="仿宋" w:hAnsi="仿宋" w:eastAsia="仿宋" w:cs="仿宋"/>
          <w:sz w:val="28"/>
          <w:szCs w:val="28"/>
          <w:lang w:val="en-US" w:eastAsia="zh-CN" w:bidi="zh-CN"/>
        </w:rPr>
        <w:t>及</w:t>
      </w:r>
      <w:r>
        <w:rPr>
          <w:sz w:val="28"/>
          <w:szCs w:val="28"/>
          <w:lang w:val="en-US"/>
        </w:rPr>
        <w:t>相关材</w:t>
      </w:r>
      <w:r>
        <w:rPr>
          <w:rFonts w:hint="eastAsia"/>
          <w:sz w:val="28"/>
          <w:szCs w:val="28"/>
          <w:lang w:val="en-US"/>
        </w:rPr>
        <w:t>料</w:t>
      </w:r>
      <w:r>
        <w:rPr>
          <w:sz w:val="28"/>
          <w:szCs w:val="28"/>
          <w:lang w:val="en-US"/>
        </w:rPr>
        <w:t>收悉</w:t>
      </w:r>
      <w:r>
        <w:rPr>
          <w:rFonts w:hint="eastAsia"/>
          <w:sz w:val="28"/>
          <w:szCs w:val="28"/>
          <w:lang w:val="en-US"/>
        </w:rPr>
        <w:t>，根据</w:t>
      </w:r>
      <w:r>
        <w:rPr>
          <w:sz w:val="28"/>
          <w:szCs w:val="28"/>
          <w:lang w:val="en-US"/>
        </w:rPr>
        <w:t>评价结论，</w:t>
      </w:r>
      <w:r>
        <w:rPr>
          <w:rFonts w:hint="eastAsia"/>
          <w:sz w:val="28"/>
          <w:szCs w:val="28"/>
          <w:lang w:val="en-US"/>
        </w:rPr>
        <w:t>经</w:t>
      </w:r>
      <w:r>
        <w:rPr>
          <w:spacing w:val="-6"/>
          <w:sz w:val="28"/>
          <w:szCs w:val="28"/>
        </w:rPr>
        <w:t>研究</w:t>
      </w:r>
      <w:r>
        <w:rPr>
          <w:rFonts w:hint="eastAsia"/>
          <w:spacing w:val="-6"/>
          <w:sz w:val="28"/>
          <w:szCs w:val="28"/>
        </w:rPr>
        <w:t>，</w:t>
      </w:r>
      <w:r>
        <w:rPr>
          <w:spacing w:val="-6"/>
          <w:sz w:val="28"/>
          <w:szCs w:val="28"/>
        </w:rPr>
        <w:t>批复如下：</w:t>
      </w:r>
    </w:p>
    <w:p w14:paraId="6ABF8DF8">
      <w:pPr>
        <w:spacing w:line="360" w:lineRule="auto"/>
        <w:ind w:firstLine="560" w:firstLineChars="200"/>
        <w:jc w:val="both"/>
        <w:rPr>
          <w:rFonts w:hint="default" w:ascii="仿宋" w:hAnsi="仿宋" w:eastAsia="仿宋" w:cs="仿宋"/>
          <w:sz w:val="28"/>
          <w:szCs w:val="28"/>
          <w:lang w:val="en-US" w:eastAsia="zh-CN" w:bidi="zh-CN"/>
        </w:rPr>
      </w:pPr>
      <w:r>
        <w:rPr>
          <w:rFonts w:hint="eastAsia" w:ascii="仿宋" w:hAnsi="仿宋" w:eastAsia="仿宋" w:cs="仿宋"/>
          <w:sz w:val="28"/>
          <w:szCs w:val="28"/>
          <w:lang w:val="en-US" w:eastAsia="zh-CN" w:bidi="zh-CN"/>
        </w:rPr>
        <w:t>一、基本情况：</w:t>
      </w:r>
      <w:r>
        <w:rPr>
          <w:rFonts w:hint="eastAsia"/>
          <w:spacing w:val="-6"/>
          <w:sz w:val="28"/>
          <w:szCs w:val="28"/>
          <w:lang w:eastAsia="zh-CN"/>
        </w:rPr>
        <w:t>徐水建军医院新院址建设</w:t>
      </w:r>
      <w:r>
        <w:rPr>
          <w:rFonts w:hint="eastAsia"/>
          <w:sz w:val="28"/>
          <w:szCs w:val="28"/>
          <w:lang w:val="en-US" w:eastAsia="zh-CN"/>
        </w:rPr>
        <w:t>项目</w:t>
      </w:r>
      <w:r>
        <w:rPr>
          <w:rFonts w:hint="eastAsia" w:ascii="仿宋" w:hAnsi="仿宋" w:eastAsia="仿宋" w:cs="仿宋"/>
          <w:sz w:val="28"/>
          <w:szCs w:val="28"/>
          <w:lang w:val="en-US" w:eastAsia="zh-CN" w:bidi="zh-CN"/>
        </w:rPr>
        <w:t>位于河北省保定市徐水区康明北大街 519-4 号院内。项目东侧为农田，东南侧为保定恒洁洗涤有限公司废弃库房，南侧为 BD 健身馆，西南侧为闲置建筑（原启明星幼儿园），西侧为徐水区立德幼儿园，隔幼儿园为康明北大街，北侧为品丰饭店。距离本项目最近的敏感目标为西侧 20m 处的徐水区立德幼儿园，本项目西距康明北大街 93m。项目总投资</w:t>
      </w:r>
      <w:r>
        <w:rPr>
          <w:rFonts w:hint="eastAsia" w:cs="仿宋"/>
          <w:sz w:val="28"/>
          <w:szCs w:val="28"/>
          <w:lang w:val="en-US" w:eastAsia="zh-CN" w:bidi="zh-CN"/>
        </w:rPr>
        <w:t>137.5</w:t>
      </w:r>
      <w:r>
        <w:rPr>
          <w:rFonts w:hint="eastAsia" w:ascii="仿宋" w:hAnsi="仿宋" w:eastAsia="仿宋" w:cs="仿宋"/>
          <w:sz w:val="28"/>
          <w:szCs w:val="28"/>
          <w:lang w:val="en-US" w:eastAsia="zh-CN" w:bidi="zh-CN"/>
        </w:rPr>
        <w:t>万元，环保投资</w:t>
      </w:r>
      <w:r>
        <w:rPr>
          <w:rFonts w:hint="eastAsia" w:cs="仿宋"/>
          <w:sz w:val="28"/>
          <w:szCs w:val="28"/>
          <w:lang w:val="en-US" w:eastAsia="zh-CN" w:bidi="zh-CN"/>
        </w:rPr>
        <w:t>15</w:t>
      </w:r>
      <w:r>
        <w:rPr>
          <w:rFonts w:hint="eastAsia" w:ascii="仿宋" w:hAnsi="仿宋" w:eastAsia="仿宋" w:cs="仿宋"/>
          <w:sz w:val="28"/>
          <w:szCs w:val="28"/>
          <w:lang w:val="en-US" w:eastAsia="zh-CN" w:bidi="zh-CN"/>
        </w:rPr>
        <w:t>万元，环保投资占比</w:t>
      </w:r>
      <w:r>
        <w:rPr>
          <w:rFonts w:hint="eastAsia" w:cs="仿宋"/>
          <w:sz w:val="28"/>
          <w:szCs w:val="28"/>
          <w:lang w:val="en-US" w:eastAsia="zh-CN" w:bidi="zh-CN"/>
        </w:rPr>
        <w:t>10.9</w:t>
      </w:r>
      <w:r>
        <w:rPr>
          <w:rFonts w:hint="eastAsia" w:ascii="仿宋" w:hAnsi="仿宋" w:eastAsia="仿宋" w:cs="仿宋"/>
          <w:sz w:val="28"/>
          <w:szCs w:val="28"/>
          <w:lang w:val="en-US" w:eastAsia="zh-CN" w:bidi="zh-CN"/>
        </w:rPr>
        <w:t>%。建设内容及规模：项</w:t>
      </w:r>
      <w:r>
        <w:rPr>
          <w:rFonts w:hint="eastAsia" w:cs="仿宋"/>
          <w:sz w:val="28"/>
          <w:szCs w:val="28"/>
          <w:lang w:val="en-US" w:eastAsia="zh-CN" w:bidi="zh-CN"/>
        </w:rPr>
        <w:t>目</w:t>
      </w:r>
      <w:r>
        <w:rPr>
          <w:rFonts w:hint="eastAsia" w:ascii="仿宋" w:hAnsi="仿宋" w:eastAsia="仿宋" w:cs="仿宋"/>
          <w:sz w:val="28"/>
          <w:szCs w:val="28"/>
          <w:lang w:val="en-US" w:eastAsia="zh-CN" w:bidi="zh-CN"/>
        </w:rPr>
        <w:t>设置科室主要为检验科、急诊科、预防保健科、外科、药房、中西医结合科、中医科、妇科、内科、精神科、医学影像科等，项目不设置传染科，属于非传染病医院。项目设置病床 80 张，共有职工 56人，设一处食堂，每天门诊量预计为 20 人。本项目不设置洗衣房和煎药室，不在医院内洗涤病服及床单，全部外委清洗。</w:t>
      </w:r>
      <w:r>
        <w:rPr>
          <w:rFonts w:hint="eastAsia" w:cs="仿宋"/>
          <w:sz w:val="28"/>
          <w:szCs w:val="28"/>
          <w:lang w:val="en-US" w:eastAsia="zh-CN" w:bidi="zh-CN"/>
        </w:rPr>
        <w:t>项目</w:t>
      </w:r>
      <w:r>
        <w:rPr>
          <w:rFonts w:hint="eastAsia" w:ascii="仿宋" w:hAnsi="仿宋" w:eastAsia="仿宋" w:cs="仿宋"/>
          <w:sz w:val="28"/>
          <w:szCs w:val="28"/>
          <w:lang w:val="en-US" w:eastAsia="zh-CN" w:bidi="zh-CN"/>
        </w:rPr>
        <w:t>不涉及含辐射的各医疗设备的环评</w:t>
      </w:r>
      <w:r>
        <w:rPr>
          <w:rFonts w:hint="eastAsia" w:cs="仿宋"/>
          <w:sz w:val="28"/>
          <w:szCs w:val="28"/>
          <w:lang w:val="en-US" w:eastAsia="zh-CN" w:bidi="zh-CN"/>
        </w:rPr>
        <w:t>。项目配套建设地埋式污水处理站（设计处理量30m3/d）、一般固废间（10㎡）、医疗废物暂存间（10㎡）、危废间（10㎡）。项目年用水量10960.95m³/a；用电由院内 1 台 50KVA 变压器供给，全年耗电量为 10 万 kwh；制冷和取暖均采用空调。</w:t>
      </w:r>
    </w:p>
    <w:p w14:paraId="65D7240C">
      <w:pPr>
        <w:pStyle w:val="4"/>
        <w:spacing w:before="42" w:line="360" w:lineRule="auto"/>
        <w:ind w:right="115" w:firstLine="560" w:firstLineChars="200"/>
        <w:jc w:val="both"/>
        <w:rPr>
          <w:sz w:val="28"/>
          <w:szCs w:val="28"/>
          <w:lang w:val="en-US"/>
        </w:rPr>
      </w:pPr>
      <w:r>
        <w:rPr>
          <w:rFonts w:hint="eastAsia"/>
          <w:sz w:val="28"/>
          <w:szCs w:val="28"/>
          <w:lang w:val="en-US"/>
        </w:rPr>
        <w:t>二、在落实报告表提出的各项污染防治和环境风险防范措施的前提下，项目建设从环境保护角度可行。同意本报告表作为项目建设和运营中环境管理的依据。</w:t>
      </w:r>
    </w:p>
    <w:p w14:paraId="31D1486F">
      <w:pPr>
        <w:pStyle w:val="4"/>
        <w:spacing w:before="42" w:line="360" w:lineRule="auto"/>
        <w:ind w:right="115" w:firstLine="560" w:firstLineChars="200"/>
        <w:jc w:val="both"/>
        <w:rPr>
          <w:sz w:val="28"/>
          <w:szCs w:val="28"/>
          <w:lang w:val="en-US"/>
        </w:rPr>
      </w:pPr>
      <w:r>
        <w:rPr>
          <w:rFonts w:hint="eastAsia"/>
          <w:sz w:val="28"/>
          <w:szCs w:val="28"/>
          <w:lang w:val="en-US"/>
        </w:rPr>
        <w:t>三、你单位在建设和日常管理过程中，要严格落实该报告表中的建设内容、各项污染防治、环境风险防范措施及要求，并重点做好以下工作：</w:t>
      </w:r>
    </w:p>
    <w:p w14:paraId="4E0B78B3">
      <w:pPr>
        <w:pStyle w:val="4"/>
        <w:spacing w:before="42" w:line="360" w:lineRule="auto"/>
        <w:ind w:right="115" w:firstLine="560" w:firstLineChars="200"/>
        <w:jc w:val="both"/>
        <w:rPr>
          <w:sz w:val="28"/>
          <w:szCs w:val="28"/>
          <w:lang w:val="en-US"/>
        </w:rPr>
      </w:pPr>
      <w:r>
        <w:rPr>
          <w:rFonts w:hint="eastAsia"/>
          <w:sz w:val="28"/>
          <w:szCs w:val="28"/>
          <w:lang w:val="en-US"/>
        </w:rPr>
        <w:t>1、建立日常环境管理制度、组织机构和管理</w:t>
      </w:r>
      <w:r>
        <w:rPr>
          <w:rFonts w:hint="eastAsia"/>
          <w:sz w:val="28"/>
          <w:szCs w:val="28"/>
          <w:lang w:val="en-US" w:eastAsia="zh-CN"/>
        </w:rPr>
        <w:t>台账</w:t>
      </w:r>
      <w:r>
        <w:rPr>
          <w:rFonts w:hint="eastAsia"/>
          <w:sz w:val="28"/>
          <w:szCs w:val="28"/>
          <w:lang w:val="en-US"/>
        </w:rPr>
        <w:t>,项目投入运行前报保定市生态环境局徐水区分局备案。</w:t>
      </w:r>
    </w:p>
    <w:p w14:paraId="29577165">
      <w:pPr>
        <w:pStyle w:val="4"/>
        <w:spacing w:before="42" w:line="360" w:lineRule="auto"/>
        <w:ind w:left="0" w:leftChars="0" w:right="115" w:firstLine="560" w:firstLineChars="200"/>
        <w:jc w:val="both"/>
        <w:rPr>
          <w:rFonts w:hint="eastAsia"/>
          <w:sz w:val="28"/>
          <w:szCs w:val="28"/>
          <w:lang w:val="en-US"/>
        </w:rPr>
      </w:pPr>
      <w:r>
        <w:rPr>
          <w:rFonts w:hint="eastAsia"/>
          <w:sz w:val="28"/>
          <w:szCs w:val="28"/>
          <w:lang w:val="en-US"/>
        </w:rPr>
        <w:t>2、严格落实环评文件提出的污染防治措施及相关规定，确保区域环境不因项目建设受到影响。</w:t>
      </w:r>
    </w:p>
    <w:p w14:paraId="1331CDE6">
      <w:pPr>
        <w:pStyle w:val="4"/>
        <w:spacing w:before="42" w:line="360" w:lineRule="auto"/>
        <w:ind w:left="0" w:leftChars="0" w:right="115" w:firstLine="560" w:firstLineChars="200"/>
        <w:jc w:val="both"/>
        <w:rPr>
          <w:rFonts w:hint="eastAsia"/>
          <w:sz w:val="28"/>
          <w:szCs w:val="28"/>
          <w:lang w:val="en-US" w:eastAsia="zh-CN"/>
        </w:rPr>
      </w:pPr>
      <w:r>
        <w:rPr>
          <w:rFonts w:hint="eastAsia"/>
          <w:sz w:val="28"/>
          <w:szCs w:val="28"/>
          <w:lang w:val="en-US" w:eastAsia="zh-CN"/>
        </w:rPr>
        <w:t>3、废气</w:t>
      </w:r>
      <w:r>
        <w:rPr>
          <w:rFonts w:hint="eastAsia"/>
          <w:sz w:val="28"/>
          <w:szCs w:val="28"/>
          <w:lang w:val="en-US"/>
        </w:rPr>
        <w:t>:</w:t>
      </w:r>
      <w:r>
        <w:rPr>
          <w:rFonts w:hint="eastAsia"/>
          <w:sz w:val="28"/>
          <w:szCs w:val="28"/>
          <w:lang w:val="en-US" w:eastAsia="zh-CN"/>
        </w:rPr>
        <w:t>污水处理站无组织臭气浓度、氨、硫化氢</w:t>
      </w:r>
      <w:r>
        <w:rPr>
          <w:rFonts w:hint="eastAsia"/>
          <w:sz w:val="28"/>
          <w:szCs w:val="28"/>
          <w:lang w:val="en-US"/>
        </w:rPr>
        <w:t>和食堂油烟</w:t>
      </w:r>
      <w:r>
        <w:rPr>
          <w:rFonts w:hint="eastAsia"/>
          <w:sz w:val="28"/>
          <w:szCs w:val="28"/>
          <w:lang w:val="en-US" w:eastAsia="zh-CN"/>
        </w:rPr>
        <w:t>。治理措施：①污水处理站设置地埋式一体化污水处理站，设备密闭，定期投加除臭剂、及时清运污泥、加强日常管理等措施。污水处理站无组织臭气浓度、氨、硫化氢排放执行《医疗机构水污染物排放标准》（GB18466-2005）表3污水处理站周边大气污染物最高允许浓度要求｡②食堂油烟 1 套由环保认证的油烟净化器处理后引至屋顶排放。食堂油烟执行《餐饮业大气污染物排放标准》（DB13/5808-2023）表1小型标准。</w:t>
      </w:r>
    </w:p>
    <w:p w14:paraId="4DF5B4E1">
      <w:pPr>
        <w:pStyle w:val="4"/>
        <w:spacing w:before="42" w:line="360" w:lineRule="auto"/>
        <w:ind w:left="0" w:leftChars="0" w:right="115" w:firstLine="560" w:firstLineChars="200"/>
        <w:jc w:val="both"/>
        <w:rPr>
          <w:rFonts w:hint="eastAsia"/>
          <w:sz w:val="28"/>
          <w:szCs w:val="28"/>
          <w:lang w:val="en-US" w:eastAsia="zh-CN"/>
        </w:rPr>
      </w:pPr>
      <w:r>
        <w:rPr>
          <w:rFonts w:hint="eastAsia"/>
          <w:sz w:val="28"/>
          <w:szCs w:val="28"/>
          <w:lang w:val="en-US" w:eastAsia="zh-CN"/>
        </w:rPr>
        <w:t>4、废水：废水主要为医疗废水、职工生活污水和食堂废水。治理措施：生活污水和医疗废水经化粪池处理后，与经隔油池处理后的食堂废水一并进入院内地埋式一体化污水处理站处理，再通过市政污水管网进入徐水污水处理厂。废水排放应满足《医疗机构水污染物排放标准》（GB18466-2005）表 2 预处理标准，同时满足徐水污水处理厂进水水质要求。</w:t>
      </w:r>
    </w:p>
    <w:p w14:paraId="7FF2EDB6">
      <w:pPr>
        <w:pStyle w:val="4"/>
        <w:spacing w:before="42" w:line="360" w:lineRule="auto"/>
        <w:ind w:left="0" w:leftChars="0" w:right="115" w:firstLine="560" w:firstLineChars="200"/>
        <w:jc w:val="both"/>
        <w:rPr>
          <w:rFonts w:hint="eastAsia"/>
          <w:lang w:val="en-US" w:eastAsia="zh-CN"/>
        </w:rPr>
      </w:pPr>
      <w:r>
        <w:rPr>
          <w:rFonts w:hint="eastAsia"/>
          <w:sz w:val="28"/>
          <w:szCs w:val="28"/>
          <w:lang w:val="en-US" w:eastAsia="zh-CN"/>
        </w:rPr>
        <w:t>5、噪声：</w:t>
      </w:r>
      <w:r>
        <w:rPr>
          <w:rFonts w:hint="default"/>
          <w:lang w:val="en-US" w:eastAsia="zh-CN"/>
        </w:rPr>
        <w:t>主要为污水处理站水泵、风机和变压器运行的噪声以及社会噪声</w:t>
      </w:r>
      <w:r>
        <w:rPr>
          <w:rFonts w:hint="eastAsia"/>
          <w:lang w:val="en-US" w:eastAsia="zh-CN"/>
        </w:rPr>
        <w:t>。治理措施：采用低噪声设备，水泵置于地下，风机设置隔声罩，并设置基础减振、消声等措施，变压器采取密闭隔声措施。 边界噪声排放应满足《工业企业厂界环境噪 声排放标准》(GB12348-2008)表1中</w:t>
      </w:r>
      <w:bookmarkStart w:id="1" w:name="_GoBack"/>
      <w:bookmarkEnd w:id="1"/>
      <w:r>
        <w:rPr>
          <w:rFonts w:hint="eastAsia"/>
          <w:lang w:val="en-US" w:eastAsia="zh-CN"/>
        </w:rPr>
        <w:t>1类标准要求。</w:t>
      </w:r>
    </w:p>
    <w:p w14:paraId="03B29A70">
      <w:pPr>
        <w:pStyle w:val="4"/>
        <w:spacing w:before="42" w:line="360" w:lineRule="auto"/>
        <w:ind w:left="0" w:leftChars="0" w:right="115" w:firstLine="560" w:firstLineChars="200"/>
        <w:jc w:val="both"/>
        <w:rPr>
          <w:rFonts w:hint="eastAsia"/>
          <w:lang w:val="en-US" w:eastAsia="zh-CN"/>
        </w:rPr>
      </w:pPr>
      <w:r>
        <w:rPr>
          <w:rFonts w:hint="eastAsia"/>
          <w:lang w:val="en-US" w:eastAsia="zh-CN"/>
        </w:rPr>
        <w:t>6、固废：未经感染的输液瓶、药袋、医药器材包装等一般固废暂存于一般固废暂存间，委托可回收利用单位拉走处置。</w:t>
      </w:r>
    </w:p>
    <w:p w14:paraId="28E816CE">
      <w:pPr>
        <w:pStyle w:val="4"/>
        <w:spacing w:before="42" w:line="360" w:lineRule="auto"/>
        <w:ind w:left="559" w:leftChars="254" w:right="115" w:firstLine="0" w:firstLineChars="0"/>
        <w:jc w:val="both"/>
        <w:rPr>
          <w:rFonts w:hint="eastAsia"/>
          <w:lang w:val="en-US" w:eastAsia="zh-CN"/>
        </w:rPr>
      </w:pPr>
      <w:r>
        <w:rPr>
          <w:rFonts w:hint="eastAsia"/>
          <w:lang w:val="en-US" w:eastAsia="zh-CN"/>
        </w:rPr>
        <w:t>餐厨垃圾和废油脂暂存于一般固废间，委托有资质的单位进行处置。生活垃圾统一收集后交由环卫部门处理。</w:t>
      </w:r>
    </w:p>
    <w:p w14:paraId="08A553A6">
      <w:pPr>
        <w:pStyle w:val="4"/>
        <w:spacing w:before="42" w:line="360" w:lineRule="auto"/>
        <w:ind w:left="0" w:leftChars="0" w:right="115" w:firstLine="560" w:firstLineChars="200"/>
        <w:jc w:val="both"/>
        <w:rPr>
          <w:rFonts w:hint="eastAsia"/>
          <w:lang w:val="en-US" w:eastAsia="zh-CN"/>
        </w:rPr>
      </w:pPr>
      <w:r>
        <w:rPr>
          <w:rFonts w:hint="eastAsia"/>
          <w:lang w:val="en-US" w:eastAsia="zh-CN"/>
        </w:rPr>
        <w:t>医疗废物分类收集包装后暂存于医疗废物暂存间，定期交有医疗废物处置资质单位处置。</w:t>
      </w:r>
    </w:p>
    <w:p w14:paraId="2F2F7F4A">
      <w:pPr>
        <w:pStyle w:val="4"/>
        <w:spacing w:before="42" w:line="360" w:lineRule="auto"/>
        <w:ind w:left="0" w:leftChars="0" w:right="115" w:firstLine="560" w:firstLineChars="200"/>
        <w:jc w:val="both"/>
        <w:rPr>
          <w:rFonts w:hint="default"/>
          <w:lang w:val="en-US" w:eastAsia="zh-CN"/>
        </w:rPr>
      </w:pPr>
      <w:r>
        <w:rPr>
          <w:rFonts w:hint="eastAsia"/>
          <w:lang w:val="en-US" w:eastAsia="zh-CN"/>
        </w:rPr>
        <w:t>危险废物污泥、栅渣经石灰消毒后暂存危废间，委托有资质单位处置。</w:t>
      </w:r>
    </w:p>
    <w:p w14:paraId="1BFC99D7">
      <w:pPr>
        <w:pStyle w:val="4"/>
        <w:spacing w:before="42" w:line="360" w:lineRule="auto"/>
        <w:ind w:left="0" w:leftChars="0" w:right="115" w:firstLine="560" w:firstLineChars="200"/>
        <w:jc w:val="both"/>
        <w:rPr>
          <w:sz w:val="28"/>
          <w:szCs w:val="28"/>
          <w:lang w:val="en-US"/>
        </w:rPr>
      </w:pPr>
      <w:r>
        <w:rPr>
          <w:rFonts w:hint="eastAsia"/>
          <w:sz w:val="28"/>
          <w:szCs w:val="28"/>
          <w:lang w:val="en-US"/>
        </w:rPr>
        <w:t>四、污染物排放总量控制结论</w:t>
      </w:r>
    </w:p>
    <w:p w14:paraId="1B742C95">
      <w:pPr>
        <w:pStyle w:val="4"/>
        <w:spacing w:before="42" w:line="360" w:lineRule="auto"/>
        <w:ind w:left="119" w:right="113" w:firstLine="544" w:firstLineChars="200"/>
        <w:jc w:val="both"/>
        <w:rPr>
          <w:rFonts w:hint="eastAsia" w:eastAsia="仿宋"/>
          <w:spacing w:val="-4"/>
          <w:sz w:val="28"/>
          <w:szCs w:val="28"/>
          <w:lang w:val="en-US" w:eastAsia="zh-CN"/>
        </w:rPr>
      </w:pPr>
      <w:r>
        <w:rPr>
          <w:rFonts w:hint="eastAsia"/>
          <w:spacing w:val="-4"/>
          <w:sz w:val="28"/>
          <w:szCs w:val="28"/>
          <w:lang w:eastAsia="zh-CN"/>
        </w:rPr>
        <w:t>本</w:t>
      </w:r>
      <w:r>
        <w:rPr>
          <w:rFonts w:hint="eastAsia"/>
          <w:spacing w:val="-4"/>
          <w:sz w:val="28"/>
          <w:szCs w:val="28"/>
        </w:rPr>
        <w:t>项目建成后</w:t>
      </w:r>
      <w:r>
        <w:rPr>
          <w:rFonts w:hint="eastAsia"/>
          <w:spacing w:val="-4"/>
          <w:sz w:val="28"/>
          <w:szCs w:val="28"/>
          <w:lang w:val="en-US" w:eastAsia="zh-CN"/>
        </w:rPr>
        <w:t>,</w:t>
      </w:r>
      <w:r>
        <w:rPr>
          <w:rFonts w:hint="eastAsia"/>
          <w:spacing w:val="-4"/>
          <w:sz w:val="28"/>
          <w:szCs w:val="28"/>
          <w:lang w:eastAsia="zh-CN"/>
        </w:rPr>
        <w:t>污染物</w:t>
      </w:r>
      <w:r>
        <w:rPr>
          <w:rFonts w:hint="eastAsia"/>
          <w:spacing w:val="-4"/>
          <w:sz w:val="28"/>
          <w:szCs w:val="28"/>
        </w:rPr>
        <w:t>总量控制指标为：COD 0.263t/a、氨氮0.013t/a、总氮 0.132t/a、总磷 0.003t/a、二氧化硫 0t/a、NOx 0t/a、颗粒物 0t/a、VOCS 0t/a。</w:t>
      </w:r>
    </w:p>
    <w:p w14:paraId="31069999">
      <w:pPr>
        <w:pStyle w:val="4"/>
        <w:spacing w:before="42" w:line="360" w:lineRule="auto"/>
        <w:ind w:left="440" w:leftChars="200" w:right="115" w:firstLine="280" w:firstLineChars="100"/>
        <w:jc w:val="both"/>
        <w:rPr>
          <w:sz w:val="28"/>
          <w:szCs w:val="28"/>
        </w:rPr>
      </w:pPr>
      <w:r>
        <w:rPr>
          <w:rFonts w:hint="eastAsia"/>
          <w:sz w:val="28"/>
          <w:szCs w:val="28"/>
        </w:rPr>
        <w:t>五、</w:t>
      </w:r>
      <w:r>
        <w:rPr>
          <w:sz w:val="28"/>
          <w:szCs w:val="28"/>
        </w:rPr>
        <w:t>项目建成后应先行按照排污许可管理要求办理排污许可证，并按规定程序实施竣工环境保护验收。</w:t>
      </w:r>
    </w:p>
    <w:p w14:paraId="686E44D9">
      <w:pPr>
        <w:pStyle w:val="4"/>
        <w:numPr>
          <w:ilvl w:val="0"/>
          <w:numId w:val="2"/>
        </w:numPr>
        <w:spacing w:before="42" w:line="360" w:lineRule="auto"/>
        <w:ind w:right="115" w:firstLine="560" w:firstLineChars="200"/>
        <w:jc w:val="both"/>
        <w:rPr>
          <w:sz w:val="28"/>
          <w:szCs w:val="28"/>
        </w:rPr>
      </w:pPr>
      <w:r>
        <w:rPr>
          <w:sz w:val="28"/>
          <w:szCs w:val="28"/>
        </w:rPr>
        <w:t>请保定市生态环境局徐水区分局负责项目的日常监督</w:t>
      </w:r>
      <w:r>
        <w:rPr>
          <w:rFonts w:hint="eastAsia"/>
          <w:sz w:val="28"/>
          <w:szCs w:val="28"/>
        </w:rPr>
        <w:t>管理。</w:t>
      </w:r>
    </w:p>
    <w:p w14:paraId="088D989D">
      <w:pPr>
        <w:pStyle w:val="4"/>
        <w:numPr>
          <w:ilvl w:val="0"/>
          <w:numId w:val="2"/>
        </w:numPr>
        <w:spacing w:before="42" w:line="360" w:lineRule="auto"/>
        <w:ind w:right="115" w:firstLine="560" w:firstLineChars="200"/>
        <w:jc w:val="both"/>
        <w:rPr>
          <w:sz w:val="28"/>
          <w:szCs w:val="28"/>
          <w:lang w:val="en-US"/>
        </w:rPr>
      </w:pPr>
      <w:r>
        <w:rPr>
          <w:sz w:val="28"/>
          <w:szCs w:val="28"/>
        </w:rPr>
        <w:t>你单位应在收到本批复起10个工作日内，将环境影响报告</w:t>
      </w:r>
      <w:r>
        <w:rPr>
          <w:spacing w:val="-8"/>
          <w:sz w:val="28"/>
          <w:szCs w:val="28"/>
        </w:rPr>
        <w:t>表及批复送保定市生态环境局徐水区分局，并按规定接受各级生态</w:t>
      </w:r>
      <w:r>
        <w:rPr>
          <w:rFonts w:hint="eastAsia"/>
          <w:spacing w:val="-8"/>
          <w:sz w:val="28"/>
          <w:szCs w:val="28"/>
        </w:rPr>
        <w:t>环</w:t>
      </w:r>
      <w:r>
        <w:rPr>
          <w:spacing w:val="-3"/>
          <w:sz w:val="28"/>
          <w:szCs w:val="28"/>
        </w:rPr>
        <w:t>境部门的监</w:t>
      </w:r>
      <w:r>
        <w:rPr>
          <w:rFonts w:hint="eastAsia"/>
          <w:spacing w:val="-3"/>
          <w:sz w:val="28"/>
          <w:szCs w:val="28"/>
          <w:lang w:eastAsia="zh-CN"/>
        </w:rPr>
        <w:t>管。</w:t>
      </w:r>
    </w:p>
    <w:p w14:paraId="0115A6B6">
      <w:pPr>
        <w:pStyle w:val="4"/>
        <w:numPr>
          <w:ilvl w:val="0"/>
          <w:numId w:val="0"/>
        </w:numPr>
        <w:spacing w:before="42" w:line="360" w:lineRule="auto"/>
        <w:ind w:right="115" w:rightChars="0" w:firstLine="4760" w:firstLineChars="1700"/>
        <w:jc w:val="both"/>
        <w:rPr>
          <w:sz w:val="28"/>
          <w:szCs w:val="28"/>
          <w:lang w:val="en-US"/>
        </w:rPr>
      </w:pPr>
      <w:r>
        <w:rPr>
          <w:rFonts w:hint="eastAsia"/>
          <w:sz w:val="28"/>
          <w:szCs w:val="28"/>
          <w:lang w:val="en-US"/>
        </w:rPr>
        <w:t>保定市徐水区行政审批局</w:t>
      </w:r>
    </w:p>
    <w:p w14:paraId="52BD0261">
      <w:pPr>
        <w:pStyle w:val="4"/>
        <w:spacing w:before="10" w:line="360" w:lineRule="auto"/>
        <w:ind w:firstLine="5320" w:firstLineChars="1900"/>
        <w:rPr>
          <w:sz w:val="28"/>
          <w:szCs w:val="28"/>
          <w:lang w:val="en-US"/>
        </w:rPr>
      </w:pPr>
      <w:r>
        <w:rPr>
          <w:rFonts w:hint="eastAsia"/>
          <w:sz w:val="28"/>
          <w:szCs w:val="28"/>
          <w:lang w:val="en-US"/>
        </w:rPr>
        <w:t>202</w:t>
      </w:r>
      <w:r>
        <w:rPr>
          <w:rFonts w:hint="eastAsia"/>
          <w:sz w:val="28"/>
          <w:szCs w:val="28"/>
          <w:lang w:val="en-US" w:eastAsia="zh-CN"/>
        </w:rPr>
        <w:t>5</w:t>
      </w:r>
      <w:r>
        <w:rPr>
          <w:rFonts w:hint="eastAsia"/>
          <w:sz w:val="28"/>
          <w:szCs w:val="28"/>
          <w:lang w:val="en-US"/>
        </w:rPr>
        <w:t>年</w:t>
      </w:r>
      <w:r>
        <w:rPr>
          <w:rFonts w:hint="eastAsia"/>
          <w:sz w:val="28"/>
          <w:szCs w:val="28"/>
          <w:lang w:val="en-US" w:eastAsia="zh-CN"/>
        </w:rPr>
        <w:t>03</w:t>
      </w:r>
      <w:r>
        <w:rPr>
          <w:rFonts w:hint="eastAsia"/>
          <w:sz w:val="28"/>
          <w:szCs w:val="28"/>
          <w:lang w:val="en-US"/>
        </w:rPr>
        <w:t>月</w:t>
      </w:r>
      <w:r>
        <w:rPr>
          <w:rFonts w:hint="eastAsia"/>
          <w:sz w:val="28"/>
          <w:szCs w:val="28"/>
          <w:lang w:val="en-US" w:eastAsia="zh-CN"/>
        </w:rPr>
        <w:t>28</w:t>
      </w:r>
      <w:r>
        <w:rPr>
          <w:rFonts w:hint="eastAsia"/>
          <w:sz w:val="28"/>
          <w:szCs w:val="28"/>
          <w:lang w:val="en-US"/>
        </w:rPr>
        <w:t>日</w:t>
      </w:r>
    </w:p>
    <w:p w14:paraId="4C258032">
      <w:pPr>
        <w:tabs>
          <w:tab w:val="left" w:pos="4739"/>
        </w:tabs>
        <w:spacing w:before="14" w:line="530" w:lineRule="exact"/>
        <w:rPr>
          <w:vanish/>
          <w:sz w:val="21"/>
        </w:rPr>
      </w:pPr>
    </w:p>
    <w:sectPr>
      <w:footerReference r:id="rId3" w:type="default"/>
      <w:pgSz w:w="11910" w:h="16840"/>
      <w:pgMar w:top="2098" w:right="1531" w:bottom="1871"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60D2">
    <w:pPr>
      <w:pStyle w:val="8"/>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21000">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EF21000">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2A107A"/>
    <w:multiLevelType w:val="singleLevel"/>
    <w:tmpl w:val="552A107A"/>
    <w:lvl w:ilvl="0" w:tentative="0">
      <w:start w:val="6"/>
      <w:numFmt w:val="chineseCounting"/>
      <w:suff w:val="nothing"/>
      <w:lvlText w:val="%1、"/>
      <w:lvlJc w:val="left"/>
      <w:rPr>
        <w:rFonts w:hint="eastAsia"/>
      </w:rPr>
    </w:lvl>
  </w:abstractNum>
  <w:abstractNum w:abstractNumId="1">
    <w:nsid w:val="7D1F61D2"/>
    <w:multiLevelType w:val="singleLevel"/>
    <w:tmpl w:val="7D1F61D2"/>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yNzVhMmUyZDhiOWVhMzk2NGNlZjI2OTYwYTZlNjMifQ=="/>
  </w:docVars>
  <w:rsids>
    <w:rsidRoot w:val="00FC1720"/>
    <w:rsid w:val="003914BD"/>
    <w:rsid w:val="005F416A"/>
    <w:rsid w:val="00610D73"/>
    <w:rsid w:val="00641C89"/>
    <w:rsid w:val="00883C0B"/>
    <w:rsid w:val="00965181"/>
    <w:rsid w:val="009F4DD4"/>
    <w:rsid w:val="00A95106"/>
    <w:rsid w:val="00AC082C"/>
    <w:rsid w:val="00CB2CC5"/>
    <w:rsid w:val="00DE05C0"/>
    <w:rsid w:val="00E302B9"/>
    <w:rsid w:val="00EB4A9C"/>
    <w:rsid w:val="00FA1190"/>
    <w:rsid w:val="00FC1720"/>
    <w:rsid w:val="0165797C"/>
    <w:rsid w:val="025670DC"/>
    <w:rsid w:val="030A0C44"/>
    <w:rsid w:val="03906316"/>
    <w:rsid w:val="039F1890"/>
    <w:rsid w:val="0468705B"/>
    <w:rsid w:val="04F65EE5"/>
    <w:rsid w:val="05631D9D"/>
    <w:rsid w:val="05835C58"/>
    <w:rsid w:val="05B1134C"/>
    <w:rsid w:val="05B2081C"/>
    <w:rsid w:val="05E62F43"/>
    <w:rsid w:val="062849C4"/>
    <w:rsid w:val="06422433"/>
    <w:rsid w:val="06FF108D"/>
    <w:rsid w:val="082A3699"/>
    <w:rsid w:val="088124B5"/>
    <w:rsid w:val="09057A46"/>
    <w:rsid w:val="09211986"/>
    <w:rsid w:val="093E07C1"/>
    <w:rsid w:val="094D67E5"/>
    <w:rsid w:val="0A732EE2"/>
    <w:rsid w:val="0AAB16B7"/>
    <w:rsid w:val="0ADD2F10"/>
    <w:rsid w:val="0B2A2971"/>
    <w:rsid w:val="0B6B7A7C"/>
    <w:rsid w:val="0BA1296D"/>
    <w:rsid w:val="0C7C2650"/>
    <w:rsid w:val="0CE30246"/>
    <w:rsid w:val="0D2B61BA"/>
    <w:rsid w:val="0D784C61"/>
    <w:rsid w:val="0DEF638A"/>
    <w:rsid w:val="0E0612AC"/>
    <w:rsid w:val="0E1B57EE"/>
    <w:rsid w:val="0E6F241E"/>
    <w:rsid w:val="0E750962"/>
    <w:rsid w:val="0E8C118A"/>
    <w:rsid w:val="0F405362"/>
    <w:rsid w:val="0F8C706A"/>
    <w:rsid w:val="108D24B2"/>
    <w:rsid w:val="10C41951"/>
    <w:rsid w:val="10CB3C75"/>
    <w:rsid w:val="112C42A9"/>
    <w:rsid w:val="116A701E"/>
    <w:rsid w:val="11B06239"/>
    <w:rsid w:val="11CE423C"/>
    <w:rsid w:val="11D7728D"/>
    <w:rsid w:val="122B288B"/>
    <w:rsid w:val="1290345F"/>
    <w:rsid w:val="129D2782"/>
    <w:rsid w:val="13114CFB"/>
    <w:rsid w:val="13AB2EDF"/>
    <w:rsid w:val="13C10E5D"/>
    <w:rsid w:val="15161579"/>
    <w:rsid w:val="15534200"/>
    <w:rsid w:val="155B4E8D"/>
    <w:rsid w:val="15A64021"/>
    <w:rsid w:val="15A77E2C"/>
    <w:rsid w:val="15B86291"/>
    <w:rsid w:val="15D11759"/>
    <w:rsid w:val="16507A8B"/>
    <w:rsid w:val="167B72E0"/>
    <w:rsid w:val="16AB5805"/>
    <w:rsid w:val="17016262"/>
    <w:rsid w:val="17217CAE"/>
    <w:rsid w:val="178B0482"/>
    <w:rsid w:val="17A03938"/>
    <w:rsid w:val="17F93995"/>
    <w:rsid w:val="18602A8A"/>
    <w:rsid w:val="18CE42AE"/>
    <w:rsid w:val="190301C9"/>
    <w:rsid w:val="19447655"/>
    <w:rsid w:val="197235DA"/>
    <w:rsid w:val="19A52FDB"/>
    <w:rsid w:val="19B46994"/>
    <w:rsid w:val="19E42752"/>
    <w:rsid w:val="1A00005D"/>
    <w:rsid w:val="1A950C4B"/>
    <w:rsid w:val="1B35262F"/>
    <w:rsid w:val="1B486418"/>
    <w:rsid w:val="1B4C6D2F"/>
    <w:rsid w:val="1B615F73"/>
    <w:rsid w:val="1BA72DE6"/>
    <w:rsid w:val="1C0E058F"/>
    <w:rsid w:val="1C0E19D1"/>
    <w:rsid w:val="1C4D2F48"/>
    <w:rsid w:val="1C4F1A8D"/>
    <w:rsid w:val="1C550973"/>
    <w:rsid w:val="1D623A48"/>
    <w:rsid w:val="1DA92D89"/>
    <w:rsid w:val="1DCA3E7C"/>
    <w:rsid w:val="1E0572EF"/>
    <w:rsid w:val="1E6358FD"/>
    <w:rsid w:val="1E69239C"/>
    <w:rsid w:val="1ED53EF8"/>
    <w:rsid w:val="1F3469BB"/>
    <w:rsid w:val="1FA42E79"/>
    <w:rsid w:val="1FD83163"/>
    <w:rsid w:val="1FEA381C"/>
    <w:rsid w:val="208D6310"/>
    <w:rsid w:val="20C748E4"/>
    <w:rsid w:val="20F2689C"/>
    <w:rsid w:val="210510C8"/>
    <w:rsid w:val="2146060D"/>
    <w:rsid w:val="21963295"/>
    <w:rsid w:val="21A65222"/>
    <w:rsid w:val="21B7304D"/>
    <w:rsid w:val="22E56081"/>
    <w:rsid w:val="230520ED"/>
    <w:rsid w:val="231E0851"/>
    <w:rsid w:val="231E7DB7"/>
    <w:rsid w:val="23763EBD"/>
    <w:rsid w:val="23A67218"/>
    <w:rsid w:val="24274EBA"/>
    <w:rsid w:val="24374C17"/>
    <w:rsid w:val="245B0EED"/>
    <w:rsid w:val="25070332"/>
    <w:rsid w:val="250A61A6"/>
    <w:rsid w:val="255467E2"/>
    <w:rsid w:val="25CC3869"/>
    <w:rsid w:val="25ED0CD7"/>
    <w:rsid w:val="25F72458"/>
    <w:rsid w:val="264151D6"/>
    <w:rsid w:val="264852BD"/>
    <w:rsid w:val="271C51C6"/>
    <w:rsid w:val="274D122B"/>
    <w:rsid w:val="27642686"/>
    <w:rsid w:val="27C60C96"/>
    <w:rsid w:val="27D94DBA"/>
    <w:rsid w:val="28322C4E"/>
    <w:rsid w:val="28975C49"/>
    <w:rsid w:val="298A1FB5"/>
    <w:rsid w:val="29B52F8B"/>
    <w:rsid w:val="2ABD2B99"/>
    <w:rsid w:val="2B752734"/>
    <w:rsid w:val="2BB403D8"/>
    <w:rsid w:val="2C4211D4"/>
    <w:rsid w:val="2C4340C7"/>
    <w:rsid w:val="2C470B0E"/>
    <w:rsid w:val="2C534F2A"/>
    <w:rsid w:val="2C5C2CA5"/>
    <w:rsid w:val="2CA33897"/>
    <w:rsid w:val="2CB45F22"/>
    <w:rsid w:val="2D116A31"/>
    <w:rsid w:val="2D5D408E"/>
    <w:rsid w:val="2DAB3C23"/>
    <w:rsid w:val="2DB066EE"/>
    <w:rsid w:val="2DBC3194"/>
    <w:rsid w:val="2DBE3860"/>
    <w:rsid w:val="2DE906BE"/>
    <w:rsid w:val="2E091BCC"/>
    <w:rsid w:val="2E0C1719"/>
    <w:rsid w:val="2E1A7AB8"/>
    <w:rsid w:val="2EE13011"/>
    <w:rsid w:val="2F210AE4"/>
    <w:rsid w:val="2F547D4E"/>
    <w:rsid w:val="2F5963F4"/>
    <w:rsid w:val="2F782A69"/>
    <w:rsid w:val="2FFC2908"/>
    <w:rsid w:val="30111686"/>
    <w:rsid w:val="30285D0D"/>
    <w:rsid w:val="30566DD1"/>
    <w:rsid w:val="306D35B0"/>
    <w:rsid w:val="30AC2DC0"/>
    <w:rsid w:val="30D13364"/>
    <w:rsid w:val="31A9034E"/>
    <w:rsid w:val="31C715FB"/>
    <w:rsid w:val="31F40AD8"/>
    <w:rsid w:val="3212521B"/>
    <w:rsid w:val="32DC2ACA"/>
    <w:rsid w:val="32EC42DC"/>
    <w:rsid w:val="3352439E"/>
    <w:rsid w:val="335F1E64"/>
    <w:rsid w:val="33860852"/>
    <w:rsid w:val="342804A8"/>
    <w:rsid w:val="343437ED"/>
    <w:rsid w:val="344F58DF"/>
    <w:rsid w:val="34625C6F"/>
    <w:rsid w:val="349873DC"/>
    <w:rsid w:val="34E13D8E"/>
    <w:rsid w:val="34E73DF6"/>
    <w:rsid w:val="34F51547"/>
    <w:rsid w:val="351D691C"/>
    <w:rsid w:val="364735A3"/>
    <w:rsid w:val="36717706"/>
    <w:rsid w:val="36DB733E"/>
    <w:rsid w:val="37BB1BD9"/>
    <w:rsid w:val="37BE2190"/>
    <w:rsid w:val="383932EA"/>
    <w:rsid w:val="38C03BB6"/>
    <w:rsid w:val="38E1196C"/>
    <w:rsid w:val="390F0C8E"/>
    <w:rsid w:val="39474760"/>
    <w:rsid w:val="39537D0B"/>
    <w:rsid w:val="39894B76"/>
    <w:rsid w:val="3A062A4C"/>
    <w:rsid w:val="3A270935"/>
    <w:rsid w:val="3AC053A4"/>
    <w:rsid w:val="3B6925CD"/>
    <w:rsid w:val="3BAC7C11"/>
    <w:rsid w:val="3BFA2CFD"/>
    <w:rsid w:val="3C3368C1"/>
    <w:rsid w:val="3C4C643B"/>
    <w:rsid w:val="3CAA346C"/>
    <w:rsid w:val="3CCE34AB"/>
    <w:rsid w:val="3D3B478E"/>
    <w:rsid w:val="3D536DB5"/>
    <w:rsid w:val="3D652D9C"/>
    <w:rsid w:val="3D770F4C"/>
    <w:rsid w:val="3D7A1E7F"/>
    <w:rsid w:val="3E122EDD"/>
    <w:rsid w:val="3E6355C6"/>
    <w:rsid w:val="3E6C1AE3"/>
    <w:rsid w:val="3E8C5C2C"/>
    <w:rsid w:val="3EBB4791"/>
    <w:rsid w:val="3ED8079B"/>
    <w:rsid w:val="3F11673B"/>
    <w:rsid w:val="3F407AB1"/>
    <w:rsid w:val="3F5A5BE9"/>
    <w:rsid w:val="3F7D64B7"/>
    <w:rsid w:val="3F9D4642"/>
    <w:rsid w:val="3F9E4184"/>
    <w:rsid w:val="409C0FBE"/>
    <w:rsid w:val="41050EE9"/>
    <w:rsid w:val="41564A6C"/>
    <w:rsid w:val="4167789D"/>
    <w:rsid w:val="41D24909"/>
    <w:rsid w:val="41F36412"/>
    <w:rsid w:val="427B7880"/>
    <w:rsid w:val="42F71540"/>
    <w:rsid w:val="4327149D"/>
    <w:rsid w:val="43961150"/>
    <w:rsid w:val="43A74405"/>
    <w:rsid w:val="44146188"/>
    <w:rsid w:val="443D5EA6"/>
    <w:rsid w:val="444B114A"/>
    <w:rsid w:val="446526B8"/>
    <w:rsid w:val="449E1D0D"/>
    <w:rsid w:val="44D4584C"/>
    <w:rsid w:val="454C2F0A"/>
    <w:rsid w:val="45CD043F"/>
    <w:rsid w:val="45DE2CF4"/>
    <w:rsid w:val="465E5670"/>
    <w:rsid w:val="46C27E73"/>
    <w:rsid w:val="475B6C93"/>
    <w:rsid w:val="475E06BC"/>
    <w:rsid w:val="47CF0EED"/>
    <w:rsid w:val="48022E71"/>
    <w:rsid w:val="48235FD0"/>
    <w:rsid w:val="484F1989"/>
    <w:rsid w:val="490808E8"/>
    <w:rsid w:val="49210894"/>
    <w:rsid w:val="495913D8"/>
    <w:rsid w:val="499D4138"/>
    <w:rsid w:val="49BC15F3"/>
    <w:rsid w:val="49D6512E"/>
    <w:rsid w:val="4A0D2198"/>
    <w:rsid w:val="4A4757E0"/>
    <w:rsid w:val="4AB43A94"/>
    <w:rsid w:val="4AEC627C"/>
    <w:rsid w:val="4B1D039C"/>
    <w:rsid w:val="4BAC4908"/>
    <w:rsid w:val="4D2E285F"/>
    <w:rsid w:val="4DA07F5B"/>
    <w:rsid w:val="4DC72F51"/>
    <w:rsid w:val="4DE96403"/>
    <w:rsid w:val="4DFC4A28"/>
    <w:rsid w:val="4E532DF4"/>
    <w:rsid w:val="4E5B51EF"/>
    <w:rsid w:val="4F081AFC"/>
    <w:rsid w:val="4FB569AA"/>
    <w:rsid w:val="503100D1"/>
    <w:rsid w:val="5115465C"/>
    <w:rsid w:val="515618C4"/>
    <w:rsid w:val="517B2FD5"/>
    <w:rsid w:val="51E9382B"/>
    <w:rsid w:val="526B6A07"/>
    <w:rsid w:val="52EB45C4"/>
    <w:rsid w:val="53B171C1"/>
    <w:rsid w:val="54132880"/>
    <w:rsid w:val="54AB4AB2"/>
    <w:rsid w:val="54CD4996"/>
    <w:rsid w:val="54F838D1"/>
    <w:rsid w:val="55196421"/>
    <w:rsid w:val="55504963"/>
    <w:rsid w:val="55C20B1A"/>
    <w:rsid w:val="55C66658"/>
    <w:rsid w:val="55D6790C"/>
    <w:rsid w:val="55E05328"/>
    <w:rsid w:val="56591C70"/>
    <w:rsid w:val="56706A5F"/>
    <w:rsid w:val="5709490B"/>
    <w:rsid w:val="57DB53D0"/>
    <w:rsid w:val="581C4103"/>
    <w:rsid w:val="58517449"/>
    <w:rsid w:val="585B234B"/>
    <w:rsid w:val="58A5365B"/>
    <w:rsid w:val="593A43BE"/>
    <w:rsid w:val="5944164E"/>
    <w:rsid w:val="59767B8F"/>
    <w:rsid w:val="597A7D31"/>
    <w:rsid w:val="59CD244E"/>
    <w:rsid w:val="59D25468"/>
    <w:rsid w:val="5B0F7772"/>
    <w:rsid w:val="5B3A5BC9"/>
    <w:rsid w:val="5B460882"/>
    <w:rsid w:val="5B6726B5"/>
    <w:rsid w:val="5BD165B5"/>
    <w:rsid w:val="5BD94721"/>
    <w:rsid w:val="5C8B1774"/>
    <w:rsid w:val="5D3914A6"/>
    <w:rsid w:val="5D6A3A1D"/>
    <w:rsid w:val="5E9919FC"/>
    <w:rsid w:val="5EB1378D"/>
    <w:rsid w:val="5ED86767"/>
    <w:rsid w:val="5F435E26"/>
    <w:rsid w:val="5FB43E7E"/>
    <w:rsid w:val="5FDD6614"/>
    <w:rsid w:val="5FE175D9"/>
    <w:rsid w:val="602D3891"/>
    <w:rsid w:val="607F537B"/>
    <w:rsid w:val="609D030C"/>
    <w:rsid w:val="60B92518"/>
    <w:rsid w:val="60ED5785"/>
    <w:rsid w:val="6140448D"/>
    <w:rsid w:val="615C160D"/>
    <w:rsid w:val="61677FB2"/>
    <w:rsid w:val="618347D1"/>
    <w:rsid w:val="61A8581D"/>
    <w:rsid w:val="61ED42D4"/>
    <w:rsid w:val="62077DBB"/>
    <w:rsid w:val="6220088D"/>
    <w:rsid w:val="624F4842"/>
    <w:rsid w:val="626A14AF"/>
    <w:rsid w:val="62BC5A7F"/>
    <w:rsid w:val="634A34D4"/>
    <w:rsid w:val="634D7671"/>
    <w:rsid w:val="63611DC3"/>
    <w:rsid w:val="63B0621A"/>
    <w:rsid w:val="640D403A"/>
    <w:rsid w:val="644F274A"/>
    <w:rsid w:val="64C83482"/>
    <w:rsid w:val="64FD7424"/>
    <w:rsid w:val="65214E3D"/>
    <w:rsid w:val="652329F8"/>
    <w:rsid w:val="65345925"/>
    <w:rsid w:val="65A90B99"/>
    <w:rsid w:val="65B63B4F"/>
    <w:rsid w:val="673E607A"/>
    <w:rsid w:val="674E29E4"/>
    <w:rsid w:val="67533BCF"/>
    <w:rsid w:val="684E2722"/>
    <w:rsid w:val="68661500"/>
    <w:rsid w:val="68A36F19"/>
    <w:rsid w:val="693B41FE"/>
    <w:rsid w:val="6957135B"/>
    <w:rsid w:val="69977314"/>
    <w:rsid w:val="6A2042B7"/>
    <w:rsid w:val="6A350C4E"/>
    <w:rsid w:val="6B447C40"/>
    <w:rsid w:val="6BD25396"/>
    <w:rsid w:val="6CA01ED6"/>
    <w:rsid w:val="6CFA41E8"/>
    <w:rsid w:val="6D286C17"/>
    <w:rsid w:val="6D3C5BA1"/>
    <w:rsid w:val="6EFF7E76"/>
    <w:rsid w:val="6F271B9B"/>
    <w:rsid w:val="6F354C5F"/>
    <w:rsid w:val="6F5D0F98"/>
    <w:rsid w:val="6F9C47AD"/>
    <w:rsid w:val="6FA04C9E"/>
    <w:rsid w:val="6FBD486A"/>
    <w:rsid w:val="6FE248AA"/>
    <w:rsid w:val="6FE31ED6"/>
    <w:rsid w:val="700D48BF"/>
    <w:rsid w:val="70272AA6"/>
    <w:rsid w:val="70CC796A"/>
    <w:rsid w:val="70F468E8"/>
    <w:rsid w:val="70F87B70"/>
    <w:rsid w:val="715714F8"/>
    <w:rsid w:val="7161057A"/>
    <w:rsid w:val="716968E1"/>
    <w:rsid w:val="71962ED4"/>
    <w:rsid w:val="72BD591F"/>
    <w:rsid w:val="72E92CF2"/>
    <w:rsid w:val="731A6782"/>
    <w:rsid w:val="73C92512"/>
    <w:rsid w:val="741D6174"/>
    <w:rsid w:val="744027B3"/>
    <w:rsid w:val="7442550E"/>
    <w:rsid w:val="747277FC"/>
    <w:rsid w:val="74747B70"/>
    <w:rsid w:val="749A208D"/>
    <w:rsid w:val="74F040EF"/>
    <w:rsid w:val="74FE2899"/>
    <w:rsid w:val="75E0628D"/>
    <w:rsid w:val="763832A2"/>
    <w:rsid w:val="76BA4139"/>
    <w:rsid w:val="76C217B7"/>
    <w:rsid w:val="7749798E"/>
    <w:rsid w:val="77976AA4"/>
    <w:rsid w:val="77AA5218"/>
    <w:rsid w:val="781758F0"/>
    <w:rsid w:val="799B56FA"/>
    <w:rsid w:val="79FE0873"/>
    <w:rsid w:val="7A311110"/>
    <w:rsid w:val="7AE857D5"/>
    <w:rsid w:val="7B3A76F4"/>
    <w:rsid w:val="7BD32074"/>
    <w:rsid w:val="7BDE76B8"/>
    <w:rsid w:val="7CD75795"/>
    <w:rsid w:val="7CF819F5"/>
    <w:rsid w:val="7D412AF2"/>
    <w:rsid w:val="7EF931C4"/>
    <w:rsid w:val="7EFF3A19"/>
    <w:rsid w:val="7F1735AA"/>
    <w:rsid w:val="7F4B350F"/>
    <w:rsid w:val="7F72529B"/>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ind w:firstLine="420" w:firstLineChars="200"/>
    </w:pPr>
    <w:rPr>
      <w:szCs w:val="24"/>
    </w:rPr>
  </w:style>
  <w:style w:type="paragraph" w:customStyle="1" w:styleId="3">
    <w:name w:val="样式 正文文本 + 首行缩进:  2 字符"/>
    <w:basedOn w:val="4"/>
    <w:next w:val="1"/>
    <w:autoRedefine/>
    <w:qFormat/>
    <w:uiPriority w:val="99"/>
    <w:pPr>
      <w:spacing w:after="200" w:line="480" w:lineRule="exact"/>
      <w:ind w:firstLine="480" w:firstLineChars="200"/>
    </w:pPr>
    <w:rPr>
      <w:rFonts w:ascii="宋体" w:hAnsi="宋体" w:eastAsia="宋体" w:cs="Times New Roman"/>
      <w:sz w:val="24"/>
      <w:lang w:val="en-US" w:bidi="ar-SA"/>
    </w:rPr>
  </w:style>
  <w:style w:type="paragraph" w:styleId="4">
    <w:name w:val="Body Text"/>
    <w:basedOn w:val="1"/>
    <w:next w:val="5"/>
    <w:qFormat/>
    <w:uiPriority w:val="1"/>
    <w:pPr>
      <w:ind w:left="120"/>
    </w:pPr>
    <w:rPr>
      <w:sz w:val="28"/>
      <w:szCs w:val="28"/>
    </w:rPr>
  </w:style>
  <w:style w:type="paragraph" w:customStyle="1" w:styleId="5">
    <w:name w:val="style4"/>
    <w:basedOn w:val="1"/>
    <w:next w:val="6"/>
    <w:autoRedefine/>
    <w:qFormat/>
    <w:uiPriority w:val="0"/>
    <w:pPr>
      <w:widowControl/>
      <w:spacing w:before="280" w:after="280"/>
    </w:pPr>
    <w:rPr>
      <w:rFonts w:ascii="宋体"/>
      <w:sz w:val="18"/>
    </w:rPr>
  </w:style>
  <w:style w:type="paragraph" w:customStyle="1" w:styleId="6">
    <w:name w:val="2"/>
    <w:basedOn w:val="1"/>
    <w:next w:val="1"/>
    <w:autoRedefine/>
    <w:qFormat/>
    <w:uiPriority w:val="0"/>
    <w:pPr>
      <w:spacing w:line="480" w:lineRule="exact"/>
    </w:pPr>
    <w:rPr>
      <w:rFonts w:ascii="_x000B__x000C_" w:hAnsi="_x000B__x000C_"/>
      <w:b/>
      <w:bCs/>
      <w:sz w:val="24"/>
    </w:rPr>
  </w:style>
  <w:style w:type="paragraph" w:styleId="7">
    <w:name w:val="List Bullet 5"/>
    <w:basedOn w:val="1"/>
    <w:autoRedefine/>
    <w:qFormat/>
    <w:uiPriority w:val="0"/>
    <w:pPr>
      <w:numPr>
        <w:ilvl w:val="0"/>
        <w:numId w:val="1"/>
      </w:numPr>
    </w:pPr>
  </w:style>
  <w:style w:type="paragraph" w:styleId="8">
    <w:name w:val="footer"/>
    <w:basedOn w:val="1"/>
    <w:link w:val="20"/>
    <w:autoRedefine/>
    <w:qFormat/>
    <w:uiPriority w:val="0"/>
    <w:pPr>
      <w:tabs>
        <w:tab w:val="center" w:pos="4153"/>
        <w:tab w:val="right" w:pos="8306"/>
      </w:tabs>
      <w:snapToGrid w:val="0"/>
    </w:pPr>
    <w:rPr>
      <w:sz w:val="18"/>
      <w:szCs w:val="18"/>
    </w:rPr>
  </w:style>
  <w:style w:type="paragraph" w:styleId="9">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next w:val="14"/>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
    <w:name w:val="Char Char Char Char Char Char Char Char Char Char Char Char Char"/>
    <w:basedOn w:val="1"/>
    <w:next w:val="15"/>
    <w:autoRedefine/>
    <w:qFormat/>
    <w:uiPriority w:val="0"/>
  </w:style>
  <w:style w:type="paragraph" w:customStyle="1" w:styleId="15">
    <w:name w:val="point101"/>
    <w:basedOn w:val="1"/>
    <w:next w:val="1"/>
    <w:autoRedefine/>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6">
    <w:name w:val="Table Normal"/>
    <w:autoRedefine/>
    <w:semiHidden/>
    <w:unhideWhenUsed/>
    <w:qFormat/>
    <w:uiPriority w:val="2"/>
    <w:tblPr>
      <w:tblCellMar>
        <w:top w:w="0" w:type="dxa"/>
        <w:left w:w="0" w:type="dxa"/>
        <w:bottom w:w="0" w:type="dxa"/>
        <w:right w:w="0" w:type="dxa"/>
      </w:tblCellMar>
    </w:tblPr>
  </w:style>
  <w:style w:type="paragraph" w:styleId="17">
    <w:name w:val="List Paragraph"/>
    <w:basedOn w:val="1"/>
    <w:autoRedefine/>
    <w:qFormat/>
    <w:uiPriority w:val="1"/>
  </w:style>
  <w:style w:type="paragraph" w:customStyle="1" w:styleId="18">
    <w:name w:val="Table Paragraph"/>
    <w:basedOn w:val="1"/>
    <w:autoRedefine/>
    <w:qFormat/>
    <w:uiPriority w:val="1"/>
  </w:style>
  <w:style w:type="character" w:customStyle="1" w:styleId="19">
    <w:name w:val="页眉 Char"/>
    <w:basedOn w:val="12"/>
    <w:link w:val="9"/>
    <w:autoRedefine/>
    <w:qFormat/>
    <w:uiPriority w:val="0"/>
    <w:rPr>
      <w:rFonts w:ascii="仿宋" w:hAnsi="仿宋" w:eastAsia="仿宋" w:cs="仿宋"/>
      <w:sz w:val="18"/>
      <w:szCs w:val="18"/>
      <w:lang w:val="zh-CN" w:bidi="zh-CN"/>
    </w:rPr>
  </w:style>
  <w:style w:type="character" w:customStyle="1" w:styleId="20">
    <w:name w:val="页脚 Char"/>
    <w:basedOn w:val="12"/>
    <w:link w:val="8"/>
    <w:autoRedefine/>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2363</Words>
  <Characters>2586</Characters>
  <Lines>16</Lines>
  <Paragraphs>4</Paragraphs>
  <TotalTime>47</TotalTime>
  <ScaleCrop>false</ScaleCrop>
  <LinksUpToDate>false</LinksUpToDate>
  <CharactersWithSpaces>2595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NTKO</cp:lastModifiedBy>
  <cp:lastPrinted>2024-12-10T01:49:00Z</cp:lastPrinted>
  <dcterms:modified xsi:type="dcterms:W3CDTF">2025-03-25T03:07:28Z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2052-12.1.0.20305</vt:lpwstr>
  </property>
  <property fmtid="{D5CDD505-2E9C-101B-9397-08002B2CF9AE}" pid="6" name="ICV">
    <vt:lpwstr>E19FA3C18A2B4425852C8B3DF348CBE7</vt:lpwstr>
  </property>
  <property fmtid="{D5CDD505-2E9C-101B-9397-08002B2CF9AE}" pid="7" name="KSOTemplateDocerSaveRecord">
    <vt:lpwstr>eyJoZGlkIjoiOGIyNzVhMmUyZDhiOWVhMzk2NGNlZjI2OTYwYTZlNjMifQ==</vt:lpwstr>
  </property>
</Properties>
</file>