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区财税部门</w:t>
      </w:r>
    </w:p>
    <w:p>
      <w:pPr>
        <w:pStyle w:val="2"/>
        <w:bidi w:val="0"/>
        <w:rPr>
          <w:rFonts w:hint="default"/>
          <w:lang w:val="en-US" w:eastAsia="zh-CN"/>
        </w:rPr>
      </w:pPr>
      <w:r>
        <w:rPr>
          <w:rFonts w:hint="eastAsia"/>
          <w:lang w:val="en-US" w:eastAsia="zh-CN"/>
        </w:rPr>
        <w:t>加强沟通协作</w:t>
      </w:r>
      <w:r>
        <w:rPr>
          <w:rFonts w:hint="default"/>
          <w:lang w:val="en-US" w:eastAsia="zh-CN"/>
        </w:rPr>
        <w:t xml:space="preserve">  </w:t>
      </w:r>
      <w:r>
        <w:rPr>
          <w:rFonts w:hint="eastAsia"/>
          <w:lang w:val="en-US" w:eastAsia="zh-CN"/>
        </w:rPr>
        <w:t>做强财税支撑</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textAlignment w:val="auto"/>
        <w:rPr>
          <w:rFonts w:hint="eastAsia" w:ascii="仿宋_GB2312" w:hAnsi="仿宋_GB2312" w:eastAsia="仿宋_GB2312" w:cs="仿宋_GB2312"/>
          <w:sz w:val="32"/>
          <w:szCs w:val="32"/>
          <w:lang w:val="en-US" w:eastAsia="zh-CN"/>
        </w:rPr>
      </w:pPr>
    </w:p>
    <w:p>
      <w:pPr>
        <w:bidi w:val="0"/>
        <w:rPr>
          <w:rFonts w:hint="eastAsia"/>
          <w:lang w:val="en-US" w:eastAsia="zh-CN"/>
        </w:rPr>
      </w:pPr>
      <w:r>
        <w:rPr>
          <w:rFonts w:hint="eastAsia"/>
          <w:lang w:val="en-US" w:eastAsia="zh-CN"/>
        </w:rPr>
        <w:t>为准确把握当前经济形势，落实财税业务沟通协作机制，提高组织收入工作的主动性、协同性、实效性，近</w:t>
      </w:r>
      <w:bookmarkStart w:id="0" w:name="_GoBack"/>
      <w:bookmarkEnd w:id="0"/>
      <w:r>
        <w:rPr>
          <w:rFonts w:hint="eastAsia"/>
          <w:lang w:val="en-US" w:eastAsia="zh-CN"/>
        </w:rPr>
        <w:t>日，区财政局会同区税务局召开</w:t>
      </w:r>
      <w:r>
        <w:rPr>
          <w:rFonts w:hint="default"/>
          <w:lang w:val="en-US" w:eastAsia="zh-CN"/>
        </w:rPr>
        <w:t>2023</w:t>
      </w:r>
      <w:r>
        <w:rPr>
          <w:rFonts w:hint="eastAsia"/>
          <w:lang w:val="en-US" w:eastAsia="zh-CN"/>
        </w:rPr>
        <w:t>年第二次财税工作联席会议，双方积极发言、深入探讨，为助力全区经济企稳向好、挖潜增收献计献策。</w:t>
      </w:r>
    </w:p>
    <w:p>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4638040" cy="3150235"/>
            <wp:effectExtent l="0" t="0" r="10160" b="12065"/>
            <wp:docPr id="3" name="图片 3" descr="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6.7"/>
                    <pic:cNvPicPr>
                      <a:picLocks noChangeAspect="1"/>
                    </pic:cNvPicPr>
                  </pic:nvPicPr>
                  <pic:blipFill>
                    <a:blip r:embed="rId6"/>
                    <a:stretch>
                      <a:fillRect/>
                    </a:stretch>
                  </pic:blipFill>
                  <pic:spPr>
                    <a:xfrm>
                      <a:off x="0" y="0"/>
                      <a:ext cx="4638040" cy="3150235"/>
                    </a:xfrm>
                    <a:prstGeom prst="rect">
                      <a:avLst/>
                    </a:prstGeom>
                  </pic:spPr>
                </pic:pic>
              </a:graphicData>
            </a:graphic>
          </wp:inline>
        </w:drawing>
      </w:r>
    </w:p>
    <w:p>
      <w:pPr>
        <w:bidi w:val="0"/>
        <w:rPr>
          <w:rFonts w:hint="eastAsia"/>
          <w:lang w:val="en-US" w:eastAsia="zh-CN"/>
        </w:rPr>
      </w:pPr>
      <w:r>
        <w:rPr>
          <w:rFonts w:hint="eastAsia"/>
          <w:lang w:val="en-US" w:eastAsia="zh-CN"/>
        </w:rPr>
        <w:t>会前，区财政局拟定会议时间、参会人员、会议议题和会议议程，提前发函征询区税务局意见，力争联席会议有的放矢、开出质量、取得实效。会上，双方围绕全区税收增减情况、二季度税收预测情况和税费优惠政策落实情况等进行了深入探讨并交换意见。就聚合力、助发展、增收入达成三方面共识。</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textAlignment w:val="auto"/>
        <w:rPr>
          <w:rFonts w:hint="eastAsia"/>
          <w:lang w:val="en-US" w:eastAsia="zh-CN"/>
        </w:rPr>
      </w:pPr>
      <w:r>
        <w:rPr>
          <w:rFonts w:hint="default"/>
          <w:lang w:val="en-US" w:eastAsia="zh-CN"/>
        </w:rPr>
        <w:t xml:space="preserve">  </w:t>
      </w:r>
      <w:r>
        <w:rPr>
          <w:rFonts w:hint="eastAsia"/>
          <w:lang w:val="en-US" w:eastAsia="zh-CN"/>
        </w:rPr>
        <w:drawing>
          <wp:inline distT="0" distB="0" distL="114300" distR="114300">
            <wp:extent cx="4850130" cy="3319145"/>
            <wp:effectExtent l="0" t="0" r="7620" b="14605"/>
            <wp:docPr id="4" name="图片 4" descr="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6.3"/>
                    <pic:cNvPicPr>
                      <a:picLocks noChangeAspect="1"/>
                    </pic:cNvPicPr>
                  </pic:nvPicPr>
                  <pic:blipFill>
                    <a:blip r:embed="rId7"/>
                    <a:stretch>
                      <a:fillRect/>
                    </a:stretch>
                  </pic:blipFill>
                  <pic:spPr>
                    <a:xfrm>
                      <a:off x="0" y="0"/>
                      <a:ext cx="4850130" cy="3319145"/>
                    </a:xfrm>
                    <a:prstGeom prst="rect">
                      <a:avLst/>
                    </a:prstGeom>
                  </pic:spPr>
                </pic:pic>
              </a:graphicData>
            </a:graphic>
          </wp:inline>
        </w:drawing>
      </w:r>
    </w:p>
    <w:p>
      <w:pPr>
        <w:bidi w:val="0"/>
        <w:rPr>
          <w:rFonts w:hint="eastAsia"/>
          <w:lang w:val="en-US" w:eastAsia="zh-CN"/>
        </w:rPr>
      </w:pPr>
      <w:r>
        <w:rPr>
          <w:rStyle w:val="6"/>
          <w:rFonts w:hint="eastAsia"/>
          <w:lang w:val="en-US" w:eastAsia="zh-CN"/>
        </w:rPr>
        <w:t>一是超前测算分析，提供决策依据。</w:t>
      </w:r>
      <w:r>
        <w:rPr>
          <w:rFonts w:hint="eastAsia"/>
          <w:lang w:val="en-US" w:eastAsia="zh-CN"/>
        </w:rPr>
        <w:t>科学统筹、超前谋划下一阶段工作，加强财税收入预测与分析，综合经济形势、政策影响、税收征管等因素，从乡镇、行业、税种等不同维度对下半年税源状况进行分析研判，做到底数清、预测准、分析透。为补齐工作短板、加大征管力度、提高征管质效提供决策参考。</w:t>
      </w:r>
    </w:p>
    <w:p>
      <w:pPr>
        <w:bidi w:val="0"/>
        <w:rPr>
          <w:rFonts w:hint="eastAsia"/>
          <w:lang w:val="en-US" w:eastAsia="zh-CN"/>
        </w:rPr>
      </w:pPr>
      <w:r>
        <w:rPr>
          <w:rStyle w:val="6"/>
          <w:rFonts w:hint="eastAsia"/>
          <w:lang w:val="en-US" w:eastAsia="zh-CN"/>
        </w:rPr>
        <w:t>二是突出监控重点，加强税源管理。</w:t>
      </w:r>
      <w:r>
        <w:rPr>
          <w:rFonts w:hint="eastAsia"/>
          <w:lang w:val="en-US" w:eastAsia="zh-CN"/>
        </w:rPr>
        <w:t>加强对重点项目的动态监控，紧盯投资开工、项目投产情况。加大对重点税源企业的调研走访力度，动态掌握重点税源企业纳税情况，把握收入增减变动趋势，提升对重点税源企业的管控力。</w:t>
      </w:r>
    </w:p>
    <w:p>
      <w:pPr>
        <w:bidi w:val="0"/>
        <w:rPr>
          <w:rFonts w:hint="default"/>
          <w:lang w:val="en-US" w:eastAsia="zh-CN"/>
        </w:rPr>
      </w:pPr>
      <w:r>
        <w:rPr>
          <w:rStyle w:val="6"/>
          <w:rFonts w:hint="eastAsia"/>
          <w:lang w:val="en-US" w:eastAsia="zh-CN"/>
        </w:rPr>
        <w:t>三是强化部门协同，做强财税支撑。</w:t>
      </w:r>
      <w:r>
        <w:rPr>
          <w:rFonts w:hint="eastAsia"/>
          <w:lang w:val="en-US" w:eastAsia="zh-CN"/>
        </w:rPr>
        <w:t>加强信息传递共享和部门协作协同，高效落实《财税业务沟通协作机制》和《划转税务征收非税收入沟通协作机制》，打好财税组合拳，严格落实税费优惠政策，涵养财源增后劲，依法治税管费，挖潜增收壮实力，为全区经济社会平稳健康发展提供坚实财税支撑。</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0F8F"/>
    <w:rsid w:val="01BD05DC"/>
    <w:rsid w:val="0458752F"/>
    <w:rsid w:val="060D18F3"/>
    <w:rsid w:val="09835E2F"/>
    <w:rsid w:val="0A7C6203"/>
    <w:rsid w:val="0DF64A7F"/>
    <w:rsid w:val="0E9B1E04"/>
    <w:rsid w:val="0F4A31F8"/>
    <w:rsid w:val="13F033D7"/>
    <w:rsid w:val="159969A5"/>
    <w:rsid w:val="164F5F9D"/>
    <w:rsid w:val="16BC2072"/>
    <w:rsid w:val="178E7820"/>
    <w:rsid w:val="187574D2"/>
    <w:rsid w:val="1A21222F"/>
    <w:rsid w:val="1C005E97"/>
    <w:rsid w:val="1D5F74C7"/>
    <w:rsid w:val="1DA26284"/>
    <w:rsid w:val="1DFC6D76"/>
    <w:rsid w:val="1F187545"/>
    <w:rsid w:val="21B41DD4"/>
    <w:rsid w:val="246164CA"/>
    <w:rsid w:val="26D7755D"/>
    <w:rsid w:val="2EE4207D"/>
    <w:rsid w:val="2F5C4F80"/>
    <w:rsid w:val="303510D5"/>
    <w:rsid w:val="31BD20BC"/>
    <w:rsid w:val="33FC3FD4"/>
    <w:rsid w:val="36B16E3F"/>
    <w:rsid w:val="37525864"/>
    <w:rsid w:val="37B75CAB"/>
    <w:rsid w:val="38032BE6"/>
    <w:rsid w:val="3B103A88"/>
    <w:rsid w:val="3CE5716A"/>
    <w:rsid w:val="40A12120"/>
    <w:rsid w:val="41525B38"/>
    <w:rsid w:val="41FD7666"/>
    <w:rsid w:val="425C5D64"/>
    <w:rsid w:val="458E53E0"/>
    <w:rsid w:val="47BA35E5"/>
    <w:rsid w:val="47C7613E"/>
    <w:rsid w:val="48A1659C"/>
    <w:rsid w:val="4B834725"/>
    <w:rsid w:val="4B971D44"/>
    <w:rsid w:val="4DAA56EA"/>
    <w:rsid w:val="4ED97483"/>
    <w:rsid w:val="4FB211A8"/>
    <w:rsid w:val="52091E4A"/>
    <w:rsid w:val="53250334"/>
    <w:rsid w:val="54110458"/>
    <w:rsid w:val="55380A98"/>
    <w:rsid w:val="563B565C"/>
    <w:rsid w:val="5A0B58B9"/>
    <w:rsid w:val="5E893B17"/>
    <w:rsid w:val="5ED81BCB"/>
    <w:rsid w:val="650665A5"/>
    <w:rsid w:val="67216D7D"/>
    <w:rsid w:val="6AAE425B"/>
    <w:rsid w:val="6BA90F18"/>
    <w:rsid w:val="6CF51426"/>
    <w:rsid w:val="6D510FDD"/>
    <w:rsid w:val="6E701E8C"/>
    <w:rsid w:val="73C50B34"/>
    <w:rsid w:val="74C71C00"/>
    <w:rsid w:val="754C7196"/>
    <w:rsid w:val="76CB7D9C"/>
    <w:rsid w:val="77B6005F"/>
    <w:rsid w:val="79585500"/>
    <w:rsid w:val="7ADF4E9F"/>
    <w:rsid w:val="7B546BA1"/>
    <w:rsid w:val="7D9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0" w:lineRule="exact"/>
      <w:ind w:firstLine="883" w:firstLineChars="20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adjustRightInd w:val="0"/>
      <w:snapToGrid w:val="0"/>
      <w:spacing w:beforeAutospacing="0" w:afterAutospacing="0" w:line="580" w:lineRule="exact"/>
      <w:ind w:firstLine="0" w:firstLineChars="0"/>
      <w:jc w:val="center"/>
      <w:outlineLvl w:val="0"/>
    </w:pPr>
    <w:rPr>
      <w:rFonts w:eastAsia="方正小标宋简体" w:asciiTheme="minorAscii" w:hAnsiTheme="minorAscii"/>
      <w:b/>
      <w:kern w:val="44"/>
      <w:sz w:val="44"/>
      <w:szCs w:val="48"/>
    </w:rPr>
  </w:style>
  <w:style w:type="paragraph" w:styleId="3">
    <w:name w:val="heading 2"/>
    <w:next w:val="1"/>
    <w:link w:val="6"/>
    <w:unhideWhenUsed/>
    <w:qFormat/>
    <w:uiPriority w:val="9"/>
    <w:pPr>
      <w:keepNext/>
      <w:keepLines/>
      <w:widowControl w:val="0"/>
      <w:adjustRightInd w:val="0"/>
      <w:snapToGrid w:val="0"/>
      <w:spacing w:line="580" w:lineRule="exact"/>
      <w:ind w:left="0" w:firstLine="883" w:firstLineChars="200"/>
      <w:jc w:val="both"/>
      <w:outlineLvl w:val="1"/>
    </w:pPr>
    <w:rPr>
      <w:rFonts w:ascii="Cambria" w:hAnsi="Cambria" w:eastAsia="方正黑体_GBK" w:cs="Times New Roman"/>
      <w:b/>
      <w:bCs/>
      <w:kern w:val="0"/>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9"/>
    <w:rPr>
      <w:rFonts w:ascii="Cambria" w:hAnsi="Cambria" w:eastAsia="方正黑体_GBK" w:cs="Times New Roman"/>
      <w:b/>
      <w:bCs/>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Words>
  <Characters>981</Characters>
  <Lines>0</Lines>
  <Paragraphs>0</Paragraphs>
  <TotalTime>400</TotalTime>
  <ScaleCrop>false</ScaleCrop>
  <LinksUpToDate>false</LinksUpToDate>
  <CharactersWithSpaces>986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2023-05-23T06:42:00Z</dcterms:created>
  <dc:creator>lenovo</dc:creator>
  <cp:lastModifiedBy>user</cp:lastModifiedBy>
  <cp:lastPrinted>2023-05-31T03:43:00Z</cp:lastPrinted>
  <dcterms:modified xsi:type="dcterms:W3CDTF">2023-05-31T06:55:40Z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8DD3F55405574C9D80483E4D3F40A404</vt:lpwstr>
  </property>
</Properties>
</file>