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ascii="Times New Roman"/>
          <w:color w:val="auto"/>
          <w:sz w:val="20"/>
        </w:rPr>
      </w:pPr>
    </w:p>
    <w:p>
      <w:pPr>
        <w:pStyle w:val="3"/>
        <w:ind w:left="0"/>
        <w:rPr>
          <w:rFonts w:ascii="Times New Roman"/>
          <w:color w:val="auto"/>
          <w:sz w:val="20"/>
        </w:rPr>
      </w:pPr>
    </w:p>
    <w:p>
      <w:pPr>
        <w:pStyle w:val="3"/>
        <w:ind w:left="0"/>
        <w:rPr>
          <w:rFonts w:ascii="Times New Roman"/>
          <w:color w:val="auto"/>
          <w:sz w:val="20"/>
        </w:rPr>
      </w:pPr>
    </w:p>
    <w:p>
      <w:pPr>
        <w:pStyle w:val="3"/>
        <w:ind w:left="0"/>
        <w:rPr>
          <w:rFonts w:ascii="Times New Roman"/>
          <w:color w:val="auto"/>
          <w:sz w:val="20"/>
        </w:rPr>
      </w:pPr>
    </w:p>
    <w:p>
      <w:pPr>
        <w:pStyle w:val="3"/>
        <w:ind w:left="0"/>
        <w:rPr>
          <w:rFonts w:ascii="Times New Roman"/>
          <w:color w:val="auto"/>
          <w:sz w:val="20"/>
        </w:rPr>
      </w:pPr>
    </w:p>
    <w:p>
      <w:pPr>
        <w:pStyle w:val="3"/>
        <w:ind w:left="0"/>
        <w:rPr>
          <w:rFonts w:ascii="Times New Roman"/>
          <w:color w:val="auto"/>
          <w:sz w:val="20"/>
        </w:rPr>
      </w:pPr>
    </w:p>
    <w:p>
      <w:pPr>
        <w:pStyle w:val="3"/>
        <w:ind w:left="0"/>
        <w:rPr>
          <w:rFonts w:ascii="Times New Roman"/>
          <w:color w:val="auto"/>
          <w:sz w:val="20"/>
        </w:rPr>
      </w:pPr>
    </w:p>
    <w:p>
      <w:pPr>
        <w:pStyle w:val="3"/>
        <w:ind w:left="0"/>
        <w:rPr>
          <w:rFonts w:ascii="Times New Roman"/>
          <w:color w:val="auto"/>
          <w:sz w:val="20"/>
        </w:rPr>
      </w:pPr>
    </w:p>
    <w:p>
      <w:pPr>
        <w:pStyle w:val="3"/>
        <w:ind w:left="0"/>
        <w:rPr>
          <w:rFonts w:ascii="Times New Roman"/>
          <w:color w:val="auto"/>
          <w:sz w:val="20"/>
        </w:rPr>
      </w:pPr>
    </w:p>
    <w:p>
      <w:pPr>
        <w:pStyle w:val="3"/>
        <w:ind w:left="0"/>
        <w:rPr>
          <w:rFonts w:ascii="Times New Roman"/>
          <w:color w:val="auto"/>
          <w:sz w:val="20"/>
        </w:rPr>
      </w:pPr>
    </w:p>
    <w:p>
      <w:pPr>
        <w:pStyle w:val="3"/>
        <w:ind w:left="0"/>
        <w:rPr>
          <w:rFonts w:ascii="Times New Roman"/>
          <w:color w:val="auto"/>
          <w:sz w:val="20"/>
        </w:rPr>
      </w:pPr>
    </w:p>
    <w:p>
      <w:pPr>
        <w:pStyle w:val="3"/>
        <w:ind w:left="0"/>
        <w:rPr>
          <w:rFonts w:ascii="Times New Roman"/>
          <w:color w:val="auto"/>
          <w:sz w:val="20"/>
        </w:rPr>
      </w:pPr>
    </w:p>
    <w:p>
      <w:pPr>
        <w:pStyle w:val="3"/>
        <w:ind w:left="0"/>
        <w:rPr>
          <w:rFonts w:ascii="Times New Roman"/>
          <w:color w:val="auto"/>
          <w:sz w:val="20"/>
        </w:rPr>
      </w:pPr>
    </w:p>
    <w:p>
      <w:pPr>
        <w:pStyle w:val="3"/>
        <w:ind w:left="0"/>
        <w:rPr>
          <w:rFonts w:ascii="Times New Roman"/>
          <w:color w:val="auto"/>
          <w:sz w:val="20"/>
        </w:rPr>
      </w:pPr>
    </w:p>
    <w:p>
      <w:pPr>
        <w:pStyle w:val="3"/>
        <w:ind w:left="0"/>
        <w:rPr>
          <w:rFonts w:ascii="Times New Roman"/>
          <w:color w:val="auto"/>
          <w:sz w:val="20"/>
        </w:rPr>
      </w:pPr>
    </w:p>
    <w:p>
      <w:pPr>
        <w:spacing w:before="55"/>
        <w:ind w:left="311" w:right="451"/>
        <w:jc w:val="center"/>
        <w:rPr>
          <w:color w:val="auto"/>
          <w:sz w:val="32"/>
        </w:rPr>
      </w:pPr>
      <w:bookmarkStart w:id="1" w:name="_GoBack"/>
      <w:r>
        <w:rPr>
          <w:color w:val="auto"/>
          <w:sz w:val="32"/>
        </w:rPr>
        <w:t>徐审环表字〔20</w:t>
      </w:r>
      <w:r>
        <w:rPr>
          <w:rFonts w:hint="eastAsia"/>
          <w:color w:val="auto"/>
          <w:sz w:val="32"/>
          <w:lang w:val="en-US" w:eastAsia="zh-CN"/>
        </w:rPr>
        <w:t>23</w:t>
      </w:r>
      <w:r>
        <w:rPr>
          <w:color w:val="auto"/>
          <w:sz w:val="32"/>
        </w:rPr>
        <w:t>〕</w:t>
      </w:r>
      <w:r>
        <w:rPr>
          <w:rFonts w:hint="eastAsia"/>
          <w:color w:val="auto"/>
          <w:sz w:val="32"/>
          <w:lang w:val="en-US" w:eastAsia="zh-CN"/>
        </w:rPr>
        <w:t>8</w:t>
      </w:r>
      <w:r>
        <w:rPr>
          <w:color w:val="auto"/>
          <w:sz w:val="32"/>
        </w:rPr>
        <w:t xml:space="preserve"> 号</w:t>
      </w:r>
    </w:p>
    <w:bookmarkEnd w:id="1"/>
    <w:p>
      <w:pPr>
        <w:pStyle w:val="3"/>
        <w:ind w:left="0"/>
        <w:rPr>
          <w:color w:val="auto"/>
          <w:sz w:val="32"/>
        </w:rPr>
      </w:pPr>
    </w:p>
    <w:p>
      <w:pPr>
        <w:pStyle w:val="3"/>
        <w:spacing w:before="3"/>
        <w:ind w:left="0"/>
        <w:rPr>
          <w:color w:val="auto"/>
          <w:sz w:val="32"/>
          <w:szCs w:val="40"/>
        </w:rPr>
      </w:pP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bookmarkStart w:id="0" w:name="保定市徐水区行政审批局"/>
      <w:bookmarkEnd w:id="0"/>
      <w:r>
        <w:rPr>
          <w:rFonts w:hint="eastAsia" w:ascii="方正小标宋简体" w:hAnsi="宋体" w:eastAsia="方正小标宋简体" w:cs="Times New Roman"/>
          <w:bCs/>
          <w:color w:val="auto"/>
          <w:kern w:val="2"/>
          <w:sz w:val="44"/>
          <w:szCs w:val="44"/>
          <w:lang w:val="en-US" w:eastAsia="zh-CN" w:bidi="ar-SA"/>
        </w:rPr>
        <w:t>保定市徐水区行政审批局</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 xml:space="preserve"> 关于保定市拓宽包装装璜材料有限公司技改项目环境影响报告表的批复</w:t>
      </w:r>
    </w:p>
    <w:p>
      <w:pPr>
        <w:autoSpaceDE/>
        <w:autoSpaceDN/>
        <w:snapToGrid w:val="0"/>
        <w:spacing w:line="660" w:lineRule="exact"/>
        <w:jc w:val="both"/>
        <w:outlineLvl w:val="0"/>
        <w:rPr>
          <w:color w:val="auto"/>
        </w:rPr>
      </w:pPr>
    </w:p>
    <w:p>
      <w:pPr>
        <w:pStyle w:val="3"/>
        <w:keepNext w:val="0"/>
        <w:keepLines w:val="0"/>
        <w:pageBreakBefore w:val="0"/>
        <w:widowControl w:val="0"/>
        <w:kinsoku/>
        <w:wordWrap/>
        <w:overflowPunct/>
        <w:topLinePunct w:val="0"/>
        <w:autoSpaceDE w:val="0"/>
        <w:autoSpaceDN w:val="0"/>
        <w:bidi w:val="0"/>
        <w:adjustRightInd/>
        <w:snapToGrid/>
        <w:spacing w:before="40" w:line="560" w:lineRule="exact"/>
        <w:ind w:right="115"/>
        <w:textAlignment w:val="auto"/>
        <w:outlineLvl w:val="9"/>
        <w:rPr>
          <w:color w:val="auto"/>
          <w:sz w:val="32"/>
          <w:szCs w:val="32"/>
        </w:rPr>
      </w:pPr>
      <w:r>
        <w:rPr>
          <w:rFonts w:hint="eastAsia"/>
          <w:color w:val="auto"/>
          <w:sz w:val="32"/>
          <w:szCs w:val="32"/>
          <w:lang w:val="en-US" w:eastAsia="zh-CN"/>
        </w:rPr>
        <w:t>保定市拓宽包装装璜材料有限公司</w:t>
      </w:r>
      <w:r>
        <w:rPr>
          <w:rFonts w:hint="eastAsia"/>
          <w:color w:val="auto"/>
          <w:sz w:val="32"/>
          <w:szCs w:val="32"/>
          <w:lang w:val="en-US"/>
        </w:rPr>
        <w:t xml:space="preserve"> </w:t>
      </w:r>
      <w:r>
        <w:rPr>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40" w:line="560" w:lineRule="exact"/>
        <w:ind w:right="115" w:firstLine="559"/>
        <w:textAlignment w:val="auto"/>
        <w:outlineLvl w:val="9"/>
        <w:rPr>
          <w:color w:val="auto"/>
          <w:sz w:val="32"/>
          <w:szCs w:val="32"/>
        </w:rPr>
      </w:pPr>
      <w:r>
        <w:rPr>
          <w:rFonts w:hint="eastAsia"/>
          <w:color w:val="auto"/>
          <w:sz w:val="32"/>
          <w:szCs w:val="32"/>
          <w:lang w:eastAsia="zh-CN"/>
        </w:rPr>
        <w:t>你单位</w:t>
      </w:r>
      <w:r>
        <w:rPr>
          <w:color w:val="auto"/>
          <w:sz w:val="32"/>
          <w:szCs w:val="32"/>
        </w:rPr>
        <w:t>所报《</w:t>
      </w:r>
      <w:r>
        <w:rPr>
          <w:rFonts w:hint="eastAsia"/>
          <w:color w:val="auto"/>
          <w:sz w:val="32"/>
          <w:szCs w:val="32"/>
        </w:rPr>
        <w:t>保定市拓宽包装装璜材料有限公司</w:t>
      </w:r>
      <w:r>
        <w:rPr>
          <w:rFonts w:hint="eastAsia"/>
          <w:color w:val="auto"/>
          <w:sz w:val="32"/>
          <w:szCs w:val="32"/>
          <w:lang w:val="en-US" w:eastAsia="zh-CN"/>
        </w:rPr>
        <w:t>技改项目环境影响报告表</w:t>
      </w:r>
      <w:r>
        <w:rPr>
          <w:color w:val="auto"/>
          <w:sz w:val="32"/>
          <w:szCs w:val="32"/>
        </w:rPr>
        <w:t>》收悉，根据《</w:t>
      </w:r>
      <w:r>
        <w:rPr>
          <w:rFonts w:hint="eastAsia"/>
          <w:color w:val="auto"/>
          <w:sz w:val="32"/>
          <w:szCs w:val="32"/>
        </w:rPr>
        <w:t>保定市拓宽包装装璜材料有限公司</w:t>
      </w:r>
      <w:r>
        <w:rPr>
          <w:rFonts w:hint="eastAsia"/>
          <w:color w:val="auto"/>
          <w:sz w:val="32"/>
          <w:szCs w:val="32"/>
          <w:lang w:val="en-US" w:eastAsia="zh-CN"/>
        </w:rPr>
        <w:t>技改项目</w:t>
      </w:r>
      <w:r>
        <w:rPr>
          <w:color w:val="auto"/>
          <w:spacing w:val="-26"/>
          <w:sz w:val="32"/>
          <w:szCs w:val="32"/>
        </w:rPr>
        <w:t>环境影响</w:t>
      </w:r>
      <w:r>
        <w:rPr>
          <w:rFonts w:hint="eastAsia"/>
          <w:color w:val="auto"/>
          <w:spacing w:val="-26"/>
          <w:sz w:val="32"/>
          <w:szCs w:val="32"/>
          <w:lang w:eastAsia="zh-CN"/>
        </w:rPr>
        <w:t>报告表</w:t>
      </w:r>
      <w:r>
        <w:rPr>
          <w:color w:val="auto"/>
          <w:spacing w:val="-26"/>
          <w:sz w:val="32"/>
          <w:szCs w:val="32"/>
        </w:rPr>
        <w:t>可行性技术评估报告》</w:t>
      </w:r>
      <w:r>
        <w:rPr>
          <w:color w:val="auto"/>
          <w:spacing w:val="-6"/>
          <w:sz w:val="32"/>
          <w:szCs w:val="32"/>
        </w:rPr>
        <w:t>环境影响评价结论</w:t>
      </w:r>
      <w:r>
        <w:rPr>
          <w:rFonts w:hint="eastAsia"/>
          <w:color w:val="auto"/>
          <w:spacing w:val="-6"/>
          <w:sz w:val="32"/>
          <w:szCs w:val="32"/>
          <w:lang w:eastAsia="zh-CN"/>
        </w:rPr>
        <w:t>，</w:t>
      </w:r>
      <w:r>
        <w:rPr>
          <w:color w:val="auto"/>
          <w:spacing w:val="-6"/>
          <w:sz w:val="32"/>
          <w:szCs w:val="32"/>
        </w:rPr>
        <w:t>污染防治措施可行，经研究批复如下：</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rPr>
      </w:pPr>
      <w:r>
        <w:rPr>
          <w:rFonts w:hint="eastAsia"/>
          <w:color w:val="auto"/>
          <w:sz w:val="32"/>
          <w:szCs w:val="32"/>
          <w:lang w:val="en-US" w:eastAsia="zh-CN"/>
        </w:rPr>
        <w:t>技改项目位于河北省保定市徐水区高林村镇白塔铺村（107国道东侧），在保定市拓宽包装装璜材料有限公司现有厂区内进行技改，不新增占地。厂址边界东侧为耕地，南侧是粮食收购站和村道，村道南侧为耕地和老袁玻璃店；西侧隔107国道为保定市合鑫二手车交易市场，北侧为空压机制造公司和保定永峰精密机械制造有限公司。最近的环境敏感点为东南侧145m的白塔铺村。依据《保定市自然资源和规划局徐水区分局关于对保定市拓宽包装装璜材料有限公司拟占地的规划意见》，为允许建设用地，符合徐水区土地利用总体规划。保定市徐水区工业和信息化局于2022年9月6日出具了《企业投资项目备案信息》，编号：徐工信备字【2022】40号。</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技改项目总投资95万元，其中环保投资8万元，环保投资占比8.42%。技改主要内容：①塑料包装容器品种增加塑料瓶、麻酱瓶；②因产品规格及重量的不同，生产设备淘汰SCJ-75K中空吹塑成型机2台，增加PET850-V6塑料注射成型机（瓶坯）1台、BJ160-S6塑料注射成型机（瓶盖）1台、CY-Ⅱ-5L-1000A全自动吹瓶机1台、CY-Ⅰ-1.5L-1800全自动吹瓶机1台、DY1200A半自动吹瓶机1台、DY-25L-B半自动吹瓶机2台、DY-1200-A半自动吹瓶机1台；③原材料塑料品种在聚乙烯PE、色母料基础上增加PET（聚对苯二甲酸类塑料），塑料年用量减少；④新安装吹塑和注塑设备配备废气治理措施。技改项目完成后，年产塑料包装容器2261.5万个，具体产品规格数量详见报告表。原辅材料及能源消耗：聚乙烯颗粒 2296.1t/a、色母料 0.3t/a、PET颗粒 120t/a、PET瓶坯 270.3t/a、包装袋 170万个/a、液压油 0.04t/a。新鲜水年用量为450m³/a，由白塔铺村供水管网提供；年用电量为24万KW·h/a，由当地供电电网供给；压缩空气 1750万m³/a;技改项目生产车间冬季不供暖，办公室采暖使用电暖气</w:t>
      </w:r>
      <w:r>
        <w:rPr>
          <w:rFonts w:hint="eastAsia"/>
          <w:color w:val="auto"/>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三、在落实报告表提出的各项污染防治和环境风险防范措施的前提下，项目建设从环境保护角度可行。同意本报告表作为项目建设和运营中环境管理的依据。</w:t>
      </w:r>
    </w:p>
    <w:p>
      <w:pPr>
        <w:pStyle w:val="3"/>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四、你单位在建设和日常管理过程中，要严格落实该报告表中的建设内容、各项污染防治、环境风险防范措施及要求，并重点做好以下工作：</w:t>
      </w:r>
    </w:p>
    <w:p>
      <w:pPr>
        <w:pStyle w:val="3"/>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1、建立日常环境管理制度、组织机构和管理台帐,项目投入运行前报保定市生态环境局徐水区分局备案。</w:t>
      </w:r>
    </w:p>
    <w:p>
      <w:pPr>
        <w:pStyle w:val="3"/>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2、施工期间要严格落实环评文件提出的污染防治措施及相关规定，有效减轻施工对环境的影响。</w:t>
      </w:r>
    </w:p>
    <w:p>
      <w:pPr>
        <w:pStyle w:val="3"/>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3、废气：</w:t>
      </w:r>
    </w:p>
    <w:p>
      <w:pPr>
        <w:pStyle w:val="3"/>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北生产车间注塑、吹塑废气,非甲烷总烃,经集气罩收集后由“1套UV光氧催化设备+活性炭吸附装置”处理;破碎废气,颗粒物,经集气罩收集后经1套布袋除尘器处理，并入注塑机废气收集管道，与注塑机废气一起经1根15m高排气筒DA001处理。废气排放应满足《合成树脂工业污染物排放标准》（GB31572-2015）表5大气污染物特别排放限值。</w:t>
      </w:r>
    </w:p>
    <w:p>
      <w:pPr>
        <w:pStyle w:val="3"/>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南生产车间吹塑废气，非甲烷总烃，经集气罩收集后由“1套UV光氧催化设备+活性炭吸附装置+1根15m高排气筒DA002”处理，废气排放应满足《合成树脂工业污染物排放标准》（GB31572-2015）表5大气污染物特别排放限值。</w:t>
      </w:r>
    </w:p>
    <w:p>
      <w:pPr>
        <w:pStyle w:val="3"/>
        <w:keepNext w:val="0"/>
        <w:keepLines w:val="0"/>
        <w:pageBreakBefore w:val="0"/>
        <w:widowControl w:val="0"/>
        <w:kinsoku/>
        <w:wordWrap/>
        <w:overflowPunct/>
        <w:topLinePunct w:val="0"/>
        <w:autoSpaceDE w:val="0"/>
        <w:autoSpaceDN w:val="0"/>
        <w:bidi w:val="0"/>
        <w:adjustRightInd/>
        <w:snapToGrid/>
        <w:spacing w:before="42" w:line="560" w:lineRule="exact"/>
        <w:ind w:right="115" w:firstLine="560" w:firstLineChars="200"/>
        <w:jc w:val="both"/>
        <w:textAlignment w:val="auto"/>
        <w:outlineLvl w:val="9"/>
        <w:rPr>
          <w:rFonts w:hint="eastAsia" w:ascii="仿宋" w:hAnsi="仿宋" w:eastAsia="仿宋" w:cs="仿宋"/>
          <w:color w:val="auto"/>
          <w:sz w:val="32"/>
          <w:szCs w:val="32"/>
          <w:lang w:val="en-US" w:eastAsia="zh-CN"/>
        </w:rPr>
      </w:pPr>
      <w:r>
        <w:rPr>
          <w:rFonts w:hint="eastAsia" w:ascii="宋体" w:hAnsi="宋体" w:cs="宋体"/>
          <w:color w:val="auto"/>
          <w:szCs w:val="21"/>
        </w:rPr>
        <w:t>厂界无组织废气</w:t>
      </w:r>
      <w:r>
        <w:rPr>
          <w:rFonts w:hint="eastAsia" w:ascii="宋体" w:hAnsi="宋体" w:cs="宋体"/>
          <w:color w:val="auto"/>
          <w:szCs w:val="21"/>
          <w:lang w:eastAsia="zh-CN"/>
        </w:rPr>
        <w:t>，车间封闭，颗粒物排放应满足《合成树脂工业污染物排放标准》（GB31572-2015）表9企业边界大气污染物浓度限值；非甲烷总烃排放应满足工业企业挥发性有机物排放控制标准》（DB13/2322-2016）表2其他行业边界大气污染物浓度限值要求，厂区内非甲烷总烃执行《挥发性有机物无组织排放控制标准》（GB 37822—2019）表A.1厂区内VOCs无组织排放限值。</w:t>
      </w:r>
    </w:p>
    <w:p>
      <w:pPr>
        <w:pStyle w:val="3"/>
        <w:keepNext w:val="0"/>
        <w:keepLines w:val="0"/>
        <w:pageBreakBefore w:val="0"/>
        <w:widowControl w:val="0"/>
        <w:numPr>
          <w:ilvl w:val="0"/>
          <w:numId w:val="3"/>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废水：</w:t>
      </w:r>
    </w:p>
    <w:p>
      <w:pPr>
        <w:pStyle w:val="3"/>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生产废水：无；</w:t>
      </w:r>
    </w:p>
    <w:p>
      <w:pPr>
        <w:pStyle w:val="3"/>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生活污水：无。</w:t>
      </w:r>
    </w:p>
    <w:p>
      <w:pPr>
        <w:pStyle w:val="3"/>
        <w:keepNext w:val="0"/>
        <w:keepLines w:val="0"/>
        <w:pageBreakBefore w:val="0"/>
        <w:widowControl w:val="0"/>
        <w:numPr>
          <w:ilvl w:val="0"/>
          <w:numId w:val="3"/>
        </w:numPr>
        <w:kinsoku/>
        <w:wordWrap/>
        <w:overflowPunct/>
        <w:topLinePunct w:val="0"/>
        <w:autoSpaceDE w:val="0"/>
        <w:autoSpaceDN w:val="0"/>
        <w:bidi w:val="0"/>
        <w:adjustRightInd/>
        <w:snapToGrid/>
        <w:spacing w:before="42" w:line="560" w:lineRule="exact"/>
        <w:ind w:left="120" w:leftChars="0"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噪声：</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lang w:val="en-US" w:eastAsia="zh-CN"/>
        </w:rPr>
      </w:pPr>
      <w:r>
        <w:rPr>
          <w:rFonts w:hint="eastAsia"/>
          <w:color w:val="auto"/>
          <w:sz w:val="32"/>
          <w:szCs w:val="32"/>
          <w:lang w:val="en-US" w:eastAsia="zh-CN"/>
        </w:rPr>
        <w:t>生产设备运行噪声，选用低噪声设备，采取“设备安装基础减振+厂房隔声”等措施降噪，西厂界噪声排放应满足《工业企业厂界环境噪声排放标准》（GB12348-2008）4类标准，其他厂界应满足2类标准。</w:t>
      </w:r>
    </w:p>
    <w:p>
      <w:pPr>
        <w:pStyle w:val="3"/>
        <w:keepNext w:val="0"/>
        <w:keepLines w:val="0"/>
        <w:pageBreakBefore w:val="0"/>
        <w:widowControl w:val="0"/>
        <w:numPr>
          <w:ilvl w:val="0"/>
          <w:numId w:val="3"/>
        </w:numPr>
        <w:kinsoku/>
        <w:wordWrap/>
        <w:overflowPunct/>
        <w:topLinePunct w:val="0"/>
        <w:autoSpaceDE w:val="0"/>
        <w:autoSpaceDN w:val="0"/>
        <w:bidi w:val="0"/>
        <w:adjustRightInd/>
        <w:snapToGrid/>
        <w:spacing w:before="42" w:line="560" w:lineRule="exact"/>
        <w:ind w:left="120" w:leftChars="0"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固废：</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42" w:line="560" w:lineRule="exact"/>
        <w:ind w:right="113" w:rightChars="0"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一般固废：下脚料、残次品破碎后回用于生产；废包装袋暂存一般固废区，定期外售；生活垃圾收集后定期由环卫部门处置。</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42" w:line="560" w:lineRule="exact"/>
        <w:ind w:right="113" w:rightChars="0"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危险废物：废活性炭、废灯管、废液压油暂存危废间，定期交资质单位处置。</w:t>
      </w:r>
    </w:p>
    <w:p>
      <w:pPr>
        <w:pStyle w:val="3"/>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五、污染物排放总量控制结论</w:t>
      </w:r>
    </w:p>
    <w:p>
      <w:pPr>
        <w:pStyle w:val="3"/>
        <w:keepNext w:val="0"/>
        <w:keepLines w:val="0"/>
        <w:pageBreakBefore w:val="0"/>
        <w:widowControl w:val="0"/>
        <w:kinsoku/>
        <w:wordWrap/>
        <w:overflowPunct/>
        <w:topLinePunct w:val="0"/>
        <w:autoSpaceDE w:val="0"/>
        <w:autoSpaceDN w:val="0"/>
        <w:bidi w:val="0"/>
        <w:adjustRightInd/>
        <w:snapToGrid/>
        <w:spacing w:before="42" w:line="560" w:lineRule="exact"/>
        <w:ind w:right="115" w:firstLine="624" w:firstLineChars="200"/>
        <w:jc w:val="both"/>
        <w:textAlignment w:val="auto"/>
        <w:outlineLvl w:val="9"/>
        <w:rPr>
          <w:rFonts w:hint="eastAsia" w:ascii="仿宋" w:hAnsi="仿宋" w:eastAsia="仿宋" w:cs="仿宋"/>
          <w:color w:val="auto"/>
          <w:spacing w:val="-4"/>
          <w:sz w:val="32"/>
          <w:szCs w:val="32"/>
          <w:lang w:eastAsia="zh-CN"/>
        </w:rPr>
      </w:pPr>
      <w:r>
        <w:rPr>
          <w:rFonts w:hint="eastAsia" w:cs="仿宋"/>
          <w:color w:val="auto"/>
          <w:spacing w:val="-4"/>
          <w:sz w:val="32"/>
          <w:szCs w:val="32"/>
          <w:lang w:eastAsia="zh-CN"/>
        </w:rPr>
        <w:t>项目完成后，医院污染物总量控制指标为：</w:t>
      </w:r>
      <w:r>
        <w:rPr>
          <w:rFonts w:hint="eastAsia" w:ascii="仿宋" w:hAnsi="仿宋" w:eastAsia="仿宋" w:cs="仿宋"/>
          <w:smallCaps w:val="0"/>
          <w:color w:val="auto"/>
          <w:sz w:val="32"/>
          <w:szCs w:val="32"/>
        </w:rPr>
        <w:t>SO</w:t>
      </w:r>
      <w:r>
        <w:rPr>
          <w:rFonts w:hint="eastAsia" w:ascii="仿宋" w:hAnsi="仿宋" w:eastAsia="仿宋" w:cs="仿宋"/>
          <w:smallCaps w:val="0"/>
          <w:color w:val="auto"/>
          <w:sz w:val="32"/>
          <w:szCs w:val="32"/>
          <w:vertAlign w:val="subscript"/>
        </w:rPr>
        <w:t>2</w:t>
      </w:r>
      <w:r>
        <w:rPr>
          <w:rFonts w:hint="eastAsia" w:cs="仿宋"/>
          <w:smallCaps w:val="0"/>
          <w:color w:val="auto"/>
          <w:sz w:val="32"/>
          <w:szCs w:val="32"/>
          <w:vertAlign w:val="subscript"/>
          <w:lang w:val="en-US" w:eastAsia="zh-CN"/>
        </w:rPr>
        <w:t xml:space="preserve"> </w:t>
      </w:r>
      <w:r>
        <w:rPr>
          <w:rFonts w:hint="eastAsia" w:ascii="仿宋" w:hAnsi="仿宋" w:eastAsia="仿宋" w:cs="仿宋"/>
          <w:color w:val="auto"/>
          <w:spacing w:val="-4"/>
          <w:sz w:val="32"/>
          <w:szCs w:val="32"/>
          <w:lang w:eastAsia="zh-CN"/>
        </w:rPr>
        <w:t xml:space="preserve"> 0t/a、NOx </w:t>
      </w:r>
      <w:r>
        <w:rPr>
          <w:rFonts w:hint="eastAsia" w:cs="仿宋"/>
          <w:color w:val="auto"/>
          <w:spacing w:val="-4"/>
          <w:sz w:val="32"/>
          <w:szCs w:val="32"/>
          <w:lang w:val="en-US" w:eastAsia="zh-CN"/>
        </w:rPr>
        <w:t>0</w:t>
      </w:r>
      <w:r>
        <w:rPr>
          <w:rFonts w:hint="eastAsia" w:ascii="仿宋" w:hAnsi="仿宋" w:eastAsia="仿宋" w:cs="仿宋"/>
          <w:color w:val="auto"/>
          <w:spacing w:val="-4"/>
          <w:sz w:val="32"/>
          <w:szCs w:val="32"/>
          <w:lang w:eastAsia="zh-CN"/>
        </w:rPr>
        <w:t>t/a、颗粒物</w:t>
      </w:r>
      <w:r>
        <w:rPr>
          <w:rFonts w:hint="eastAsia" w:cs="仿宋"/>
          <w:color w:val="auto"/>
          <w:spacing w:val="-4"/>
          <w:sz w:val="32"/>
          <w:szCs w:val="32"/>
          <w:lang w:val="en-US" w:eastAsia="zh-CN"/>
        </w:rPr>
        <w:t xml:space="preserve"> 0.006</w:t>
      </w:r>
      <w:r>
        <w:rPr>
          <w:rFonts w:hint="eastAsia" w:ascii="仿宋" w:hAnsi="仿宋" w:eastAsia="仿宋" w:cs="仿宋"/>
          <w:color w:val="auto"/>
          <w:spacing w:val="-4"/>
          <w:sz w:val="32"/>
          <w:szCs w:val="32"/>
          <w:lang w:eastAsia="zh-CN"/>
        </w:rPr>
        <w:t>t/a、</w:t>
      </w:r>
      <w:r>
        <w:rPr>
          <w:rFonts w:hint="eastAsia" w:ascii="仿宋" w:hAnsi="仿宋" w:eastAsia="仿宋" w:cs="仿宋"/>
          <w:bCs/>
          <w:smallCaps w:val="0"/>
          <w:color w:val="auto"/>
          <w:sz w:val="32"/>
          <w:szCs w:val="32"/>
        </w:rPr>
        <w:t>VOCs</w:t>
      </w:r>
      <w:r>
        <w:rPr>
          <w:rFonts w:hint="eastAsia" w:ascii="仿宋" w:hAnsi="仿宋" w:eastAsia="仿宋" w:cs="仿宋"/>
          <w:color w:val="auto"/>
          <w:spacing w:val="-4"/>
          <w:sz w:val="32"/>
          <w:szCs w:val="32"/>
          <w:lang w:eastAsia="zh-CN"/>
        </w:rPr>
        <w:t xml:space="preserve"> </w:t>
      </w:r>
      <w:r>
        <w:rPr>
          <w:rFonts w:hint="eastAsia" w:cs="仿宋"/>
          <w:color w:val="auto"/>
          <w:spacing w:val="-4"/>
          <w:sz w:val="32"/>
          <w:szCs w:val="32"/>
          <w:lang w:val="en-US" w:eastAsia="zh-CN"/>
        </w:rPr>
        <w:t>0.267</w:t>
      </w:r>
      <w:r>
        <w:rPr>
          <w:rFonts w:hint="eastAsia" w:ascii="仿宋" w:hAnsi="仿宋" w:eastAsia="仿宋" w:cs="仿宋"/>
          <w:color w:val="auto"/>
          <w:spacing w:val="-4"/>
          <w:sz w:val="32"/>
          <w:szCs w:val="32"/>
          <w:lang w:eastAsia="zh-CN"/>
        </w:rPr>
        <w:t xml:space="preserve">t/a、COD </w:t>
      </w:r>
      <w:r>
        <w:rPr>
          <w:rFonts w:hint="eastAsia" w:cs="仿宋"/>
          <w:color w:val="auto"/>
          <w:spacing w:val="-4"/>
          <w:sz w:val="32"/>
          <w:szCs w:val="32"/>
          <w:lang w:val="en-US" w:eastAsia="zh-CN"/>
        </w:rPr>
        <w:t>0</w:t>
      </w:r>
      <w:r>
        <w:rPr>
          <w:rFonts w:hint="eastAsia" w:ascii="仿宋" w:hAnsi="仿宋" w:eastAsia="仿宋" w:cs="仿宋"/>
          <w:color w:val="auto"/>
          <w:spacing w:val="-4"/>
          <w:sz w:val="32"/>
          <w:szCs w:val="32"/>
          <w:lang w:eastAsia="zh-CN"/>
        </w:rPr>
        <w:t>t/a、</w:t>
      </w:r>
      <w:r>
        <w:rPr>
          <w:rFonts w:hint="eastAsia"/>
          <w:b w:val="0"/>
          <w:bCs w:val="0"/>
          <w:color w:val="auto"/>
          <w:sz w:val="32"/>
          <w:szCs w:val="32"/>
          <w:highlight w:val="none"/>
          <w:lang w:val="en-US" w:eastAsia="zh-CN"/>
        </w:rPr>
        <w:t>NH</w:t>
      </w:r>
      <w:r>
        <w:rPr>
          <w:rFonts w:hint="eastAsia"/>
          <w:b w:val="0"/>
          <w:bCs w:val="0"/>
          <w:color w:val="auto"/>
          <w:sz w:val="32"/>
          <w:szCs w:val="32"/>
          <w:highlight w:val="none"/>
          <w:vertAlign w:val="subscript"/>
          <w:lang w:val="en-US" w:eastAsia="zh-CN"/>
        </w:rPr>
        <w:t>3</w:t>
      </w:r>
      <w:r>
        <w:rPr>
          <w:rFonts w:hint="eastAsia"/>
          <w:b w:val="0"/>
          <w:bCs w:val="0"/>
          <w:color w:val="auto"/>
          <w:sz w:val="32"/>
          <w:szCs w:val="32"/>
          <w:highlight w:val="none"/>
          <w:lang w:val="en-US" w:eastAsia="zh-CN"/>
        </w:rPr>
        <w:t>-N</w:t>
      </w:r>
      <w:r>
        <w:rPr>
          <w:rFonts w:hint="eastAsia" w:ascii="仿宋" w:hAnsi="仿宋" w:eastAsia="仿宋" w:cs="仿宋"/>
          <w:color w:val="auto"/>
          <w:spacing w:val="-4"/>
          <w:sz w:val="32"/>
          <w:szCs w:val="32"/>
          <w:lang w:eastAsia="zh-CN"/>
        </w:rPr>
        <w:t xml:space="preserve"> </w:t>
      </w:r>
      <w:r>
        <w:rPr>
          <w:rFonts w:hint="eastAsia" w:cs="仿宋"/>
          <w:color w:val="auto"/>
          <w:spacing w:val="-4"/>
          <w:sz w:val="32"/>
          <w:szCs w:val="32"/>
          <w:lang w:val="en-US" w:eastAsia="zh-CN"/>
        </w:rPr>
        <w:t>0</w:t>
      </w:r>
      <w:r>
        <w:rPr>
          <w:rFonts w:hint="eastAsia" w:ascii="仿宋" w:hAnsi="仿宋" w:eastAsia="仿宋" w:cs="仿宋"/>
          <w:color w:val="auto"/>
          <w:spacing w:val="-4"/>
          <w:sz w:val="32"/>
          <w:szCs w:val="32"/>
          <w:lang w:eastAsia="zh-CN"/>
        </w:rPr>
        <w:t xml:space="preserve">t/a、TN </w:t>
      </w:r>
      <w:r>
        <w:rPr>
          <w:rFonts w:hint="eastAsia" w:cs="仿宋"/>
          <w:color w:val="auto"/>
          <w:spacing w:val="-4"/>
          <w:sz w:val="32"/>
          <w:szCs w:val="32"/>
          <w:lang w:val="en-US" w:eastAsia="zh-CN"/>
        </w:rPr>
        <w:t>0</w:t>
      </w:r>
      <w:r>
        <w:rPr>
          <w:rFonts w:hint="eastAsia" w:ascii="仿宋" w:hAnsi="仿宋" w:eastAsia="仿宋" w:cs="仿宋"/>
          <w:color w:val="auto"/>
          <w:spacing w:val="-4"/>
          <w:sz w:val="32"/>
          <w:szCs w:val="32"/>
          <w:lang w:eastAsia="zh-CN"/>
        </w:rPr>
        <w:t xml:space="preserve">t/a、TP </w:t>
      </w:r>
      <w:r>
        <w:rPr>
          <w:rFonts w:hint="eastAsia" w:cs="仿宋"/>
          <w:color w:val="auto"/>
          <w:spacing w:val="-4"/>
          <w:sz w:val="32"/>
          <w:szCs w:val="32"/>
          <w:lang w:val="en-US" w:eastAsia="zh-CN"/>
        </w:rPr>
        <w:t>0</w:t>
      </w:r>
      <w:r>
        <w:rPr>
          <w:rFonts w:hint="eastAsia" w:ascii="仿宋" w:hAnsi="仿宋" w:eastAsia="仿宋" w:cs="仿宋"/>
          <w:color w:val="auto"/>
          <w:spacing w:val="-4"/>
          <w:sz w:val="32"/>
          <w:szCs w:val="32"/>
          <w:lang w:eastAsia="zh-CN"/>
        </w:rPr>
        <w:t>t/a</w:t>
      </w:r>
      <w:r>
        <w:rPr>
          <w:rFonts w:hint="eastAsia" w:ascii="仿宋" w:hAnsi="仿宋" w:eastAsia="仿宋" w:cs="仿宋"/>
          <w:bCs/>
          <w:smallCaps w:val="0"/>
          <w:color w:val="auto"/>
          <w:sz w:val="32"/>
          <w:szCs w:val="32"/>
          <w:lang w:eastAsia="zh-CN"/>
        </w:rPr>
        <w:t>。</w:t>
      </w:r>
      <w:r>
        <w:rPr>
          <w:rFonts w:hint="eastAsia" w:ascii="仿宋" w:hAnsi="仿宋" w:eastAsia="仿宋" w:cs="仿宋"/>
          <w:b/>
          <w:bCs/>
          <w:color w:val="auto"/>
          <w:sz w:val="32"/>
          <w:szCs w:val="32"/>
        </w:rPr>
        <w:t xml:space="preserve"> </w:t>
      </w:r>
    </w:p>
    <w:p>
      <w:pPr>
        <w:pStyle w:val="3"/>
        <w:keepNext w:val="0"/>
        <w:keepLines w:val="0"/>
        <w:pageBreakBefore w:val="0"/>
        <w:widowControl w:val="0"/>
        <w:numPr>
          <w:ilvl w:val="0"/>
          <w:numId w:val="4"/>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color w:val="auto"/>
          <w:sz w:val="32"/>
          <w:szCs w:val="32"/>
        </w:rPr>
      </w:pPr>
      <w:r>
        <w:rPr>
          <w:color w:val="auto"/>
          <w:sz w:val="32"/>
          <w:szCs w:val="32"/>
        </w:rPr>
        <w:t>项目建成后应先行按照排污许可管理要求办理排污许可证，并按规定程序实施竣工环境保护验收。</w:t>
      </w:r>
    </w:p>
    <w:p>
      <w:pPr>
        <w:pStyle w:val="3"/>
        <w:keepNext w:val="0"/>
        <w:keepLines w:val="0"/>
        <w:pageBreakBefore w:val="0"/>
        <w:widowControl w:val="0"/>
        <w:numPr>
          <w:ilvl w:val="0"/>
          <w:numId w:val="4"/>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color w:val="auto"/>
          <w:sz w:val="32"/>
          <w:szCs w:val="32"/>
        </w:rPr>
      </w:pPr>
      <w:r>
        <w:rPr>
          <w:color w:val="auto"/>
          <w:sz w:val="32"/>
          <w:szCs w:val="32"/>
        </w:rPr>
        <w:t>请保定市生态环境局徐水区分局负责项目的日常监督</w:t>
      </w:r>
      <w:r>
        <w:rPr>
          <w:rFonts w:hint="eastAsia"/>
          <w:color w:val="auto"/>
          <w:sz w:val="32"/>
          <w:szCs w:val="32"/>
        </w:rPr>
        <w:t>管理。</w:t>
      </w:r>
    </w:p>
    <w:p>
      <w:pPr>
        <w:pStyle w:val="3"/>
        <w:keepNext w:val="0"/>
        <w:keepLines w:val="0"/>
        <w:pageBreakBefore w:val="0"/>
        <w:widowControl w:val="0"/>
        <w:numPr>
          <w:ilvl w:val="0"/>
          <w:numId w:val="4"/>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color w:val="auto"/>
          <w:sz w:val="32"/>
          <w:szCs w:val="32"/>
        </w:rPr>
      </w:pPr>
      <w:r>
        <w:rPr>
          <w:color w:val="auto"/>
          <w:sz w:val="32"/>
          <w:szCs w:val="32"/>
        </w:rPr>
        <w:t>你单位应在收到本批复起10个工作日内，将环境影响报告</w:t>
      </w:r>
      <w:r>
        <w:rPr>
          <w:color w:val="auto"/>
          <w:spacing w:val="-8"/>
          <w:sz w:val="32"/>
          <w:szCs w:val="32"/>
        </w:rPr>
        <w:t>表及批复送保定市生态环境局徐水区分局，并按规定接受各级生态</w:t>
      </w:r>
      <w:r>
        <w:rPr>
          <w:rFonts w:hint="eastAsia"/>
          <w:color w:val="auto"/>
          <w:spacing w:val="-8"/>
          <w:sz w:val="32"/>
          <w:szCs w:val="32"/>
        </w:rPr>
        <w:t>环</w:t>
      </w:r>
      <w:r>
        <w:rPr>
          <w:color w:val="auto"/>
          <w:spacing w:val="-3"/>
          <w:sz w:val="32"/>
          <w:szCs w:val="32"/>
        </w:rPr>
        <w:t>境部门的监督检查。</w:t>
      </w:r>
    </w:p>
    <w:p>
      <w:pPr>
        <w:pStyle w:val="4"/>
        <w:rPr>
          <w:color w:val="auto"/>
          <w:spacing w:val="-3"/>
          <w:sz w:val="32"/>
          <w:szCs w:val="32"/>
        </w:rPr>
      </w:pPr>
    </w:p>
    <w:p>
      <w:pPr>
        <w:pStyle w:val="5"/>
      </w:pPr>
    </w:p>
    <w:p>
      <w:pPr>
        <w:pStyle w:val="3"/>
        <w:keepNext w:val="0"/>
        <w:keepLines w:val="0"/>
        <w:pageBreakBefore w:val="0"/>
        <w:widowControl w:val="0"/>
        <w:kinsoku/>
        <w:wordWrap/>
        <w:overflowPunct/>
        <w:topLinePunct w:val="0"/>
        <w:autoSpaceDE w:val="0"/>
        <w:autoSpaceDN w:val="0"/>
        <w:bidi w:val="0"/>
        <w:adjustRightInd/>
        <w:snapToGrid/>
        <w:spacing w:before="10" w:line="560" w:lineRule="exact"/>
        <w:ind w:left="0"/>
        <w:textAlignment w:val="auto"/>
        <w:outlineLvl w:val="9"/>
        <w:rPr>
          <w:rFonts w:hint="eastAsia"/>
          <w:color w:val="auto"/>
          <w:sz w:val="32"/>
          <w:szCs w:val="32"/>
          <w:lang w:val="en-US" w:eastAsia="zh-CN"/>
        </w:rPr>
      </w:pPr>
      <w:r>
        <w:rPr>
          <w:rFonts w:hint="eastAsia"/>
          <w:color w:val="auto"/>
          <w:sz w:val="32"/>
          <w:szCs w:val="32"/>
          <w:lang w:val="en-US" w:eastAsia="zh-CN"/>
        </w:rPr>
        <w:t xml:space="preserve">                                 保定市徐水区行政审批局</w:t>
      </w:r>
    </w:p>
    <w:p>
      <w:pPr>
        <w:pStyle w:val="3"/>
        <w:keepNext w:val="0"/>
        <w:keepLines w:val="0"/>
        <w:pageBreakBefore w:val="0"/>
        <w:widowControl w:val="0"/>
        <w:kinsoku/>
        <w:wordWrap/>
        <w:overflowPunct/>
        <w:topLinePunct w:val="0"/>
        <w:autoSpaceDE w:val="0"/>
        <w:autoSpaceDN w:val="0"/>
        <w:bidi w:val="0"/>
        <w:adjustRightInd/>
        <w:snapToGrid/>
        <w:spacing w:before="10" w:line="560" w:lineRule="exact"/>
        <w:ind w:firstLine="6080" w:firstLineChars="1900"/>
        <w:textAlignment w:val="auto"/>
        <w:outlineLvl w:val="9"/>
        <w:rPr>
          <w:rFonts w:hint="eastAsia"/>
          <w:color w:val="auto"/>
          <w:sz w:val="32"/>
          <w:szCs w:val="32"/>
          <w:lang w:val="en-US" w:eastAsia="zh-CN"/>
        </w:rPr>
      </w:pPr>
      <w:r>
        <w:rPr>
          <w:rFonts w:hint="eastAsia"/>
          <w:color w:val="auto"/>
          <w:sz w:val="32"/>
          <w:szCs w:val="32"/>
          <w:lang w:val="en-US" w:eastAsia="zh-CN"/>
        </w:rPr>
        <w:t>2023年09月01日</w:t>
      </w:r>
    </w:p>
    <w:p>
      <w:pPr>
        <w:rPr>
          <w:rFonts w:hint="eastAsia"/>
          <w:color w:val="auto"/>
          <w:sz w:val="32"/>
          <w:szCs w:val="32"/>
          <w:lang w:val="en-US" w:eastAsia="zh-CN"/>
        </w:rPr>
      </w:pPr>
    </w:p>
    <w:p>
      <w:pPr>
        <w:pStyle w:val="2"/>
        <w:rPr>
          <w:rFonts w:hint="eastAsia"/>
          <w:color w:val="auto"/>
          <w:sz w:val="32"/>
          <w:szCs w:val="32"/>
          <w:lang w:val="en-US" w:eastAsia="zh-CN"/>
        </w:rPr>
      </w:pPr>
    </w:p>
    <w:p>
      <w:pPr>
        <w:pStyle w:val="3"/>
        <w:rPr>
          <w:rFonts w:hint="eastAsia"/>
          <w:color w:val="auto"/>
          <w:sz w:val="32"/>
          <w:szCs w:val="32"/>
          <w:lang w:val="en-US" w:eastAsia="zh-CN"/>
        </w:rPr>
      </w:pPr>
    </w:p>
    <w:p>
      <w:pPr>
        <w:pStyle w:val="4"/>
        <w:rPr>
          <w:rFonts w:hint="eastAsia"/>
          <w:color w:val="auto"/>
          <w:sz w:val="32"/>
          <w:szCs w:val="32"/>
          <w:lang w:val="en-US" w:eastAsia="zh-CN"/>
        </w:rPr>
      </w:pPr>
    </w:p>
    <w:p>
      <w:pPr>
        <w:pStyle w:val="5"/>
        <w:rPr>
          <w:rFonts w:hint="eastAsia"/>
          <w:color w:val="auto"/>
          <w:sz w:val="32"/>
          <w:szCs w:val="32"/>
          <w:lang w:val="en-US" w:eastAsia="zh-CN"/>
        </w:rPr>
      </w:pPr>
    </w:p>
    <w:p>
      <w:pPr>
        <w:rPr>
          <w:rFonts w:hint="eastAsia"/>
          <w:color w:val="auto"/>
          <w:sz w:val="32"/>
          <w:szCs w:val="32"/>
          <w:lang w:val="en-US" w:eastAsia="zh-CN"/>
        </w:rPr>
      </w:pPr>
    </w:p>
    <w:p>
      <w:pPr>
        <w:pStyle w:val="2"/>
        <w:rPr>
          <w:rFonts w:hint="eastAsia"/>
          <w:lang w:val="en-US" w:eastAsia="zh-CN"/>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210" w:firstLineChars="100"/>
        <w:textAlignment w:val="auto"/>
        <w:outlineLvl w:val="9"/>
        <w:rPr>
          <w:color w:val="auto"/>
          <w:sz w:val="21"/>
          <w:u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220" w:firstLineChars="100"/>
        <w:textAlignment w:val="auto"/>
        <w:outlineLvl w:val="9"/>
        <w:rPr>
          <w:rFonts w:hint="eastAsia" w:eastAsia="仿宋"/>
          <w:color w:val="auto"/>
          <w:sz w:val="21"/>
          <w:lang w:val="en-US" w:eastAsia="zh-CN"/>
        </w:rPr>
      </w:pPr>
      <w:r>
        <w:rPr>
          <w:color w:val="auto"/>
          <w:u w:val="none"/>
          <w:lang w:val="en-US" w:bidi="ar-SA"/>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ragraph">
                  <wp:posOffset>156210</wp:posOffset>
                </wp:positionV>
                <wp:extent cx="5274310" cy="0"/>
                <wp:effectExtent l="0" t="0" r="0" b="0"/>
                <wp:wrapNone/>
                <wp:docPr id="1" name="直线 2"/>
                <wp:cNvGraphicFramePr/>
                <a:graphic xmlns:a="http://schemas.openxmlformats.org/drawingml/2006/main">
                  <a:graphicData uri="http://schemas.microsoft.com/office/word/2010/wordprocessingShape">
                    <wps:wsp>
                      <wps:cNvCnPr/>
                      <wps:spPr>
                        <a:xfrm>
                          <a:off x="0" y="0"/>
                          <a:ext cx="52743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0pt;margin-top:12.3pt;height:0pt;width:415.3pt;mso-position-horizontal-relative:page;z-index:251659264;mso-width-relative:page;mso-height-relative:page;" filled="f" stroked="t" coordsize="21600,21600" o:gfxdata="UEsDBAoAAAAAAIdO4kAAAAAAAAAAAAAAAAAEAAAAZHJzL1BLAwQUAAAACACHTuJAomsmh9cAAAAK&#10;AQAADwAAAGRycy9kb3ducmV2LnhtbE2PQU/DMAyF70j8h8hI3FjSCY1Qmu4AAmkHhNgmzllj2tLG&#10;qZps3f49njiMm5/99Py9Ynn0vTjgGNtABrKZAoFUBddSbWC7eb3TIGKy5GwfCA2cMMKyvL4qbO7C&#10;RJ94WKdacAjF3BpoUhpyKWPVoLdxFgYkvn2H0dvEcqylG+3E4b6Xc6UW0tuW+ENjB3xusOrWe2/g&#10;XcuX8NF9VaefafOm9ap7fFhtjbm9ydQTiITHdDHDGZ/RoWSmXdiTi6JnrRV3SQbm9wsQZ4PKFE+7&#10;v40sC/m/QvkLUEsDBBQAAAAIAIdO4kBF/g703wEAAM8DAAAOAAAAZHJzL2Uyb0RvYy54bWytU0uS&#10;0zAQ3VPFHVTaEzsBArjizGLCsKEgVcABOpJsq0q/Umvi5CxcgxUbjjPXoCVnMszMJgu8kFut7tf9&#10;nlqrq4M1bK8iau9aPp/VnCknvNSub/mP7zev3nOGCZwE451q+VEhv1q/fLEaQ6MWfvBGqsgIxGEz&#10;hpYPKYWmqlAMygLOfFCODjsfLSTaxr6SEUZCt6Za1PWyGn2UIXqhEMm7mQ75CTFeAui7Tgu18eLW&#10;Kpcm1KgMJKKEgw7I16XbrlMife06VImZlhPTVFYqQvYur9V6BU0fIQxanFqAS1p4wsmCdlT0DLWB&#10;BOw26mdQVovo0XdpJrytJiJFEWIxr59o822AoAoXkhrDWXT8f7Diy34bmZY0CZw5sHThdz9/3f3+&#10;wxZZmzFgQyHXbhtPOwzbmIkeumjznyiwQ9HzeNZTHRIT5Hy7ePfm9ZykFvdn1UNiiJg+KW9ZNlpu&#10;tMtUoYH9Z0xUjELvQ7LbODa2fFl/WBIc0Nx1dN9k2kC9o+tLLnqj5Y02Jmdg7HfXJrI95LsvX6ZE&#10;uI/CcpEN4DDFlaNpKgYF8qOTLB0DqeLoMfDcglWSM6Po7WSLAKFJoM0lkVTaOOogqzrpmK2dl8ci&#10;b/HTPZceTzOZB+nffcl+eIf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JrJofXAAAACgEAAA8A&#10;AAAAAAAAAQAgAAAAIgAAAGRycy9kb3ducmV2LnhtbFBLAQIUABQAAAAIAIdO4kBF/g703wEAAM8D&#10;AAAOAAAAAAAAAAEAIAAAACYBAABkcnMvZTJvRG9jLnhtbFBLBQYAAAAABgAGAFkBAAB3BQAAAAA=&#10;">
                <v:fill on="f" focussize="0,0"/>
                <v:stroke weight="0.48pt" color="#000000" joinstyle="round"/>
                <v:imagedata o:title=""/>
                <o:lock v:ext="edit" aspectratio="f"/>
              </v:line>
            </w:pict>
          </mc:Fallback>
        </mc:AlternateContent>
      </w:r>
      <w:r>
        <w:rPr>
          <w:color w:val="auto"/>
          <w:sz w:val="21"/>
          <w:u w:val="none"/>
        </w:rPr>
        <w:t>抄送</w:t>
      </w:r>
      <w:r>
        <w:rPr>
          <w:color w:val="auto"/>
          <w:sz w:val="21"/>
        </w:rPr>
        <w:t>：保定市生态环境局徐水区分局</w:t>
      </w:r>
      <w:r>
        <w:rPr>
          <w:color w:val="auto"/>
          <w:sz w:val="21"/>
        </w:rPr>
        <w:tab/>
      </w:r>
      <w:r>
        <w:rPr>
          <w:rFonts w:hint="eastAsia"/>
          <w:color w:val="auto"/>
          <w:sz w:val="21"/>
          <w:lang w:val="en-US" w:eastAsia="zh-CN"/>
        </w:rPr>
        <w:t xml:space="preserve">      </w:t>
      </w:r>
      <w:r>
        <w:rPr>
          <w:rFonts w:hint="eastAsia"/>
          <w:color w:val="auto"/>
          <w:sz w:val="21"/>
          <w:lang w:eastAsia="zh-CN"/>
        </w:rPr>
        <w:t>保定市拓宽包装装璜材料有限公司</w:t>
      </w:r>
    </w:p>
    <w:p>
      <w:pPr>
        <w:keepNext w:val="0"/>
        <w:keepLines w:val="0"/>
        <w:pageBreakBefore w:val="0"/>
        <w:widowControl w:val="0"/>
        <w:tabs>
          <w:tab w:val="left" w:pos="4739"/>
        </w:tabs>
        <w:kinsoku/>
        <w:wordWrap/>
        <w:overflowPunct/>
        <w:topLinePunct w:val="0"/>
        <w:autoSpaceDE w:val="0"/>
        <w:autoSpaceDN w:val="0"/>
        <w:bidi w:val="0"/>
        <w:adjustRightInd/>
        <w:snapToGrid/>
        <w:spacing w:before="14" w:line="240" w:lineRule="exact"/>
        <w:textAlignment w:val="auto"/>
        <w:outlineLvl w:val="9"/>
        <w:rPr>
          <w:vanish/>
          <w:color w:val="auto"/>
          <w:sz w:val="21"/>
        </w:rPr>
      </w:pPr>
    </w:p>
    <w:sectPr>
      <w:footerReference r:id="rId3" w:type="default"/>
      <w:pgSz w:w="11910" w:h="16840"/>
      <w:pgMar w:top="2098" w:right="1531" w:bottom="187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007BA"/>
    <w:multiLevelType w:val="singleLevel"/>
    <w:tmpl w:val="AD2007BA"/>
    <w:lvl w:ilvl="0" w:tentative="0">
      <w:start w:val="1"/>
      <w:numFmt w:val="chineseCounting"/>
      <w:suff w:val="nothing"/>
      <w:lvlText w:val="%1、"/>
      <w:lvlJc w:val="left"/>
      <w:rPr>
        <w:rFonts w:hint="eastAsia"/>
      </w:rPr>
    </w:lvl>
  </w:abstractNum>
  <w:abstractNum w:abstractNumId="1">
    <w:nsid w:val="552A107A"/>
    <w:multiLevelType w:val="singleLevel"/>
    <w:tmpl w:val="552A107A"/>
    <w:lvl w:ilvl="0" w:tentative="0">
      <w:start w:val="6"/>
      <w:numFmt w:val="chineseCounting"/>
      <w:suff w:val="nothing"/>
      <w:lvlText w:val="%1、"/>
      <w:lvlJc w:val="left"/>
      <w:rPr>
        <w:rFonts w:hint="eastAsia"/>
      </w:rPr>
    </w:lvl>
  </w:abstractNum>
  <w:abstractNum w:abstractNumId="2">
    <w:nsid w:val="7D1F61D2"/>
    <w:multiLevelType w:val="singleLevel"/>
    <w:tmpl w:val="7D1F61D2"/>
    <w:lvl w:ilvl="0" w:tentative="0">
      <w:start w:val="1"/>
      <w:numFmt w:val="bullet"/>
      <w:pStyle w:val="8"/>
      <w:lvlText w:val=""/>
      <w:lvlJc w:val="left"/>
      <w:pPr>
        <w:tabs>
          <w:tab w:val="left" w:pos="2040"/>
        </w:tabs>
        <w:ind w:left="2040" w:hanging="360"/>
      </w:pPr>
      <w:rPr>
        <w:rFonts w:hint="default" w:ascii="Wingdings" w:hAnsi="Wingdings"/>
      </w:rPr>
    </w:lvl>
  </w:abstractNum>
  <w:abstractNum w:abstractNumId="3">
    <w:nsid w:val="7E9085C6"/>
    <w:multiLevelType w:val="singleLevel"/>
    <w:tmpl w:val="7E9085C6"/>
    <w:lvl w:ilvl="0" w:tentative="0">
      <w:start w:val="4"/>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wOWRjZWNlZThjNzk0ZjQxOGFiODZmYTQxZTU5MTQifQ=="/>
  </w:docVars>
  <w:rsids>
    <w:rsidRoot w:val="00FC1720"/>
    <w:rsid w:val="003914BD"/>
    <w:rsid w:val="005F416A"/>
    <w:rsid w:val="00641C89"/>
    <w:rsid w:val="00883C0B"/>
    <w:rsid w:val="009F4DD4"/>
    <w:rsid w:val="00A95106"/>
    <w:rsid w:val="00DE05C0"/>
    <w:rsid w:val="00E302B9"/>
    <w:rsid w:val="00FC1720"/>
    <w:rsid w:val="0165797C"/>
    <w:rsid w:val="025670DC"/>
    <w:rsid w:val="030A0C44"/>
    <w:rsid w:val="03906316"/>
    <w:rsid w:val="039F1890"/>
    <w:rsid w:val="0468705B"/>
    <w:rsid w:val="04F65EE5"/>
    <w:rsid w:val="05631D9D"/>
    <w:rsid w:val="05835C58"/>
    <w:rsid w:val="05B1134C"/>
    <w:rsid w:val="05E62F43"/>
    <w:rsid w:val="062849C4"/>
    <w:rsid w:val="06FF108D"/>
    <w:rsid w:val="072F6D90"/>
    <w:rsid w:val="082A3699"/>
    <w:rsid w:val="088124B5"/>
    <w:rsid w:val="09211986"/>
    <w:rsid w:val="093E07C1"/>
    <w:rsid w:val="0A732EE2"/>
    <w:rsid w:val="0AAB16B7"/>
    <w:rsid w:val="0B2A2971"/>
    <w:rsid w:val="0B6B7A7C"/>
    <w:rsid w:val="0BA1296D"/>
    <w:rsid w:val="0C7C2650"/>
    <w:rsid w:val="0D2B61BA"/>
    <w:rsid w:val="0D784C61"/>
    <w:rsid w:val="0DC124A3"/>
    <w:rsid w:val="0DEF638A"/>
    <w:rsid w:val="0E0612AC"/>
    <w:rsid w:val="0E1B57EE"/>
    <w:rsid w:val="0E6F241E"/>
    <w:rsid w:val="0E750962"/>
    <w:rsid w:val="0E8C118A"/>
    <w:rsid w:val="0F405362"/>
    <w:rsid w:val="0F8C706A"/>
    <w:rsid w:val="10547856"/>
    <w:rsid w:val="10C41951"/>
    <w:rsid w:val="11B06239"/>
    <w:rsid w:val="11CE423C"/>
    <w:rsid w:val="11D7728D"/>
    <w:rsid w:val="122B288B"/>
    <w:rsid w:val="1290345F"/>
    <w:rsid w:val="129D2782"/>
    <w:rsid w:val="13114CFB"/>
    <w:rsid w:val="13AB2EDF"/>
    <w:rsid w:val="13C10E5D"/>
    <w:rsid w:val="14C731E5"/>
    <w:rsid w:val="15534200"/>
    <w:rsid w:val="155B4E8D"/>
    <w:rsid w:val="15A77E2C"/>
    <w:rsid w:val="15B86291"/>
    <w:rsid w:val="16507A8B"/>
    <w:rsid w:val="167B72E0"/>
    <w:rsid w:val="16AB5805"/>
    <w:rsid w:val="17016262"/>
    <w:rsid w:val="17217CAE"/>
    <w:rsid w:val="178B0482"/>
    <w:rsid w:val="17A03938"/>
    <w:rsid w:val="18CE42AE"/>
    <w:rsid w:val="197235DA"/>
    <w:rsid w:val="19A52FDB"/>
    <w:rsid w:val="19E42752"/>
    <w:rsid w:val="1A00005D"/>
    <w:rsid w:val="1A950C4B"/>
    <w:rsid w:val="1B35262F"/>
    <w:rsid w:val="1B486418"/>
    <w:rsid w:val="1B4C6D2F"/>
    <w:rsid w:val="1B615F73"/>
    <w:rsid w:val="1BA72DE6"/>
    <w:rsid w:val="1C0E19D1"/>
    <w:rsid w:val="1C4D2F48"/>
    <w:rsid w:val="1C4F1A8D"/>
    <w:rsid w:val="1C550973"/>
    <w:rsid w:val="1CBA1526"/>
    <w:rsid w:val="1D623A48"/>
    <w:rsid w:val="1DA92D89"/>
    <w:rsid w:val="1DCB2234"/>
    <w:rsid w:val="1E0572EF"/>
    <w:rsid w:val="1E69239C"/>
    <w:rsid w:val="1ED53EF8"/>
    <w:rsid w:val="1F3469BB"/>
    <w:rsid w:val="1FA42E79"/>
    <w:rsid w:val="1FD83163"/>
    <w:rsid w:val="1FEA381C"/>
    <w:rsid w:val="208D6310"/>
    <w:rsid w:val="20C748E4"/>
    <w:rsid w:val="20F2689C"/>
    <w:rsid w:val="210510C8"/>
    <w:rsid w:val="2146060D"/>
    <w:rsid w:val="21963295"/>
    <w:rsid w:val="21B7304D"/>
    <w:rsid w:val="230520ED"/>
    <w:rsid w:val="231E0851"/>
    <w:rsid w:val="231E7DB7"/>
    <w:rsid w:val="23763EBD"/>
    <w:rsid w:val="23A67218"/>
    <w:rsid w:val="24374C17"/>
    <w:rsid w:val="245B0EED"/>
    <w:rsid w:val="25070332"/>
    <w:rsid w:val="250A61A6"/>
    <w:rsid w:val="255467E2"/>
    <w:rsid w:val="25CC3869"/>
    <w:rsid w:val="25ED0CD7"/>
    <w:rsid w:val="25F72458"/>
    <w:rsid w:val="264151D6"/>
    <w:rsid w:val="264852BD"/>
    <w:rsid w:val="271C51C6"/>
    <w:rsid w:val="274D122B"/>
    <w:rsid w:val="27C60C96"/>
    <w:rsid w:val="27D94DBA"/>
    <w:rsid w:val="28322C4E"/>
    <w:rsid w:val="298A1FB5"/>
    <w:rsid w:val="29B52F8B"/>
    <w:rsid w:val="2ABD2B99"/>
    <w:rsid w:val="2B752734"/>
    <w:rsid w:val="2BB403D8"/>
    <w:rsid w:val="2C4211D4"/>
    <w:rsid w:val="2C4340C7"/>
    <w:rsid w:val="2C470B0E"/>
    <w:rsid w:val="2C534F2A"/>
    <w:rsid w:val="2C5C2CA5"/>
    <w:rsid w:val="2CA33897"/>
    <w:rsid w:val="2CB45F22"/>
    <w:rsid w:val="2D116A31"/>
    <w:rsid w:val="2DBE3860"/>
    <w:rsid w:val="2DE906BE"/>
    <w:rsid w:val="2E091BCC"/>
    <w:rsid w:val="2E0C1719"/>
    <w:rsid w:val="2F210AE4"/>
    <w:rsid w:val="2F547D4E"/>
    <w:rsid w:val="2F5963F4"/>
    <w:rsid w:val="2F782A69"/>
    <w:rsid w:val="2FFC2908"/>
    <w:rsid w:val="30111686"/>
    <w:rsid w:val="30285D0D"/>
    <w:rsid w:val="30566DD1"/>
    <w:rsid w:val="306D35B0"/>
    <w:rsid w:val="30D13364"/>
    <w:rsid w:val="31A9034E"/>
    <w:rsid w:val="31F40AD8"/>
    <w:rsid w:val="3212521B"/>
    <w:rsid w:val="32DC2ACA"/>
    <w:rsid w:val="32EC42DC"/>
    <w:rsid w:val="3352439E"/>
    <w:rsid w:val="33860852"/>
    <w:rsid w:val="343437ED"/>
    <w:rsid w:val="344F58DF"/>
    <w:rsid w:val="34625C6F"/>
    <w:rsid w:val="34E13D8E"/>
    <w:rsid w:val="34E73DF6"/>
    <w:rsid w:val="34F51547"/>
    <w:rsid w:val="351D691C"/>
    <w:rsid w:val="364735A3"/>
    <w:rsid w:val="366C3BCA"/>
    <w:rsid w:val="36717706"/>
    <w:rsid w:val="36DB733E"/>
    <w:rsid w:val="37BE2190"/>
    <w:rsid w:val="383932EA"/>
    <w:rsid w:val="38E1196C"/>
    <w:rsid w:val="38FF4793"/>
    <w:rsid w:val="390F0C8E"/>
    <w:rsid w:val="39474760"/>
    <w:rsid w:val="39894B76"/>
    <w:rsid w:val="3A062A4C"/>
    <w:rsid w:val="3A270935"/>
    <w:rsid w:val="3AC053A4"/>
    <w:rsid w:val="3B6925CD"/>
    <w:rsid w:val="3BFA2CFD"/>
    <w:rsid w:val="3C3368C1"/>
    <w:rsid w:val="3C4C643B"/>
    <w:rsid w:val="3CCE34AB"/>
    <w:rsid w:val="3D3B478E"/>
    <w:rsid w:val="3D536DB5"/>
    <w:rsid w:val="3D652D9C"/>
    <w:rsid w:val="3D7A1E7F"/>
    <w:rsid w:val="3E122EDD"/>
    <w:rsid w:val="3E6355C6"/>
    <w:rsid w:val="3E6C1AE3"/>
    <w:rsid w:val="3E8C5C2C"/>
    <w:rsid w:val="3EBB4791"/>
    <w:rsid w:val="3ED8079B"/>
    <w:rsid w:val="3F11673B"/>
    <w:rsid w:val="3F5A5BE9"/>
    <w:rsid w:val="3F7D64B7"/>
    <w:rsid w:val="3F9D4642"/>
    <w:rsid w:val="3F9E4184"/>
    <w:rsid w:val="409C0FBE"/>
    <w:rsid w:val="41050EE9"/>
    <w:rsid w:val="41564A6C"/>
    <w:rsid w:val="41D24909"/>
    <w:rsid w:val="41E3748C"/>
    <w:rsid w:val="427B7880"/>
    <w:rsid w:val="429542E8"/>
    <w:rsid w:val="42F71540"/>
    <w:rsid w:val="4327149D"/>
    <w:rsid w:val="43961150"/>
    <w:rsid w:val="43A74405"/>
    <w:rsid w:val="443D5EA6"/>
    <w:rsid w:val="444B114A"/>
    <w:rsid w:val="446526B8"/>
    <w:rsid w:val="449E1D0D"/>
    <w:rsid w:val="44D4584C"/>
    <w:rsid w:val="44DD7A9F"/>
    <w:rsid w:val="454C2F0A"/>
    <w:rsid w:val="45CD043F"/>
    <w:rsid w:val="45DE2CF4"/>
    <w:rsid w:val="46C27E73"/>
    <w:rsid w:val="475B6C93"/>
    <w:rsid w:val="475E06BC"/>
    <w:rsid w:val="47CF0EED"/>
    <w:rsid w:val="48022E71"/>
    <w:rsid w:val="484F1989"/>
    <w:rsid w:val="490808E8"/>
    <w:rsid w:val="49210894"/>
    <w:rsid w:val="499D4138"/>
    <w:rsid w:val="49BC15F3"/>
    <w:rsid w:val="4A0D2198"/>
    <w:rsid w:val="4A4757E0"/>
    <w:rsid w:val="4AB43A94"/>
    <w:rsid w:val="4B1D039C"/>
    <w:rsid w:val="4BAC4908"/>
    <w:rsid w:val="4C632E0A"/>
    <w:rsid w:val="4D2E285F"/>
    <w:rsid w:val="4DA07F5B"/>
    <w:rsid w:val="4DC72F51"/>
    <w:rsid w:val="4E516B22"/>
    <w:rsid w:val="4E532DF4"/>
    <w:rsid w:val="4E5B51EF"/>
    <w:rsid w:val="4ECD3D05"/>
    <w:rsid w:val="4F081AFC"/>
    <w:rsid w:val="4FB569AA"/>
    <w:rsid w:val="503100D1"/>
    <w:rsid w:val="5115465C"/>
    <w:rsid w:val="515618C4"/>
    <w:rsid w:val="517B2FD5"/>
    <w:rsid w:val="51E9382B"/>
    <w:rsid w:val="526B6A07"/>
    <w:rsid w:val="53B171C1"/>
    <w:rsid w:val="54F838D1"/>
    <w:rsid w:val="55196421"/>
    <w:rsid w:val="55504963"/>
    <w:rsid w:val="55E05328"/>
    <w:rsid w:val="56591C70"/>
    <w:rsid w:val="56706A5F"/>
    <w:rsid w:val="5709490B"/>
    <w:rsid w:val="57DB53D0"/>
    <w:rsid w:val="581C4103"/>
    <w:rsid w:val="58517449"/>
    <w:rsid w:val="58A5365B"/>
    <w:rsid w:val="593A43BE"/>
    <w:rsid w:val="597A7D31"/>
    <w:rsid w:val="59CD244E"/>
    <w:rsid w:val="59D25468"/>
    <w:rsid w:val="5B0F7772"/>
    <w:rsid w:val="5B3A5BC9"/>
    <w:rsid w:val="5B460882"/>
    <w:rsid w:val="5B6726B5"/>
    <w:rsid w:val="5BD94721"/>
    <w:rsid w:val="5C8B1774"/>
    <w:rsid w:val="5D150420"/>
    <w:rsid w:val="5D6A3A1D"/>
    <w:rsid w:val="5E9919FC"/>
    <w:rsid w:val="5EB1378D"/>
    <w:rsid w:val="5ED86767"/>
    <w:rsid w:val="5F435E26"/>
    <w:rsid w:val="5FDD6614"/>
    <w:rsid w:val="602D3891"/>
    <w:rsid w:val="607F537B"/>
    <w:rsid w:val="60ED5785"/>
    <w:rsid w:val="6140448D"/>
    <w:rsid w:val="618347D1"/>
    <w:rsid w:val="61ED42D4"/>
    <w:rsid w:val="62077DBB"/>
    <w:rsid w:val="624F4842"/>
    <w:rsid w:val="626A14AF"/>
    <w:rsid w:val="62BC5A7F"/>
    <w:rsid w:val="633E5DBA"/>
    <w:rsid w:val="634A34D4"/>
    <w:rsid w:val="634D7671"/>
    <w:rsid w:val="63611DC3"/>
    <w:rsid w:val="6362252C"/>
    <w:rsid w:val="63B0621A"/>
    <w:rsid w:val="63FC48FE"/>
    <w:rsid w:val="640D403A"/>
    <w:rsid w:val="64C83482"/>
    <w:rsid w:val="64FD7424"/>
    <w:rsid w:val="65214E3D"/>
    <w:rsid w:val="652329F8"/>
    <w:rsid w:val="65345925"/>
    <w:rsid w:val="65B63B4F"/>
    <w:rsid w:val="66A14E94"/>
    <w:rsid w:val="673E607A"/>
    <w:rsid w:val="674E29E4"/>
    <w:rsid w:val="67533BCF"/>
    <w:rsid w:val="684E2722"/>
    <w:rsid w:val="68661500"/>
    <w:rsid w:val="68A36F19"/>
    <w:rsid w:val="6A2042B7"/>
    <w:rsid w:val="6B447C40"/>
    <w:rsid w:val="6BD25396"/>
    <w:rsid w:val="6CA01ED6"/>
    <w:rsid w:val="6CFA41E8"/>
    <w:rsid w:val="6D286C17"/>
    <w:rsid w:val="6D3C5BA1"/>
    <w:rsid w:val="6EFF7E76"/>
    <w:rsid w:val="6F271B9B"/>
    <w:rsid w:val="6F354C5F"/>
    <w:rsid w:val="6F5D0F98"/>
    <w:rsid w:val="6FA04C9E"/>
    <w:rsid w:val="6FBD486A"/>
    <w:rsid w:val="6FE248AA"/>
    <w:rsid w:val="6FE31ED6"/>
    <w:rsid w:val="700D48BF"/>
    <w:rsid w:val="70CC796A"/>
    <w:rsid w:val="70F87B70"/>
    <w:rsid w:val="715714F8"/>
    <w:rsid w:val="716968E1"/>
    <w:rsid w:val="72BD591F"/>
    <w:rsid w:val="72E92CF2"/>
    <w:rsid w:val="731A6782"/>
    <w:rsid w:val="73C92512"/>
    <w:rsid w:val="741D6174"/>
    <w:rsid w:val="7442550E"/>
    <w:rsid w:val="747277FC"/>
    <w:rsid w:val="74747B70"/>
    <w:rsid w:val="74FE2899"/>
    <w:rsid w:val="75E0628D"/>
    <w:rsid w:val="763832A2"/>
    <w:rsid w:val="76BA4139"/>
    <w:rsid w:val="76BA6DA1"/>
    <w:rsid w:val="76C217B7"/>
    <w:rsid w:val="7749798E"/>
    <w:rsid w:val="77AA5218"/>
    <w:rsid w:val="781758F0"/>
    <w:rsid w:val="799B56FA"/>
    <w:rsid w:val="79FE0873"/>
    <w:rsid w:val="7AE857D5"/>
    <w:rsid w:val="7B3A76F4"/>
    <w:rsid w:val="7CD75795"/>
    <w:rsid w:val="7CF819F5"/>
    <w:rsid w:val="7D412AF2"/>
    <w:rsid w:val="7EFF3A19"/>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3"/>
    <w:qFormat/>
    <w:uiPriority w:val="0"/>
    <w:pPr>
      <w:ind w:left="-540" w:leftChars="-257" w:right="-512" w:rightChars="-244" w:firstLine="308" w:firstLineChars="171"/>
    </w:pPr>
    <w:rPr>
      <w:rFonts w:ascii="宋体" w:hAnsi="宋体"/>
      <w:sz w:val="18"/>
      <w:szCs w:val="20"/>
    </w:rPr>
  </w:style>
  <w:style w:type="paragraph" w:styleId="3">
    <w:name w:val="Body Text"/>
    <w:basedOn w:val="1"/>
    <w:next w:val="4"/>
    <w:qFormat/>
    <w:uiPriority w:val="1"/>
    <w:pPr>
      <w:ind w:left="120"/>
    </w:pPr>
    <w:rPr>
      <w:sz w:val="28"/>
      <w:szCs w:val="28"/>
    </w:r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basedOn w:val="1"/>
    <w:next w:val="1"/>
    <w:qFormat/>
    <w:uiPriority w:val="0"/>
    <w:pPr>
      <w:spacing w:line="480" w:lineRule="exact"/>
    </w:pPr>
    <w:rPr>
      <w:rFonts w:ascii="_x000B__x000C_" w:hAnsi="_x000B__x000C_"/>
      <w:b/>
      <w:bCs/>
      <w:sz w:val="24"/>
    </w:rPr>
  </w:style>
  <w:style w:type="paragraph" w:styleId="6">
    <w:name w:val="Normal Indent"/>
    <w:basedOn w:val="1"/>
    <w:next w:val="7"/>
    <w:qFormat/>
    <w:uiPriority w:val="0"/>
    <w:pPr>
      <w:ind w:firstLine="420" w:firstLineChars="200"/>
    </w:pPr>
    <w:rPr>
      <w:szCs w:val="24"/>
    </w:rPr>
  </w:style>
  <w:style w:type="paragraph" w:customStyle="1" w:styleId="7">
    <w:name w:val="样式 正文文本 + 首行缩进:  2 字符"/>
    <w:basedOn w:val="3"/>
    <w:next w:val="1"/>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8">
    <w:name w:val="List Bullet 5"/>
    <w:basedOn w:val="1"/>
    <w:qFormat/>
    <w:uiPriority w:val="0"/>
    <w:pPr>
      <w:numPr>
        <w:ilvl w:val="0"/>
        <w:numId w:val="1"/>
      </w:numPr>
    </w:pPr>
  </w:style>
  <w:style w:type="paragraph" w:styleId="9">
    <w:name w:val="footer"/>
    <w:basedOn w:val="1"/>
    <w:link w:val="20"/>
    <w:qFormat/>
    <w:uiPriority w:val="0"/>
    <w:pPr>
      <w:tabs>
        <w:tab w:val="center" w:pos="4153"/>
        <w:tab w:val="right" w:pos="8306"/>
      </w:tabs>
      <w:snapToGrid w:val="0"/>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customStyle="1" w:styleId="13">
    <w:name w:val="Default"/>
    <w:next w:val="14"/>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Char Char Char Char Char Char Char Char Char Char Char Char Char"/>
    <w:basedOn w:val="1"/>
    <w:next w:val="15"/>
    <w:qFormat/>
    <w:uiPriority w:val="0"/>
  </w:style>
  <w:style w:type="paragraph" w:customStyle="1" w:styleId="15">
    <w:name w:val="point101"/>
    <w:basedOn w:val="1"/>
    <w:next w:val="1"/>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style>
  <w:style w:type="paragraph" w:customStyle="1" w:styleId="18">
    <w:name w:val="Table Paragraph"/>
    <w:basedOn w:val="1"/>
    <w:qFormat/>
    <w:uiPriority w:val="1"/>
  </w:style>
  <w:style w:type="character" w:customStyle="1" w:styleId="19">
    <w:name w:val="页眉 Char"/>
    <w:basedOn w:val="12"/>
    <w:link w:val="10"/>
    <w:qFormat/>
    <w:uiPriority w:val="0"/>
    <w:rPr>
      <w:rFonts w:ascii="仿宋" w:hAnsi="仿宋" w:eastAsia="仿宋" w:cs="仿宋"/>
      <w:sz w:val="18"/>
      <w:szCs w:val="18"/>
      <w:lang w:val="zh-CN" w:bidi="zh-CN"/>
    </w:rPr>
  </w:style>
  <w:style w:type="character" w:customStyle="1" w:styleId="20">
    <w:name w:val="页脚 Char"/>
    <w:basedOn w:val="12"/>
    <w:link w:val="9"/>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2382</Words>
  <Characters>2682</Characters>
  <Lines>12</Lines>
  <Paragraphs>3</Paragraphs>
  <TotalTime>3</TotalTime>
  <ScaleCrop>false</ScaleCrop>
  <LinksUpToDate>false</LinksUpToDate>
  <CharactersWithSpaces>2742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123</cp:lastModifiedBy>
  <cp:lastPrinted>2022-05-09T06:37:00Z</cp:lastPrinted>
  <dcterms:modified xsi:type="dcterms:W3CDTF">2023-09-01T01:21:46Z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2052-12.1.0.15374</vt:lpwstr>
  </property>
  <property fmtid="{D5CDD505-2E9C-101B-9397-08002B2CF9AE}" pid="6" name="ICV">
    <vt:lpwstr>E19FA3C18A2B4425852C8B3DF348CBE7</vt:lpwstr>
  </property>
</Properties>
</file>