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FF0000"/>
          <w:spacing w:val="-34"/>
          <w:w w:val="80"/>
          <w:sz w:val="96"/>
          <w:szCs w:val="96"/>
          <w:lang w:eastAsia="zh-CN"/>
        </w:rPr>
      </w:pPr>
      <w:r>
        <w:rPr>
          <w:rFonts w:hint="eastAsia" w:ascii="方正小标宋简体" w:hAnsi="方正小标宋简体" w:eastAsia="方正小标宋简体" w:cs="方正小标宋简体"/>
          <w:b w:val="0"/>
          <w:bCs w:val="0"/>
          <w:color w:val="FF0000"/>
          <w:spacing w:val="-34"/>
          <w:w w:val="80"/>
          <w:sz w:val="96"/>
          <w:szCs w:val="96"/>
          <w:lang w:eastAsia="zh-CN"/>
        </w:rPr>
        <w:t>保定市徐水区</w:t>
      </w:r>
      <w:r>
        <w:rPr>
          <w:rFonts w:hint="eastAsia" w:ascii="方正小标宋简体" w:hAnsi="方正小标宋简体" w:eastAsia="方正小标宋简体" w:cs="方正小标宋简体"/>
          <w:b w:val="0"/>
          <w:bCs w:val="0"/>
          <w:color w:val="FF0000"/>
          <w:spacing w:val="-34"/>
          <w:w w:val="80"/>
          <w:sz w:val="96"/>
          <w:szCs w:val="96"/>
          <w:lang w:val="en-US" w:eastAsia="zh-CN"/>
        </w:rPr>
        <w:t>发展和改革</w:t>
      </w:r>
      <w:r>
        <w:rPr>
          <w:rFonts w:hint="eastAsia" w:ascii="方正小标宋简体" w:hAnsi="方正小标宋简体" w:eastAsia="方正小标宋简体" w:cs="方正小标宋简体"/>
          <w:b w:val="0"/>
          <w:bCs w:val="0"/>
          <w:color w:val="FF0000"/>
          <w:spacing w:val="-34"/>
          <w:w w:val="80"/>
          <w:sz w:val="96"/>
          <w:szCs w:val="96"/>
          <w:lang w:eastAsia="zh-CN"/>
        </w:rPr>
        <w:t>局</w:t>
      </w:r>
    </w:p>
    <w:p>
      <w:pPr>
        <w:spacing w:line="540" w:lineRule="exact"/>
        <w:jc w:val="center"/>
        <w:rPr>
          <w:rFonts w:hint="eastAsia" w:ascii="方正小标宋简体" w:hAnsi="方正小标宋简体" w:eastAsia="方正小标宋简体" w:cs="方正小标宋简体"/>
          <w:b w:val="0"/>
          <w:bCs w:val="0"/>
          <w:color w:val="FF0000"/>
          <w:w w:val="80"/>
          <w:sz w:val="52"/>
          <w:szCs w:val="52"/>
          <w:lang w:eastAsia="zh-CN"/>
        </w:rPr>
      </w:pPr>
    </w:p>
    <w:p>
      <w:pPr>
        <w:spacing w:line="540" w:lineRule="exact"/>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徐</w:t>
      </w:r>
      <w:r>
        <w:rPr>
          <w:rFonts w:hint="eastAsia" w:ascii="仿宋_GB2312" w:hAnsi="仿宋_GB2312" w:eastAsia="仿宋_GB2312" w:cs="仿宋_GB2312"/>
          <w:b w:val="0"/>
          <w:bCs w:val="0"/>
          <w:sz w:val="32"/>
          <w:szCs w:val="32"/>
          <w:lang w:val="en-US" w:eastAsia="zh-CN"/>
        </w:rPr>
        <w:t>水发改〔2023〕</w:t>
      </w:r>
      <w:r>
        <w:rPr>
          <w:rFonts w:hint="default" w:ascii="仿宋_GB2312" w:hAnsi="仿宋_GB2312" w:eastAsia="仿宋_GB2312" w:cs="仿宋_GB2312"/>
          <w:b w:val="0"/>
          <w:bCs w:val="0"/>
          <w:sz w:val="32"/>
          <w:szCs w:val="32"/>
          <w:lang w:val="en-US" w:eastAsia="zh-CN"/>
        </w:rPr>
        <w:t>87</w:t>
      </w:r>
      <w:r>
        <w:rPr>
          <w:rFonts w:hint="eastAsia" w:ascii="仿宋_GB2312" w:hAnsi="仿宋_GB2312" w:eastAsia="仿宋_GB2312" w:cs="仿宋_GB2312"/>
          <w:b w:val="0"/>
          <w:bCs w:val="0"/>
          <w:sz w:val="32"/>
          <w:szCs w:val="32"/>
          <w:lang w:val="en-US" w:eastAsia="zh-CN"/>
        </w:rPr>
        <w:t>号</w:t>
      </w:r>
    </w:p>
    <w:p>
      <w:pPr>
        <w:spacing w:line="520" w:lineRule="exact"/>
        <w:jc w:val="center"/>
        <w:rPr>
          <w:rFonts w:hint="eastAsia" w:ascii="宋体" w:hAnsi="宋体" w:eastAsia="宋体" w:cs="宋体"/>
          <w:b/>
          <w:bCs/>
          <w:sz w:val="44"/>
          <w:szCs w:val="44"/>
          <w:lang w:eastAsia="zh-CN"/>
        </w:rPr>
      </w:pPr>
      <w:r>
        <w:rPr>
          <w:rFonts w:hint="eastAsia" w:ascii="仿宋" w:hAnsi="仿宋" w:eastAsia="仿宋" w:cs="仿宋"/>
          <w:b w:val="0"/>
          <w:bCs w:val="0"/>
          <w:sz w:val="32"/>
          <w:szCs w:val="32"/>
        </w:rPr>
        <mc:AlternateContent>
          <mc:Choice Requires="wps">
            <w:drawing>
              <wp:anchor distT="0" distB="0" distL="114300" distR="114300" simplePos="0" relativeHeight="251662336" behindDoc="0" locked="0" layoutInCell="1" allowOverlap="1">
                <wp:simplePos x="0" y="0"/>
                <wp:positionH relativeFrom="column">
                  <wp:posOffset>-153670</wp:posOffset>
                </wp:positionH>
                <wp:positionV relativeFrom="paragraph">
                  <wp:posOffset>165100</wp:posOffset>
                </wp:positionV>
                <wp:extent cx="5969635" cy="11430"/>
                <wp:effectExtent l="0" t="0" r="0" b="0"/>
                <wp:wrapNone/>
                <wp:docPr id="6" name="直接连接符 6"/>
                <wp:cNvGraphicFramePr/>
                <a:graphic xmlns:a="http://schemas.openxmlformats.org/drawingml/2006/main">
                  <a:graphicData uri="http://schemas.microsoft.com/office/word/2010/wordprocessingShape">
                    <wps:wsp>
                      <wps:cNvCnPr/>
                      <wps:spPr>
                        <a:xfrm flipV="1">
                          <a:off x="568960" y="4349750"/>
                          <a:ext cx="5969635" cy="1143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12.1pt;margin-top:13pt;height:0.9pt;width:470.05pt;z-index:251662336;mso-width-relative:page;mso-height-relative:page;" filled="f" stroked="t" coordsize="21600,21600" o:gfxdata="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aQjB2gAAAAkBAAAPAAAAAAAAAAEAIAAAACIAAABkcnMv&#10;ZG93bnJldi54bWxQSwECFAAUAAAACACHTuJAUx7dgQECAADLAwAADgAAAAAAAAABACAAAAApAQAA&#10;ZHJzL2Uyb0RvYy54bWxQSwUGAAAAAAYABgBZAQAAnAUAAAAA&#10;">
                <v:fill on="f" focussize="0,0"/>
                <v:stroke weight="2.25pt" color="#FF0000 [3205]" miterlimit="8" joinstyle="miter"/>
                <v:imagedata o:title=""/>
                <o:lock v:ext="edit" aspectratio="f"/>
              </v:line>
            </w:pict>
          </mc:Fallback>
        </mc:AlternateContent>
      </w:r>
    </w:p>
    <w:p>
      <w:pPr>
        <w:spacing w:line="520" w:lineRule="exact"/>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印发</w:t>
      </w:r>
      <w:r>
        <w:rPr>
          <w:rFonts w:hint="eastAsia" w:ascii="宋体" w:hAnsi="宋体" w:eastAsia="宋体" w:cs="宋体"/>
          <w:b/>
          <w:bCs/>
          <w:sz w:val="44"/>
          <w:szCs w:val="44"/>
          <w:lang w:eastAsia="zh-CN"/>
        </w:rPr>
        <w:t>《2023年“双随机、一公开”监管工作实施方案》</w:t>
      </w:r>
      <w:r>
        <w:rPr>
          <w:rFonts w:hint="eastAsia" w:ascii="宋体" w:hAnsi="宋体" w:cs="宋体"/>
          <w:b/>
          <w:bCs/>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 w:hAnsi="仿宋" w:eastAsia="仿宋" w:cs="宋体"/>
          <w:kern w:val="0"/>
          <w:sz w:val="32"/>
          <w:szCs w:val="32"/>
          <w:lang w:val="en-US"/>
        </w:rPr>
      </w:pPr>
      <w:r>
        <w:rPr>
          <w:rFonts w:hint="default" w:ascii="仿宋" w:hAnsi="仿宋" w:eastAsia="仿宋" w:cs="宋体"/>
          <w:kern w:val="0"/>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各股室、下属事业单位：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《2023年“双随机、一公开”监管工作实施方案》已经局党组研究同意，现印发给你们，请认真贯彻执行。</w:t>
      </w:r>
    </w:p>
    <w:p>
      <w:pPr>
        <w:spacing w:line="600" w:lineRule="exact"/>
        <w:jc w:val="both"/>
        <w:rPr>
          <w:rFonts w:hint="eastAsia" w:ascii="仿宋_GB2312" w:hAnsi="仿宋_GB2312" w:eastAsia="仿宋_GB2312" w:cs="仿宋_GB2312"/>
          <w:kern w:val="0"/>
          <w:sz w:val="32"/>
          <w:szCs w:val="32"/>
          <w:lang w:val="en-US" w:eastAsia="zh-CN"/>
        </w:rPr>
      </w:pPr>
    </w:p>
    <w:p>
      <w:pPr>
        <w:spacing w:line="600" w:lineRule="exact"/>
        <w:jc w:val="both"/>
        <w:rPr>
          <w:rFonts w:hint="eastAsia" w:ascii="仿宋_GB2312" w:hAnsi="仿宋_GB2312" w:eastAsia="仿宋_GB2312" w:cs="仿宋_GB2312"/>
          <w:kern w:val="0"/>
          <w:sz w:val="32"/>
          <w:szCs w:val="32"/>
          <w:lang w:val="en-US" w:eastAsia="zh-CN"/>
        </w:rPr>
      </w:pPr>
    </w:p>
    <w:p>
      <w:pPr>
        <w:spacing w:line="600" w:lineRule="exact"/>
        <w:jc w:val="both"/>
        <w:rPr>
          <w:rFonts w:hint="eastAsia" w:ascii="仿宋_GB2312" w:hAnsi="仿宋_GB2312" w:eastAsia="仿宋_GB2312" w:cs="仿宋_GB2312"/>
          <w:kern w:val="0"/>
          <w:sz w:val="32"/>
          <w:szCs w:val="32"/>
          <w:lang w:val="en-US" w:eastAsia="zh-CN"/>
        </w:rPr>
      </w:pPr>
    </w:p>
    <w:p>
      <w:pPr>
        <w:wordWrap w:val="0"/>
        <w:spacing w:line="600" w:lineRule="exact"/>
        <w:jc w:val="righ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保定市徐水区发展和改革局</w:t>
      </w:r>
      <w:r>
        <w:rPr>
          <w:rFonts w:hint="default" w:ascii="仿宋_GB2312" w:hAnsi="仿宋_GB2312" w:eastAsia="仿宋_GB2312" w:cs="仿宋_GB2312"/>
          <w:kern w:val="0"/>
          <w:sz w:val="32"/>
          <w:szCs w:val="32"/>
          <w:lang w:val="en-US" w:eastAsia="zh-CN"/>
        </w:rPr>
        <w:t xml:space="preserve">    </w:t>
      </w:r>
    </w:p>
    <w:p>
      <w:pPr>
        <w:wordWrap w:val="0"/>
        <w:spacing w:line="600" w:lineRule="exact"/>
        <w:jc w:val="right"/>
        <w:rPr>
          <w:rFonts w:hint="default" w:ascii="方正小标宋简体" w:hAnsi="方正小标宋简体" w:eastAsia="方正小标宋简体" w:cs="方正小标宋简体"/>
          <w:sz w:val="44"/>
          <w:szCs w:val="44"/>
          <w:lang w:val="en-US"/>
        </w:rPr>
      </w:pPr>
      <w:r>
        <w:rPr>
          <w:rFonts w:hint="eastAsia" w:ascii="仿宋_GB2312" w:hAnsi="仿宋_GB2312" w:eastAsia="仿宋_GB2312" w:cs="仿宋_GB2312"/>
          <w:kern w:val="0"/>
          <w:sz w:val="32"/>
          <w:szCs w:val="32"/>
          <w:lang w:val="en-US" w:eastAsia="zh-CN"/>
        </w:rPr>
        <w:t>2023年</w:t>
      </w: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lang w:val="en-US" w:eastAsia="zh-CN"/>
        </w:rPr>
        <w:t>日</w:t>
      </w:r>
      <w:r>
        <w:rPr>
          <w:rFonts w:hint="default" w:ascii="仿宋_GB2312" w:hAnsi="仿宋_GB2312" w:eastAsia="仿宋_GB2312" w:cs="仿宋_GB2312"/>
          <w:kern w:val="0"/>
          <w:sz w:val="32"/>
          <w:szCs w:val="32"/>
          <w:lang w:val="en-US" w:eastAsia="zh-CN"/>
        </w:rPr>
        <w:t xml:space="preserve">        </w:t>
      </w:r>
    </w:p>
    <w:p>
      <w:pP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2023年“双随机、一公开”监管工作实施方案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政府关于“双随机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监管工作的部署要求，助力“放管服”改革和营商环境优化，进一步深化、创新“双随机、一公开”监管，推进“双随机、一公开”监管与企业信用风险分级分类相结合，实现部门内部联合和部门联合“双随机、一公开”监管抽查事项全覆盖、监管方式常态化、抽查检查精准化，结合保定市2023年“双随机、一公开”监管工作实施方案，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一、工作思路及目标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rPr>
        <w:t>（一）以河北省双随机执法监管平台为依托，持续完善“一单两库一指引”。</w:t>
      </w:r>
      <w:r>
        <w:rPr>
          <w:rFonts w:hint="eastAsia" w:ascii="仿宋_GB2312" w:hAnsi="仿宋_GB2312" w:eastAsia="仿宋_GB2312" w:cs="仿宋_GB2312"/>
          <w:sz w:val="32"/>
          <w:szCs w:val="32"/>
        </w:rPr>
        <w:t>动态调整随机抽查事项清单、检查对象名录库、执法检查人员名录库和随机抽查工作指引，不断完善对检查对象和执法检查人员的分类标注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（二）以部门联合抽查为重点，不断扩大部门联合随机抽查的覆盖面、占比率</w:t>
      </w:r>
      <w:r>
        <w:rPr>
          <w:rFonts w:hint="eastAsia" w:ascii="方正楷体_GBK" w:hAnsi="方正楷体_GBK" w:eastAsia="方正楷体_GBK" w:cs="方正楷体_GBK"/>
          <w:sz w:val="32"/>
          <w:szCs w:val="32"/>
          <w:lang w:eastAsia="zh-CN"/>
        </w:rPr>
        <w:t>。</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股室</w:t>
      </w:r>
      <w:r>
        <w:rPr>
          <w:rFonts w:hint="eastAsia" w:ascii="仿宋_GB2312" w:hAnsi="仿宋_GB2312" w:eastAsia="仿宋_GB2312" w:cs="仿宋_GB2312"/>
          <w:sz w:val="32"/>
          <w:szCs w:val="32"/>
        </w:rPr>
        <w:t>间的协调联动，使联合抽查成为各</w:t>
      </w:r>
      <w:r>
        <w:rPr>
          <w:rFonts w:hint="eastAsia" w:ascii="仿宋_GB2312" w:hAnsi="仿宋_GB2312" w:eastAsia="仿宋_GB2312" w:cs="仿宋_GB2312"/>
          <w:sz w:val="32"/>
          <w:szCs w:val="32"/>
          <w:lang w:val="en-US" w:eastAsia="zh-CN"/>
        </w:rPr>
        <w:t>股室及部门</w:t>
      </w:r>
      <w:r>
        <w:rPr>
          <w:rFonts w:hint="eastAsia" w:ascii="仿宋_GB2312" w:hAnsi="仿宋_GB2312" w:eastAsia="仿宋_GB2312" w:cs="仿宋_GB2312"/>
          <w:sz w:val="32"/>
          <w:szCs w:val="32"/>
        </w:rPr>
        <w:t>间协同监管的主要方式。通过河北省双随机执法监管平台统一工作流程，确保部门联合抽查规范有序开展。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（三）以提高监管效能为目标，持续完善企业信用风险差异化随机抽查机制。</w:t>
      </w:r>
      <w:r>
        <w:rPr>
          <w:rFonts w:hint="eastAsia" w:ascii="仿宋_GB2312" w:hAnsi="仿宋_GB2312" w:eastAsia="仿宋_GB2312" w:cs="仿宋_GB2312"/>
          <w:sz w:val="32"/>
          <w:szCs w:val="32"/>
        </w:rPr>
        <w:t>在巩固企业信用风险分类结果在“双随机、一公开”监管常态化运用的基础上，进一步拓展、深化运用场景，不断提升随机抽查的靶向性、精准性，在监管既“无事不扰”又“无处不在”上迈出新步伐。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（四）以规范化建设为基础，不断提升工作水平。</w:t>
      </w:r>
      <w:r>
        <w:rPr>
          <w:rFonts w:hint="eastAsia" w:ascii="仿宋_GB2312" w:hAnsi="仿宋_GB2312" w:eastAsia="仿宋_GB2312" w:cs="仿宋_GB2312"/>
          <w:sz w:val="32"/>
          <w:szCs w:val="32"/>
        </w:rPr>
        <w:t>深入贯彻落实《随机抽查工作规范—河北省地方标准》，加强“双随机、一公开”监管业务培训和舆论宣传力度，不断提高“双随机、一公开”监管规范化水平，确保监管执法公平、公正、公开。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（一）强化基础支撑。</w:t>
      </w:r>
      <w:r>
        <w:rPr>
          <w:rFonts w:hint="eastAsia" w:ascii="仿宋_GB2312" w:hAnsi="仿宋_GB2312" w:eastAsia="仿宋_GB2312" w:cs="仿宋_GB2312"/>
          <w:color w:val="auto"/>
          <w:sz w:val="32"/>
          <w:szCs w:val="32"/>
        </w:rPr>
        <w:t>依托河北省双随机执法监管平台（以下简称监管平台），根据机构改革后部门和职能调整情况，各</w:t>
      </w:r>
      <w:r>
        <w:rPr>
          <w:rFonts w:hint="eastAsia" w:ascii="仿宋_GB2312" w:hAnsi="仿宋_GB2312" w:eastAsia="仿宋_GB2312" w:cs="仿宋_GB2312"/>
          <w:color w:val="auto"/>
          <w:sz w:val="32"/>
          <w:szCs w:val="32"/>
          <w:lang w:val="en-US" w:eastAsia="zh-CN"/>
        </w:rPr>
        <w:t>执法股室</w:t>
      </w:r>
      <w:r>
        <w:rPr>
          <w:rFonts w:hint="eastAsia" w:ascii="仿宋_GB2312" w:hAnsi="仿宋_GB2312" w:eastAsia="仿宋_GB2312" w:cs="仿宋_GB2312"/>
          <w:color w:val="auto"/>
          <w:sz w:val="32"/>
          <w:szCs w:val="32"/>
        </w:rPr>
        <w:t>要及时在平台中持续完善“一单两库”等基础信息。各</w:t>
      </w:r>
      <w:r>
        <w:rPr>
          <w:rFonts w:hint="eastAsia" w:ascii="仿宋_GB2312" w:hAnsi="仿宋_GB2312" w:eastAsia="仿宋_GB2312" w:cs="仿宋_GB2312"/>
          <w:color w:val="auto"/>
          <w:sz w:val="32"/>
          <w:szCs w:val="32"/>
          <w:lang w:val="en-US" w:eastAsia="zh-CN"/>
        </w:rPr>
        <w:t>执法股室</w:t>
      </w:r>
      <w:r>
        <w:rPr>
          <w:rFonts w:hint="eastAsia" w:ascii="仿宋_GB2312" w:hAnsi="仿宋_GB2312" w:eastAsia="仿宋_GB2312" w:cs="仿宋_GB2312"/>
          <w:color w:val="auto"/>
          <w:sz w:val="32"/>
          <w:szCs w:val="32"/>
        </w:rPr>
        <w:t>要在</w:t>
      </w:r>
      <w:r>
        <w:rPr>
          <w:rFonts w:hint="eastAsia" w:ascii="仿宋_GB2312" w:hAnsi="仿宋_GB2312" w:eastAsia="仿宋_GB2312" w:cs="仿宋_GB2312"/>
          <w:color w:val="auto"/>
          <w:sz w:val="32"/>
          <w:szCs w:val="32"/>
          <w:lang w:val="en-US" w:eastAsia="zh-CN"/>
        </w:rPr>
        <w:t>区市场监管局</w:t>
      </w:r>
      <w:r>
        <w:rPr>
          <w:rFonts w:hint="eastAsia" w:ascii="仿宋_GB2312" w:hAnsi="仿宋_GB2312" w:eastAsia="仿宋_GB2312" w:cs="仿宋_GB2312"/>
          <w:color w:val="auto"/>
          <w:sz w:val="32"/>
          <w:szCs w:val="32"/>
        </w:rPr>
        <w:t>随</w:t>
      </w:r>
      <w:r>
        <w:rPr>
          <w:rFonts w:hint="eastAsia" w:ascii="仿宋_GB2312" w:hAnsi="仿宋_GB2312" w:eastAsia="仿宋_GB2312" w:cs="仿宋_GB2312"/>
          <w:sz w:val="32"/>
          <w:szCs w:val="32"/>
        </w:rPr>
        <w:t>机抽查事项清单和工作指引调整完毕后，依据自身</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监管职责及时对涉及</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监管事权的事项进行认领，形成本级的抽查事项清单，要动态调整</w:t>
      </w:r>
      <w:r>
        <w:rPr>
          <w:rFonts w:hint="eastAsia" w:ascii="仿宋_GB2312" w:hAnsi="仿宋_GB2312" w:eastAsia="仿宋_GB2312" w:cs="仿宋_GB2312"/>
          <w:sz w:val="32"/>
          <w:szCs w:val="32"/>
          <w:lang w:val="en-US" w:eastAsia="zh-CN"/>
        </w:rPr>
        <w:t>本股室区级</w:t>
      </w:r>
      <w:r>
        <w:rPr>
          <w:rFonts w:hint="eastAsia" w:ascii="仿宋_GB2312" w:hAnsi="仿宋_GB2312" w:eastAsia="仿宋_GB2312" w:cs="仿宋_GB2312"/>
          <w:sz w:val="32"/>
          <w:szCs w:val="32"/>
        </w:rPr>
        <w:t>检查对象名录库和执法检查人员名</w:t>
      </w:r>
      <w:bookmarkStart w:id="0" w:name="_GoBack"/>
      <w:bookmarkEnd w:id="0"/>
      <w:r>
        <w:rPr>
          <w:rFonts w:hint="eastAsia" w:ascii="仿宋_GB2312" w:hAnsi="仿宋_GB2312" w:eastAsia="仿宋_GB2312" w:cs="仿宋_GB2312"/>
          <w:sz w:val="32"/>
          <w:szCs w:val="32"/>
        </w:rPr>
        <w:t>录库，确保检查对象和执法人员“应纳尽纳”，</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利用分类标签库完成对本级检查对象和执法检查人员的分类标注，实现对检查对象的精准抽取、对执法人员的精准匹配，提升监管效能。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（二）规范抽查检查工作程序。</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val="en-US" w:eastAsia="zh-CN"/>
        </w:rPr>
        <w:t>局制定的全区抽查计划</w:t>
      </w:r>
      <w:r>
        <w:rPr>
          <w:rFonts w:hint="eastAsia" w:ascii="仿宋_GB2312" w:hAnsi="仿宋_GB2312" w:eastAsia="仿宋_GB2312" w:cs="仿宋_GB2312"/>
          <w:sz w:val="32"/>
          <w:szCs w:val="32"/>
        </w:rPr>
        <w:t>，统筹制定</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2023年度实施方案和抽查工作计划，合理安排抽查任务，确保完成年度抽查监管主体占比3％的目标。要根据年度随机抽查工作计划，科学合理地组织实施抽查检查，抽取的过程要确保公开、公正、需调整年度抽查计划的，要严格履行相关工作程序，调整后的年度抽查工作计划要及时向社会公开。每次抽查都要制定具体工作方案，抽查工作方案和抽查结果要通过政府或部门网站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（三）着力提升监管效能。</w:t>
      </w:r>
      <w:r>
        <w:rPr>
          <w:rFonts w:hint="eastAsia" w:ascii="仿宋_GB2312" w:hAnsi="仿宋_GB2312" w:eastAsia="仿宋_GB2312" w:cs="仿宋_GB2312"/>
          <w:sz w:val="32"/>
          <w:szCs w:val="32"/>
        </w:rPr>
        <w:t>要坚持做到“能联尽联、应联必联”，积极开展联合抽查，针对检查事项相近、行业类别相同或同一检查对象涉及多个业务条线检查事项的，要开展内部联合抽查，实现“进一次门，查多项事”，切实减少对企业正常经营的干扰。积极推进“双随机、一公开”监管与企业信用风险分级分类相结合，以制定年度随机抽查计划为抓手，将企业信用风险分级分类结果与“双随机、一公开”监管深度融合。推动重点监管与“双随机、一公开”监管有效对接，对重点检查事项、重要监管领域及高风险主体要通过加大抽查比例和频次等监管措施，守住安全底线。充分利用信息化手段，通过大数据分析、重点指标监测等手段，加大对抽查检查结果的运用，探索推进企业信用风险监测预警，在预判式监管上实现新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（四）加强随机抽查结果运用和发现问题后续处置工作。</w:t>
      </w:r>
      <w:r>
        <w:rPr>
          <w:rFonts w:hint="eastAsia" w:ascii="仿宋_GB2312" w:hAnsi="仿宋_GB2312" w:eastAsia="仿宋_GB2312" w:cs="仿宋_GB2312"/>
          <w:sz w:val="32"/>
          <w:szCs w:val="32"/>
          <w:lang w:val="en-US" w:eastAsia="zh-CN"/>
        </w:rPr>
        <w:t>各执法股室</w:t>
      </w:r>
      <w:r>
        <w:rPr>
          <w:rFonts w:hint="eastAsia" w:ascii="仿宋_GB2312" w:hAnsi="仿宋_GB2312" w:eastAsia="仿宋_GB2312" w:cs="仿宋_GB2312"/>
          <w:sz w:val="32"/>
          <w:szCs w:val="32"/>
        </w:rPr>
        <w:t>要按照“谁检查、谁录入，谁公开”的原则，及时录入抽查检查结果并公示，接受社会监督，增强市场主体的主体自律意识，促其提高守法经营的自觉性。按照“谁检查、谁建立、谁保存”的原则建立完善双随机抽查工作档案，指定专人保管档案，档案保存期限一般为2年，对保存期限另有规定的，从其规定。各</w:t>
      </w:r>
      <w:r>
        <w:rPr>
          <w:rFonts w:hint="eastAsia" w:ascii="仿宋_GB2312" w:hAnsi="仿宋_GB2312" w:eastAsia="仿宋_GB2312" w:cs="仿宋_GB2312"/>
          <w:sz w:val="32"/>
          <w:szCs w:val="32"/>
          <w:lang w:val="en-US" w:eastAsia="zh-CN"/>
        </w:rPr>
        <w:t>执法股室</w:t>
      </w:r>
      <w:r>
        <w:rPr>
          <w:rFonts w:hint="eastAsia" w:ascii="仿宋_GB2312" w:hAnsi="仿宋_GB2312" w:eastAsia="仿宋_GB2312" w:cs="仿宋_GB2312"/>
          <w:sz w:val="32"/>
          <w:szCs w:val="32"/>
        </w:rPr>
        <w:t>要加大随机抽查后续处置力度，对抽查中发现的问题要建立工作台账，确保后续处理到位。对抽查发现的违法违规行为，要加强随机抽查与后续监管的有效衔接，依法定程序及时移交有处置权限的机构和相关部门，涉嫌犯罪的及时移送司法机关，防止后续监管脱节。着力推进“双随机、一公开”监管与信用监管的有效衔接，对抽查发现的违法失信行为实施联合惩戒，强化信用监管的基础性地位和市场主体诚信守法经营自律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rPr>
        <w:t>（五）加大宣传和业务培训力度。</w:t>
      </w:r>
      <w:r>
        <w:rPr>
          <w:rFonts w:hint="eastAsia" w:ascii="仿宋_GB2312" w:hAnsi="仿宋_GB2312" w:eastAsia="仿宋_GB2312" w:cs="仿宋_GB2312"/>
          <w:sz w:val="32"/>
          <w:szCs w:val="32"/>
        </w:rPr>
        <w:t>要加强对“双随机、一公开”监管的宣传报道力度，通过新闻媒体报道、官网发布、政策解读等途径，将“双随机、一公开”监管的重要意义、操作流程、检查标准等向社会讲清、讲到位，提高企业认知度，促进全社会对监管对象、政府监管行为的监督。要积极宣传、推介本部门的好经验、好做法，提升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双随机、一公开”监管工作的影响力，要持续开展随机抽查工作培训，加强执法队伍建设，制定培训计划，在年度培训计划中安排好随机抽查业务培训和河北省双随机监管工作平台操作使用培训，提高执法检查人员“一专多能”的执法检查水平和解决实际问题能力，解决平台使用不熟练、报废方案多的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rPr>
        <w:t>（一）加强组织领导。</w:t>
      </w:r>
      <w:r>
        <w:rPr>
          <w:rFonts w:hint="eastAsia" w:ascii="仿宋_GB2312" w:hAnsi="仿宋_GB2312" w:eastAsia="仿宋_GB2312" w:cs="仿宋_GB2312"/>
          <w:sz w:val="32"/>
          <w:szCs w:val="32"/>
        </w:rPr>
        <w:t>要进一步加强组织领导和统筹协调，完善工作制度和运行机制，细化工作目标和推进举措，加强工作协调配合，推进“双随机、一公开”监管工作落实，确保全年各项抽查工作任务落到实处、取得实效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（二）增强责任意识。</w:t>
      </w:r>
      <w:r>
        <w:rPr>
          <w:rFonts w:hint="eastAsia" w:ascii="仿宋_GB2312" w:hAnsi="仿宋_GB2312" w:eastAsia="仿宋_GB2312" w:cs="仿宋_GB2312"/>
          <w:sz w:val="32"/>
          <w:szCs w:val="32"/>
        </w:rPr>
        <w:t>要切实提高认识、增强使命感，科学、严谨制定每期随机抽查实施方案，严格按照确定的抽查事项、检查流程和相关要求开展抽查检查，坚决杜绝抽查检查不到位、走形式、随意录入结果等现象。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（三）强化跟踪问效。</w:t>
      </w:r>
      <w:r>
        <w:rPr>
          <w:rFonts w:hint="eastAsia" w:ascii="仿宋_GB2312" w:hAnsi="仿宋_GB2312" w:eastAsia="仿宋_GB2312" w:cs="仿宋_GB2312"/>
          <w:sz w:val="32"/>
          <w:szCs w:val="32"/>
        </w:rPr>
        <w:t>要建立健全“双随机、一公开”监管工作效果评估机制，不断完善对随机抽查工作全流程的管控，提高随机抽查的工作效能。要探索推行随机抽查回访机制，提升随机抽查中的问题发现率，体现出随机抽查的震慑力，采取适当方式，加强对本部门、本系统“双随机、一公开”监管工作的督促指导，以督查促问题发现、以督查促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20955</wp:posOffset>
                </wp:positionV>
                <wp:extent cx="5553075" cy="9525"/>
                <wp:effectExtent l="0" t="0" r="0" b="0"/>
                <wp:wrapNone/>
                <wp:docPr id="2" name="直接连接符 2"/>
                <wp:cNvGraphicFramePr/>
                <a:graphic xmlns:a="http://schemas.openxmlformats.org/drawingml/2006/main">
                  <a:graphicData uri="http://schemas.microsoft.com/office/word/2010/wordprocessingShape">
                    <wps:wsp>
                      <wps:cNvCnPr/>
                      <wps:spPr>
                        <a:xfrm>
                          <a:off x="1003935" y="5480685"/>
                          <a:ext cx="5553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1.65pt;height:0.75pt;width:437.25pt;z-index:251661312;mso-width-relative:page;mso-height-relative:page;" filled="f" stroked="t" coordsize="21600,21600" o:gfxdata="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iTsz1AAAAAUBAAAPAAAAAAAAAAEAIAAAACIAAABkcnMvZG93bnJldi54bWxQSwECFAAU&#10;AAAACACHTuJA511v/vUBAADAAwAADgAAAAAAAAABACAAAAAjAQAAZHJzL2Uyb0RvYy54bWxQSwUG&#10;AAAAAAYABgBZAQAAigUAAAAA&#10;">
                <v:fill on="f" focussize="0,0"/>
                <v:stroke weight="0.5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332105</wp:posOffset>
                </wp:positionV>
                <wp:extent cx="5610225" cy="9525"/>
                <wp:effectExtent l="0" t="0" r="0" b="0"/>
                <wp:wrapNone/>
                <wp:docPr id="1" name="直接连接符 1"/>
                <wp:cNvGraphicFramePr/>
                <a:graphic xmlns:a="http://schemas.openxmlformats.org/drawingml/2006/main">
                  <a:graphicData uri="http://schemas.microsoft.com/office/word/2010/wordprocessingShape">
                    <wps:wsp>
                      <wps:cNvCnPr/>
                      <wps:spPr>
                        <a:xfrm flipV="1">
                          <a:off x="1003935" y="6899910"/>
                          <a:ext cx="5610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5pt;margin-top:26.15pt;height:0.75pt;width:441.75pt;z-index:251660288;mso-width-relative:page;mso-height-relative:page;" filled="f" stroked="t" coordsize="21600,21600" o:gfxdata="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iVfr1wAAAAgBAAAPAAAAAAAAAAEAIAAAACIAAABkcnMvZG93bnJldi54bWxQ&#10;SwECFAAUAAAACACHTuJAxeeIW/gBAADKAwAADgAAAAAAAAABACAAAAAmAQAAZHJzL2Uyb0RvYy54&#10;bWxQSwUGAAAAAAYABgBZAQAAkA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lang w:val="en-US" w:eastAsia="zh-CN"/>
        </w:rPr>
        <w:t>保定市徐水区发展和改革局办公室</w:t>
      </w:r>
      <w:r>
        <w:rPr>
          <w:rFonts w:hint="default"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rPr>
        <w:t>2023</w:t>
      </w:r>
      <w:r>
        <w:rPr>
          <w:rFonts w:hint="eastAsia" w:ascii="仿宋_GB2312" w:hAnsi="仿宋_GB2312" w:eastAsia="仿宋_GB2312" w:cs="仿宋_GB2312"/>
          <w:sz w:val="28"/>
          <w:szCs w:val="28"/>
          <w:lang w:val="en-US" w:eastAsia="zh-CN"/>
        </w:rPr>
        <w:t>年</w:t>
      </w:r>
      <w:r>
        <w:rPr>
          <w:rFonts w:hint="default"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月</w:t>
      </w:r>
      <w:r>
        <w:rPr>
          <w:rFonts w:hint="default"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lang w:val="en-US" w:eastAsia="zh-CN"/>
        </w:rPr>
        <w:t>日印发</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D370B"/>
    <w:rsid w:val="188F642A"/>
    <w:rsid w:val="25AC1036"/>
    <w:rsid w:val="2AAC264F"/>
    <w:rsid w:val="3081502B"/>
    <w:rsid w:val="34E14325"/>
    <w:rsid w:val="3CC36A41"/>
    <w:rsid w:val="43260843"/>
    <w:rsid w:val="5EDE29C8"/>
    <w:rsid w:val="6163124A"/>
    <w:rsid w:val="75B0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rPr>
  </w:style>
  <w:style w:type="paragraph" w:styleId="3">
    <w:name w:val="Body Text First Indent 2"/>
    <w:basedOn w:val="4"/>
    <w:unhideWhenUsed/>
    <w:qFormat/>
    <w:uiPriority w:val="0"/>
    <w:pPr>
      <w:ind w:firstLine="420" w:firstLineChars="200"/>
    </w:pPr>
    <w:rPr>
      <w:szCs w:val="24"/>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2023-05-05T08:28:00Z</dcterms:created>
  <dc:creator>Administrator</dc:creator>
  <cp:lastModifiedBy>Administrator</cp:lastModifiedBy>
  <cp:lastPrinted>2023-05-06T01:14:00Z</cp:lastPrinted>
  <dcterms:modified xsi:type="dcterms:W3CDTF">2023-06-05T02:59:33Z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C79258106FD74C959704EE62B05212C0</vt:lpwstr>
  </property>
</Properties>
</file>