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3"/>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76"/>
        <w:gridCol w:w="296"/>
        <w:gridCol w:w="142"/>
        <w:gridCol w:w="461"/>
        <w:gridCol w:w="511"/>
        <w:gridCol w:w="343"/>
        <w:gridCol w:w="671"/>
        <w:gridCol w:w="1136"/>
        <w:gridCol w:w="72"/>
        <w:gridCol w:w="212"/>
        <w:gridCol w:w="355"/>
        <w:gridCol w:w="426"/>
        <w:gridCol w:w="141"/>
        <w:gridCol w:w="142"/>
        <w:gridCol w:w="152"/>
        <w:gridCol w:w="415"/>
        <w:gridCol w:w="142"/>
        <w:gridCol w:w="709"/>
        <w:gridCol w:w="1275"/>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jc w:val="left"/>
              <w:rPr>
                <w:rFonts w:ascii="宋体" w:hAnsi="宋体" w:cs="宋体"/>
                <w:sz w:val="24"/>
              </w:rPr>
            </w:pPr>
            <w:r>
              <w:rPr>
                <w:rFonts w:hint="eastAsia"/>
                <w:sz w:val="24"/>
              </w:rPr>
              <w:t>文物保护单位</w:t>
            </w:r>
            <w:r>
              <w:rPr>
                <w:rFonts w:hint="eastAsia"/>
                <w:sz w:val="24"/>
                <w:lang w:eastAsia="zh-CN"/>
              </w:rPr>
              <w:t>及</w:t>
            </w:r>
            <w:r>
              <w:rPr>
                <w:rFonts w:hint="eastAsia"/>
                <w:sz w:val="24"/>
              </w:rPr>
              <w:t>未核定为文物保护单位的不可移动文物修缮许可</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6"/>
            <w:vAlign w:val="center"/>
          </w:tcPr>
          <w:p>
            <w:pPr>
              <w:jc w:val="center"/>
              <w:rPr>
                <w:color w:val="000000"/>
                <w:sz w:val="24"/>
              </w:rPr>
            </w:pPr>
            <w:r>
              <w:rPr>
                <w:rFonts w:hint="eastAsia"/>
                <w:color w:val="000000"/>
                <w:sz w:val="24"/>
              </w:rPr>
              <w:t>基本编码</w:t>
            </w:r>
          </w:p>
        </w:tc>
        <w:tc>
          <w:tcPr>
            <w:tcW w:w="1994" w:type="dxa"/>
            <w:gridSpan w:val="3"/>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000168006002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6"/>
            <w:vAlign w:val="center"/>
          </w:tcPr>
          <w:p>
            <w:pPr>
              <w:jc w:val="center"/>
              <w:rPr>
                <w:color w:val="000000"/>
                <w:sz w:val="24"/>
              </w:rPr>
            </w:pPr>
            <w:r>
              <w:rPr>
                <w:rFonts w:hint="eastAsia"/>
                <w:color w:val="000000"/>
                <w:sz w:val="24"/>
              </w:rPr>
              <w:t>实施编码</w:t>
            </w:r>
          </w:p>
        </w:tc>
        <w:tc>
          <w:tcPr>
            <w:tcW w:w="1994" w:type="dxa"/>
            <w:gridSpan w:val="3"/>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11130609MB1256200X4000168006002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40" w:lineRule="exact"/>
              <w:rPr>
                <w:rFonts w:ascii="宋体"/>
                <w:color w:val="000000"/>
                <w:szCs w:val="21"/>
              </w:rPr>
            </w:pPr>
            <w:r>
              <w:rPr>
                <w:rFonts w:hint="eastAsia" w:ascii="宋体" w:hAnsi="宋体"/>
                <w:color w:val="000000"/>
                <w:spacing w:val="2"/>
                <w:szCs w:val="21"/>
              </w:rPr>
              <w:t xml:space="preserve">  </w:t>
            </w:r>
            <w:r>
              <w:rPr>
                <w:rFonts w:hint="eastAsia" w:ascii="宋体" w:hAnsi="宋体"/>
                <w:szCs w:val="21"/>
              </w:rPr>
              <w:t>《中华人民共和国文物保护法》（1982年11月19日第五届全国人大常委会令第11号，2015年4月24日予以修改）第二十一条：对文物保护单位进行修缮，应当根据文物保护单位的级别报相应的文物行政部门批准；对未核定为文物保护单位的不可移动文物进行修缮，应当报登记的县级人民政府文物行政部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pacing w:line="340" w:lineRule="exact"/>
              <w:ind w:firstLine="420" w:firstLineChars="200"/>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8"/>
            <w:vAlign w:val="center"/>
          </w:tcPr>
          <w:p>
            <w:pPr>
              <w:spacing w:line="340" w:lineRule="exact"/>
              <w:ind w:firstLine="214" w:firstLineChars="100"/>
              <w:jc w:val="left"/>
              <w:rPr>
                <w:color w:val="000000"/>
              </w:rPr>
            </w:pPr>
            <w:r>
              <w:rPr>
                <w:rFonts w:hint="eastAsia" w:ascii="宋体" w:hAnsi="宋体"/>
                <w:color w:val="000000"/>
                <w:spacing w:val="2"/>
                <w:szCs w:val="21"/>
              </w:rPr>
              <w:t>《中华人民共和国文物保护法》第二十一条，《中华人民共和国文物保护法实施条例》（国务院令第377号）第十五条：“承担文物保护单位的修缮、迁移、重建工程的单位，应当同时取得文物行政主管部门发给的相应等级的文物保护工程资质证书和建设行政主管部门发给的相应等级的资质证书”。河北省实施《中华人民共和国文物保护法》办法第二十一条：“不可移动文物的修缮，应当遵守不改变文物原状的原则，文物保护工程应当按照文物行政主管部门批准的修缮计划和工程设计方案进行，不得擅自变更。需要变更的，应当报原审批部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spacing w:line="340" w:lineRule="exact"/>
              <w:ind w:firstLine="428" w:firstLineChars="200"/>
              <w:rPr>
                <w:color w:val="000000"/>
              </w:rPr>
            </w:pPr>
            <w:r>
              <w:rPr>
                <w:rFonts w:hint="eastAsia" w:ascii="宋体" w:hAnsi="宋体"/>
                <w:color w:val="000000"/>
                <w:spacing w:val="2"/>
                <w:szCs w:val="21"/>
              </w:rPr>
              <w:t xml:space="preserve">1、文物保护单位修缮立项文件；2、具有已经市文物行政主管部门审定的文物修缮工程设计方案；3、文物修缮工程施工单位具有文物保护工程资质。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40" w:lineRule="exact"/>
              <w:ind w:firstLine="321" w:firstLineChars="150"/>
              <w:jc w:val="left"/>
              <w:rPr>
                <w:rFonts w:ascii="宋体"/>
                <w:color w:val="000000"/>
                <w:szCs w:val="21"/>
              </w:rPr>
            </w:pPr>
            <w:r>
              <w:rPr>
                <w:rFonts w:hint="eastAsia" w:ascii="宋体" w:hAnsi="宋体"/>
                <w:color w:val="000000"/>
                <w:spacing w:val="2"/>
                <w:szCs w:val="21"/>
              </w:rPr>
              <w:t>《中华人民共和国文物保护法》第二十一条， 《中华人民共和国文物保护法实施条例》（国务院令第377号）第十五条：河北省实施《中华人民共和国文物保护法》办法第二十一条。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vAlign w:val="center"/>
          </w:tcPr>
          <w:p>
            <w:pPr>
              <w:spacing w:line="340" w:lineRule="exact"/>
              <w:ind w:firstLine="428" w:firstLineChars="200"/>
              <w:rPr>
                <w:rFonts w:ascii="宋体"/>
                <w:color w:val="000000"/>
                <w:szCs w:val="21"/>
              </w:rPr>
            </w:pPr>
            <w:r>
              <w:rPr>
                <w:rFonts w:ascii="宋体" w:hAnsi="宋体"/>
                <w:color w:val="000000"/>
                <w:spacing w:val="2"/>
                <w:szCs w:val="21"/>
              </w:rPr>
              <w:t> </w:t>
            </w:r>
            <w:r>
              <w:rPr>
                <w:rFonts w:hint="eastAsia" w:ascii="宋体" w:hAnsi="宋体"/>
                <w:color w:val="000000"/>
                <w:spacing w:val="2"/>
                <w:szCs w:val="21"/>
              </w:rPr>
              <w:t>1、行政许可申请书；2、申请表；3、修缮工程设计方案；4、施工合同；5、施工单位文物修缮资质证书。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1176" w:type="dxa"/>
            <w:vAlign w:val="center"/>
          </w:tcPr>
          <w:p>
            <w:pPr>
              <w:spacing w:line="300" w:lineRule="exact"/>
              <w:jc w:val="center"/>
              <w:rPr>
                <w:color w:val="000000"/>
              </w:rPr>
            </w:pPr>
            <w:r>
              <w:rPr>
                <w:rFonts w:hint="eastAsia"/>
                <w:color w:val="000000"/>
              </w:rPr>
              <w:t>环节名称</w:t>
            </w:r>
          </w:p>
        </w:tc>
        <w:tc>
          <w:tcPr>
            <w:tcW w:w="1410" w:type="dxa"/>
            <w:gridSpan w:val="4"/>
            <w:vAlign w:val="center"/>
          </w:tcPr>
          <w:p>
            <w:pPr>
              <w:spacing w:line="300" w:lineRule="exact"/>
              <w:jc w:val="center"/>
              <w:rPr>
                <w:color w:val="000000"/>
              </w:rPr>
            </w:pPr>
            <w:r>
              <w:rPr>
                <w:rFonts w:hint="eastAsia"/>
                <w:color w:val="000000"/>
              </w:rPr>
              <w:t>承办主体</w:t>
            </w:r>
          </w:p>
        </w:tc>
        <w:tc>
          <w:tcPr>
            <w:tcW w:w="3215" w:type="dxa"/>
            <w:gridSpan w:val="7"/>
            <w:vAlign w:val="center"/>
          </w:tcPr>
          <w:p>
            <w:pPr>
              <w:spacing w:line="300" w:lineRule="exact"/>
              <w:jc w:val="center"/>
              <w:rPr>
                <w:color w:val="000000"/>
              </w:rPr>
            </w:pPr>
            <w:r>
              <w:rPr>
                <w:rFonts w:hint="eastAsia"/>
                <w:color w:val="000000"/>
              </w:rPr>
              <w:t>审查内容</w:t>
            </w:r>
          </w:p>
        </w:tc>
        <w:tc>
          <w:tcPr>
            <w:tcW w:w="1701" w:type="dxa"/>
            <w:gridSpan w:val="6"/>
            <w:vAlign w:val="center"/>
          </w:tcPr>
          <w:p>
            <w:pPr>
              <w:spacing w:line="300" w:lineRule="exact"/>
              <w:jc w:val="center"/>
              <w:rPr>
                <w:color w:val="000000"/>
              </w:rPr>
            </w:pPr>
            <w:r>
              <w:rPr>
                <w:rFonts w:hint="eastAsia"/>
                <w:color w:val="000000"/>
              </w:rPr>
              <w:t>审批结果</w:t>
            </w:r>
          </w:p>
        </w:tc>
        <w:tc>
          <w:tcPr>
            <w:tcW w:w="1275"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460" w:hRule="atLeast"/>
          <w:jc w:val="center"/>
        </w:trPr>
        <w:tc>
          <w:tcPr>
            <w:tcW w:w="1071" w:type="dxa"/>
            <w:vMerge w:val="continue"/>
            <w:vAlign w:val="center"/>
          </w:tcPr>
          <w:p>
            <w:pPr>
              <w:jc w:val="center"/>
              <w:rPr>
                <w:bCs/>
                <w:color w:val="000000"/>
                <w:sz w:val="18"/>
                <w:szCs w:val="18"/>
              </w:rPr>
            </w:pPr>
          </w:p>
        </w:tc>
        <w:tc>
          <w:tcPr>
            <w:tcW w:w="1176" w:type="dxa"/>
            <w:vAlign w:val="center"/>
          </w:tcPr>
          <w:p>
            <w:pPr>
              <w:spacing w:line="300" w:lineRule="exact"/>
              <w:jc w:val="center"/>
              <w:rPr>
                <w:color w:val="000000"/>
              </w:rPr>
            </w:pPr>
            <w:r>
              <w:rPr>
                <w:rFonts w:hint="eastAsia"/>
                <w:color w:val="000000"/>
              </w:rPr>
              <w:t>受理</w:t>
            </w:r>
          </w:p>
        </w:tc>
        <w:tc>
          <w:tcPr>
            <w:tcW w:w="1410" w:type="dxa"/>
            <w:gridSpan w:val="4"/>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3215" w:type="dxa"/>
            <w:gridSpan w:val="7"/>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701" w:type="dxa"/>
            <w:gridSpan w:val="6"/>
            <w:vAlign w:val="center"/>
          </w:tcPr>
          <w:p>
            <w:pPr>
              <w:spacing w:line="300" w:lineRule="exact"/>
              <w:jc w:val="center"/>
              <w:rPr>
                <w:rFonts w:ascii="宋体"/>
                <w:color w:val="000000"/>
                <w:szCs w:val="21"/>
              </w:rPr>
            </w:pPr>
            <w:r>
              <w:rPr>
                <w:rFonts w:hint="eastAsia" w:ascii="宋体" w:hAnsi="宋体"/>
                <w:color w:val="000000"/>
                <w:szCs w:val="21"/>
              </w:rPr>
              <w:t>材料齐备出具受理通知书，材料不齐出具一次告知书</w:t>
            </w:r>
          </w:p>
        </w:tc>
        <w:tc>
          <w:tcPr>
            <w:tcW w:w="1275"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453" w:hRule="atLeast"/>
          <w:jc w:val="center"/>
        </w:trPr>
        <w:tc>
          <w:tcPr>
            <w:tcW w:w="1071" w:type="dxa"/>
            <w:vMerge w:val="continue"/>
            <w:vAlign w:val="center"/>
          </w:tcPr>
          <w:p>
            <w:pPr>
              <w:jc w:val="center"/>
              <w:rPr>
                <w:bCs/>
                <w:color w:val="000000"/>
                <w:sz w:val="18"/>
                <w:szCs w:val="18"/>
              </w:rPr>
            </w:pPr>
          </w:p>
        </w:tc>
        <w:tc>
          <w:tcPr>
            <w:tcW w:w="1176" w:type="dxa"/>
            <w:vAlign w:val="center"/>
          </w:tcPr>
          <w:p>
            <w:pPr>
              <w:spacing w:line="300" w:lineRule="exact"/>
              <w:jc w:val="center"/>
              <w:rPr>
                <w:color w:val="000000"/>
              </w:rPr>
            </w:pPr>
            <w:r>
              <w:rPr>
                <w:rFonts w:hint="eastAsia"/>
                <w:color w:val="000000"/>
              </w:rPr>
              <w:t>决定</w:t>
            </w:r>
          </w:p>
        </w:tc>
        <w:tc>
          <w:tcPr>
            <w:tcW w:w="1410" w:type="dxa"/>
            <w:gridSpan w:val="4"/>
            <w:vAlign w:val="center"/>
          </w:tcPr>
          <w:p>
            <w:pPr>
              <w:ind w:left="105" w:leftChars="50" w:firstLine="210" w:firstLineChars="100"/>
              <w:rPr>
                <w:rFonts w:hint="eastAsia" w:ascii="宋体" w:eastAsia="宋体"/>
                <w:color w:val="000000"/>
                <w:szCs w:val="21"/>
                <w:lang w:eastAsia="zh-CN"/>
              </w:rPr>
            </w:pPr>
            <w:r>
              <w:rPr>
                <w:rFonts w:hint="eastAsia" w:ascii="宋体" w:hAnsi="宋体"/>
                <w:color w:val="000000"/>
                <w:szCs w:val="21"/>
                <w:lang w:eastAsia="zh-CN"/>
              </w:rPr>
              <w:t>局长办公室薛永录</w:t>
            </w:r>
          </w:p>
        </w:tc>
        <w:tc>
          <w:tcPr>
            <w:tcW w:w="3215" w:type="dxa"/>
            <w:gridSpan w:val="7"/>
            <w:vAlign w:val="center"/>
          </w:tcPr>
          <w:p>
            <w:pPr>
              <w:spacing w:line="300" w:lineRule="exact"/>
              <w:jc w:val="center"/>
              <w:rPr>
                <w:rFonts w:ascii="宋体"/>
                <w:color w:val="000000"/>
                <w:szCs w:val="21"/>
              </w:rPr>
            </w:pPr>
            <w:r>
              <w:rPr>
                <w:rFonts w:hint="eastAsia" w:ascii="宋体" w:hAnsi="宋体"/>
                <w:color w:val="000000"/>
                <w:szCs w:val="21"/>
              </w:rPr>
              <w:t>对申请材料</w:t>
            </w:r>
            <w:r>
              <w:rPr>
                <w:rFonts w:hint="eastAsia" w:ascii="宋体"/>
                <w:color w:val="000000"/>
                <w:szCs w:val="21"/>
              </w:rPr>
              <w:t>的合</w:t>
            </w:r>
          </w:p>
          <w:p>
            <w:pPr>
              <w:spacing w:line="300" w:lineRule="exact"/>
              <w:jc w:val="center"/>
              <w:rPr>
                <w:rFonts w:ascii="宋体" w:hAnsi="宋体"/>
                <w:color w:val="000000"/>
                <w:szCs w:val="21"/>
              </w:rPr>
            </w:pPr>
            <w:r>
              <w:rPr>
                <w:rFonts w:hint="eastAsia" w:ascii="宋体"/>
                <w:color w:val="000000"/>
                <w:szCs w:val="21"/>
              </w:rPr>
              <w:t>法性合规性进行实质性审查</w:t>
            </w:r>
          </w:p>
        </w:tc>
        <w:tc>
          <w:tcPr>
            <w:tcW w:w="1701" w:type="dxa"/>
            <w:gridSpan w:val="6"/>
            <w:vAlign w:val="center"/>
          </w:tcPr>
          <w:p>
            <w:pPr>
              <w:spacing w:line="300" w:lineRule="exact"/>
              <w:jc w:val="center"/>
              <w:rPr>
                <w:rFonts w:ascii="宋体"/>
                <w:color w:val="000000"/>
                <w:szCs w:val="21"/>
              </w:rPr>
            </w:pPr>
            <w:r>
              <w:rPr>
                <w:rFonts w:hint="eastAsia" w:ascii="宋体" w:hAnsi="宋体"/>
                <w:color w:val="000000"/>
                <w:szCs w:val="21"/>
              </w:rPr>
              <w:t>作出审核意见</w:t>
            </w:r>
          </w:p>
        </w:tc>
        <w:tc>
          <w:tcPr>
            <w:tcW w:w="1275"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465" w:hRule="atLeast"/>
          <w:jc w:val="center"/>
        </w:trPr>
        <w:tc>
          <w:tcPr>
            <w:tcW w:w="1071" w:type="dxa"/>
            <w:vMerge w:val="continue"/>
            <w:vAlign w:val="center"/>
          </w:tcPr>
          <w:p>
            <w:pPr>
              <w:jc w:val="center"/>
              <w:rPr>
                <w:bCs/>
                <w:color w:val="000000"/>
                <w:sz w:val="18"/>
                <w:szCs w:val="18"/>
              </w:rPr>
            </w:pPr>
          </w:p>
        </w:tc>
        <w:tc>
          <w:tcPr>
            <w:tcW w:w="1176" w:type="dxa"/>
            <w:vAlign w:val="center"/>
          </w:tcPr>
          <w:p>
            <w:pPr>
              <w:spacing w:line="300" w:lineRule="exact"/>
              <w:jc w:val="center"/>
              <w:rPr>
                <w:color w:val="000000"/>
              </w:rPr>
            </w:pPr>
            <w:r>
              <w:rPr>
                <w:rFonts w:hint="eastAsia"/>
                <w:color w:val="000000"/>
              </w:rPr>
              <w:t>送达</w:t>
            </w:r>
          </w:p>
        </w:tc>
        <w:tc>
          <w:tcPr>
            <w:tcW w:w="1410" w:type="dxa"/>
            <w:gridSpan w:val="4"/>
            <w:vAlign w:val="center"/>
          </w:tcPr>
          <w:p>
            <w:pPr>
              <w:ind w:firstLine="380" w:firstLineChars="200"/>
              <w:rPr>
                <w:rFonts w:hint="eastAsia" w:ascii="宋体" w:eastAsia="宋体"/>
                <w:color w:val="000000"/>
                <w:spacing w:val="-10"/>
                <w:szCs w:val="21"/>
                <w:lang w:eastAsia="zh-CN"/>
              </w:rPr>
            </w:pPr>
            <w:r>
              <w:rPr>
                <w:rFonts w:hint="eastAsia" w:ascii="宋体" w:hAnsi="宋体"/>
                <w:color w:val="000000"/>
                <w:spacing w:val="-10"/>
                <w:szCs w:val="21"/>
                <w:lang w:eastAsia="zh-CN"/>
              </w:rPr>
              <w:t>商恬</w:t>
            </w:r>
          </w:p>
        </w:tc>
        <w:tc>
          <w:tcPr>
            <w:tcW w:w="3215" w:type="dxa"/>
            <w:gridSpan w:val="7"/>
            <w:vAlign w:val="center"/>
          </w:tcPr>
          <w:p>
            <w:pPr>
              <w:spacing w:line="300" w:lineRule="exact"/>
              <w:rPr>
                <w:rFonts w:ascii="宋体"/>
                <w:color w:val="000000"/>
                <w:szCs w:val="21"/>
              </w:rPr>
            </w:pPr>
          </w:p>
        </w:tc>
        <w:tc>
          <w:tcPr>
            <w:tcW w:w="1701" w:type="dxa"/>
            <w:gridSpan w:val="6"/>
            <w:vAlign w:val="center"/>
          </w:tcPr>
          <w:p>
            <w:pPr>
              <w:spacing w:line="300" w:lineRule="exact"/>
              <w:rPr>
                <w:rFonts w:ascii="宋体"/>
                <w:color w:val="000000"/>
                <w:szCs w:val="21"/>
              </w:rPr>
            </w:pPr>
            <w:r>
              <w:rPr>
                <w:rFonts w:hint="eastAsia" w:ascii="宋体"/>
                <w:color w:val="000000"/>
                <w:szCs w:val="21"/>
              </w:rPr>
              <w:t>送达《准予行政许可决定书》</w:t>
            </w:r>
          </w:p>
        </w:tc>
        <w:tc>
          <w:tcPr>
            <w:tcW w:w="1275"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color w:val="000000"/>
                <w:szCs w:val="21"/>
              </w:rPr>
            </w:pPr>
            <w:r>
              <w:rPr>
                <w:rFonts w:hint="eastAsia" w:ascii="宋体"/>
                <w:color w:val="000000"/>
                <w:szCs w:val="21"/>
              </w:rPr>
              <w:t>《准予行政许可决定书》</w:t>
            </w: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r>
              <w:rPr>
                <w:rFonts w:hint="eastAsia" w:ascii="宋体"/>
                <w:color w:val="000000"/>
                <w:szCs w:val="21"/>
              </w:rPr>
              <w:t>一次性有效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ascii="宋体"/>
                <w:color w:val="000000"/>
                <w:szCs w:val="21"/>
                <w:lang w:eastAsia="zh-CN"/>
              </w:rPr>
              <w:t>本</w:t>
            </w:r>
            <w:r>
              <w:rPr>
                <w:rFonts w:hint="eastAsia" w:ascii="宋体"/>
                <w:color w:val="000000"/>
                <w:szCs w:val="21"/>
              </w:rPr>
              <w:t>级行政审批局审批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6"/>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5"/>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center"/>
          </w:tcPr>
          <w:p>
            <w:pPr>
              <w:jc w:val="center"/>
              <w:rPr>
                <w:rFonts w:ascii="宋体"/>
                <w:color w:val="000000"/>
                <w:szCs w:val="21"/>
              </w:rPr>
            </w:pPr>
            <w:r>
              <w:rPr>
                <w:rFonts w:hint="eastAsia" w:ascii="宋体" w:hAnsi="宋体"/>
                <w:color w:val="000000"/>
                <w:szCs w:val="21"/>
              </w:rPr>
              <w:t>保定市</w:t>
            </w:r>
            <w:r>
              <w:rPr>
                <w:rFonts w:hint="eastAsia" w:ascii="宋体" w:hAnsi="宋体"/>
                <w:color w:val="000000"/>
                <w:szCs w:val="21"/>
                <w:lang w:eastAsia="zh-CN"/>
              </w:rPr>
              <w:t>徐水区</w:t>
            </w:r>
            <w:r>
              <w:rPr>
                <w:rFonts w:hint="eastAsia" w:ascii="宋体" w:hAnsi="宋体"/>
                <w:color w:val="000000"/>
                <w:szCs w:val="21"/>
              </w:rPr>
              <w:t>行政审批局</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726" w:type="dxa"/>
            <w:gridSpan w:val="8"/>
            <w:vAlign w:val="center"/>
          </w:tcPr>
          <w:p>
            <w:pPr>
              <w:jc w:val="center"/>
              <w:rPr>
                <w:color w:val="000000"/>
              </w:rPr>
            </w:pPr>
          </w:p>
        </w:tc>
        <w:tc>
          <w:tcPr>
            <w:tcW w:w="850" w:type="dxa"/>
            <w:gridSpan w:val="4"/>
            <w:vAlign w:val="center"/>
          </w:tcPr>
          <w:p>
            <w:pPr>
              <w:jc w:val="center"/>
              <w:rPr>
                <w:color w:val="000000"/>
              </w:rPr>
            </w:pPr>
            <w:r>
              <w:rPr>
                <w:rFonts w:hint="eastAsia"/>
                <w:color w:val="000000"/>
              </w:rPr>
              <w:t>收费性质</w:t>
            </w:r>
          </w:p>
        </w:tc>
        <w:tc>
          <w:tcPr>
            <w:tcW w:w="2136" w:type="dxa"/>
            <w:gridSpan w:val="4"/>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454BE"/>
    <w:rsid w:val="04901C85"/>
    <w:rsid w:val="25532F4D"/>
    <w:rsid w:val="5D1454BE"/>
    <w:rsid w:val="6C881242"/>
    <w:rsid w:val="7FF62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2021-10-18T01:52:00Z</dcterms:created>
  <dc:creator>Administrator</dc:creator>
  <cp:lastModifiedBy>蓝桉跑过少年时</cp:lastModifiedBy>
  <dcterms:modified xsi:type="dcterms:W3CDTF">2021-12-01T03:47:29Z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704CB1CDCC71439991A13E653CCFA26C</vt:lpwstr>
  </property>
</Properties>
</file>