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w:t>
      </w:r>
      <w:r>
        <w:rPr>
          <w:rFonts w:hint="eastAsia" w:ascii="方正小标宋简体" w:hAnsi="方正小标宋简体" w:eastAsia="方正小标宋简体" w:cs="方正小标宋简体"/>
          <w:color w:val="000000"/>
          <w:sz w:val="36"/>
          <w:szCs w:val="36"/>
          <w:lang w:eastAsia="zh-CN"/>
        </w:rPr>
        <w:t>徐水区</w:t>
      </w:r>
      <w:r>
        <w:rPr>
          <w:rFonts w:hint="eastAsia" w:ascii="方正小标宋简体" w:hAnsi="方正小标宋简体" w:eastAsia="方正小标宋简体" w:cs="方正小标宋简体"/>
          <w:color w:val="000000"/>
          <w:sz w:val="36"/>
          <w:szCs w:val="36"/>
        </w:rPr>
        <w:t>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jc w:val="center"/>
        <w:rPr>
          <w:b/>
          <w:color w:val="000000"/>
          <w:sz w:val="36"/>
          <w:szCs w:val="44"/>
        </w:rPr>
      </w:pPr>
    </w:p>
    <w:tbl>
      <w:tblPr>
        <w:tblStyle w:val="2"/>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461"/>
        <w:gridCol w:w="1316"/>
        <w:gridCol w:w="209"/>
        <w:gridCol w:w="1136"/>
        <w:gridCol w:w="72"/>
        <w:gridCol w:w="212"/>
        <w:gridCol w:w="355"/>
        <w:gridCol w:w="284"/>
        <w:gridCol w:w="283"/>
        <w:gridCol w:w="142"/>
        <w:gridCol w:w="152"/>
        <w:gridCol w:w="172"/>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8"/>
            <w:vAlign w:val="center"/>
          </w:tcPr>
          <w:p>
            <w:pPr>
              <w:jc w:val="center"/>
              <w:rPr>
                <w:color w:val="000000"/>
                <w:sz w:val="24"/>
              </w:rPr>
            </w:pPr>
            <w:r>
              <w:rPr>
                <w:rFonts w:hint="eastAsia"/>
                <w:bCs/>
                <w:color w:val="000000"/>
              </w:rPr>
              <w:t>实施中等及中等以下学历教育、学前教育、自学考试助学及其他文化教育的学校设立、变更和终止</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rFonts w:ascii="微软雅黑" w:hAnsi="微软雅黑" w:eastAsia="微软雅黑" w:cs="微软雅黑"/>
                <w:i w:val="0"/>
                <w:iCs w:val="0"/>
                <w:caps w:val="0"/>
                <w:color w:val="3D4B64"/>
                <w:spacing w:val="0"/>
                <w:sz w:val="19"/>
                <w:szCs w:val="19"/>
                <w:shd w:val="clear" w:fill="F7F7F7"/>
              </w:rPr>
              <w:t>00010500300202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8"/>
            <w:vAlign w:val="center"/>
          </w:tcPr>
          <w:p>
            <w:pPr>
              <w:jc w:val="center"/>
              <w:rPr>
                <w:color w:val="000000"/>
                <w:sz w:val="24"/>
              </w:rPr>
            </w:pPr>
            <w:r>
              <w:rPr>
                <w:rFonts w:hint="eastAsia"/>
                <w:color w:val="000000"/>
                <w:sz w:val="24"/>
              </w:rPr>
              <w:t>行政许可</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both"/>
              <w:rPr>
                <w:color w:val="000000"/>
                <w:szCs w:val="21"/>
              </w:rPr>
            </w:pPr>
            <w:r>
              <w:rPr>
                <w:rFonts w:ascii="微软雅黑" w:hAnsi="微软雅黑" w:eastAsia="微软雅黑" w:cs="微软雅黑"/>
                <w:i w:val="0"/>
                <w:iCs w:val="0"/>
                <w:caps w:val="0"/>
                <w:color w:val="3D4B64"/>
                <w:spacing w:val="0"/>
                <w:sz w:val="13"/>
                <w:szCs w:val="13"/>
                <w:shd w:val="clear" w:fill="F7F7F7"/>
              </w:rPr>
              <w:t>11130609MB1256200X400010500300202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0"/>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6"/>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法定机关</w:t>
            </w:r>
            <w:r>
              <w:rPr>
                <w:color w:val="000000"/>
                <w:szCs w:val="21"/>
              </w:rPr>
              <w:t xml:space="preserve"> </w:t>
            </w:r>
            <w:r>
              <w:rPr>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9"/>
            <w:vAlign w:val="center"/>
          </w:tcPr>
          <w:p>
            <w:pPr>
              <w:rPr>
                <w:rFonts w:hint="default" w:eastAsia="宋体"/>
                <w:color w:val="000000"/>
                <w:szCs w:val="21"/>
                <w:lang w:val="en-US" w:eastAsia="zh-CN"/>
              </w:rPr>
            </w:pPr>
            <w:r>
              <w:rPr>
                <w:color w:val="000000"/>
              </w:rPr>
              <w:t>保定市</w:t>
            </w:r>
            <w:r>
              <w:rPr>
                <w:rFonts w:hint="eastAsia"/>
                <w:color w:val="000000"/>
                <w:lang w:eastAsia="zh-CN"/>
              </w:rPr>
              <w:t>徐水区政通路</w:t>
            </w:r>
            <w:r>
              <w:rPr>
                <w:rFonts w:hint="eastAsia"/>
                <w:color w:val="000000"/>
                <w:lang w:val="en-US" w:eastAsia="zh-CN"/>
              </w:rPr>
              <w:t>19号政务服务大厅二楼5号综合受理窗口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default" w:eastAsia="宋体"/>
                <w:color w:val="000000"/>
                <w:lang w:val="en-US" w:eastAsia="zh-CN"/>
              </w:rPr>
            </w:pPr>
            <w:r>
              <w:rPr>
                <w:rFonts w:hint="eastAsia"/>
                <w:color w:val="000000"/>
              </w:rPr>
              <w:t>0312-</w:t>
            </w:r>
            <w:r>
              <w:rPr>
                <w:rFonts w:hint="eastAsia"/>
                <w:color w:val="000000"/>
                <w:lang w:val="en-US" w:eastAsia="zh-CN"/>
              </w:rPr>
              <w:t>8678176</w:t>
            </w:r>
          </w:p>
          <w:p>
            <w:pPr>
              <w:rPr>
                <w:rFonts w:hint="default"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0"/>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7"/>
            <w:vAlign w:val="center"/>
          </w:tcPr>
          <w:p>
            <w:pPr>
              <w:ind w:firstLine="420" w:firstLineChars="200"/>
            </w:pPr>
            <w:r>
              <w:rPr>
                <w:rFonts w:hint="eastAsia"/>
              </w:rPr>
              <w:t xml:space="preserve">《中华人民共和国民办教育促进法》第十二条，举办实施学历教育、学前教育、自学考试助学及其他文化教育的民办学校，由县级以上人民政府教育行政部门按照国家规定的权限审批；举办实施以职业技能为主的职业资格培训、职业技能培训的民办学校，由县级以上人民政府人力资源社会保障行政部门按照国家规定的权限审批，并抄送同级教育行政部门备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7"/>
            <w:vAlign w:val="center"/>
          </w:tcPr>
          <w:p>
            <w:pPr>
              <w:rPr>
                <w:color w:val="000000"/>
              </w:rPr>
            </w:pPr>
            <w:r>
              <w:rPr>
                <w:rFonts w:hint="eastAsia"/>
                <w:color w:val="000000"/>
              </w:rPr>
              <w:t>《河北省民办教育条例》第十二条，申请举办民办教育机构按照下列规定办理:（一）举办学历教育、学前教育、自学考试助学和其他非学历教育的，由教育行政部门按照以下规定分级审批:3、举办普通高级中学、职业高中、中等专业学校等中等学历教育的，由省教育行政部门授权设区市的教育行政部门审批；（二）举办体育、卫生、文化艺术等民办教育机构的，经有关行政主管部门审核同意后，由同级教育行政部门审批；（三）举办以职业技能为主的职业资格培训、技术等级培训的民办教育机构，或者举办劳动就业职业技能培训的民办教育机构，由县级以上人力资源社会保障行政部门按照审批权限审批，并抄送同级教育行政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7"/>
            <w:vAlign w:val="center"/>
          </w:tcPr>
          <w:p>
            <w:pPr>
              <w:rPr>
                <w:color w:val="000000"/>
              </w:rPr>
            </w:pPr>
            <w:r>
              <w:rPr>
                <w:rFonts w:hint="eastAsia"/>
                <w:color w:val="000000"/>
              </w:rPr>
              <w:t>《民办教育促进法》第十条、 第十一条；《河北省营利性民办学校监督管理办法》第十一条、第十二条；</w:t>
            </w:r>
            <w:r>
              <w:rPr>
                <w:color w:val="000000"/>
              </w:rPr>
              <w:t>《保定市民办普通中学设置标准（试行）》(保教发〔2002〕33号)</w:t>
            </w:r>
            <w:r>
              <w:rPr>
                <w:rFonts w:hint="eastAsia"/>
                <w:color w:val="000000"/>
              </w:rPr>
              <w:t>、</w:t>
            </w:r>
            <w:r>
              <w:rPr>
                <w:color w:val="000000"/>
              </w:rPr>
              <w:t>《民办中等职业学校设置标准》(冀教职成〔2010〕19号)规定的标准要求</w:t>
            </w: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7"/>
            <w:vAlign w:val="center"/>
          </w:tcPr>
          <w:p>
            <w:pPr>
              <w:ind w:firstLine="420" w:firstLineChars="200"/>
              <w:rPr>
                <w:color w:val="000000"/>
              </w:rPr>
            </w:pPr>
            <w:r>
              <w:rPr>
                <w:rFonts w:hint="eastAsia"/>
                <w:color w:val="000000"/>
              </w:rPr>
              <w:t>《民办教育促进法》第十条　举办民办学校的社会组织，应当具有法人资格。举办民办学校的个人，应当具有政治权利和完全民事行为能力。民办学校应当具备法人条件。 第十一条　设立民办学校应当符合当地教育发展的需求，具备教育法和其他有关法律、法规规定的条件。民办学校的设置标准参照同级同类公办学校的设置标准执行。</w:t>
            </w:r>
          </w:p>
          <w:p>
            <w:pPr>
              <w:ind w:firstLine="420" w:firstLineChars="200"/>
              <w:rPr>
                <w:color w:val="000000"/>
              </w:rPr>
            </w:pPr>
            <w:r>
              <w:rPr>
                <w:rFonts w:hint="eastAsia"/>
                <w:color w:val="000000"/>
              </w:rPr>
              <w:t>《河北省营利性民办学校监督管理办法》第十一条 举办营利性民办学校的个人，应当具备下列条件：（一）有中华人民共和国国籍，在中国境内定居。（二）信用状况良好，无犯罪记录。（三）有政治权利和完全民事行为能力。第十二条 举办营利性民办学校的社会组织，应当具备下列条件：（一）有中华人民共和国法人资格。（二）信用状况良好，未被列入企业经营异常名录或严重违法失信企业名单，无不良记录。（三）法定代表人有中华人民共和国国籍，在中国境内定居，信用状况良好，无犯罪记录，有政治权利和完全民事行为能力。</w:t>
            </w:r>
          </w:p>
          <w:p>
            <w:pPr>
              <w:rPr>
                <w:rFonts w:ascii="Arial" w:hAnsi="Arial"/>
                <w:szCs w:val="21"/>
              </w:rPr>
            </w:pPr>
            <w:r>
              <w:rPr>
                <w:rFonts w:hint="eastAsia"/>
                <w:szCs w:val="21"/>
              </w:rPr>
              <w:t>河北省普通高中学校基本办学标准(试行)</w:t>
            </w:r>
            <w:r>
              <w:rPr>
                <w:rFonts w:ascii="Arial" w:hAnsi="Arial"/>
                <w:szCs w:val="21"/>
              </w:rPr>
              <w:t xml:space="preserve"> </w:t>
            </w:r>
            <w:r>
              <w:rPr>
                <w:rFonts w:hint="eastAsia" w:ascii="仿宋_GB2312" w:hAnsi="仿宋" w:eastAsia="仿宋_GB2312"/>
                <w:szCs w:val="21"/>
              </w:rPr>
              <w:t>（2018年9月发布）</w:t>
            </w:r>
            <w:r>
              <w:rPr>
                <w:rFonts w:ascii="Arial" w:hAnsi="Arial"/>
                <w:szCs w:val="21"/>
              </w:rPr>
              <w:t xml:space="preserve"> </w:t>
            </w:r>
            <w:r>
              <w:rPr>
                <w:rFonts w:hint="eastAsia" w:ascii="Arial" w:hAnsi="Arial"/>
                <w:szCs w:val="21"/>
              </w:rPr>
              <w:t>：</w:t>
            </w:r>
          </w:p>
          <w:p>
            <w:pPr>
              <w:rPr>
                <w:rFonts w:ascii="Arial" w:hAnsi="Arial"/>
                <w:szCs w:val="21"/>
              </w:rPr>
            </w:pPr>
            <w:r>
              <w:rPr>
                <w:rFonts w:hint="eastAsia"/>
                <w:b/>
                <w:bCs/>
                <w:szCs w:val="21"/>
              </w:rPr>
              <w:t>第一章 总则</w:t>
            </w:r>
            <w:r>
              <w:rPr>
                <w:rFonts w:ascii="Arial" w:hAnsi="Arial"/>
                <w:szCs w:val="21"/>
              </w:rPr>
              <w:t xml:space="preserve"> </w:t>
            </w:r>
          </w:p>
          <w:p>
            <w:pPr>
              <w:rPr>
                <w:rFonts w:ascii="Arial" w:hAnsi="Arial"/>
                <w:szCs w:val="21"/>
              </w:rPr>
            </w:pPr>
            <w:r>
              <w:rPr>
                <w:rFonts w:hint="eastAsia"/>
                <w:szCs w:val="21"/>
              </w:rPr>
              <w:t>第一条 为全面提高普通高中办学水平，全面实施素质教育，依据《中华人民共和国教育法》、《普通高中课程方案（2017年版）》，结合我省实际，制定《河北省普通高中学校基本办学标准(试行)》(以下简称《标准》)。</w:t>
            </w:r>
            <w:r>
              <w:rPr>
                <w:rFonts w:ascii="Arial" w:hAnsi="Arial"/>
                <w:szCs w:val="21"/>
              </w:rPr>
              <w:t xml:space="preserve"> </w:t>
            </w:r>
          </w:p>
          <w:p>
            <w:pPr>
              <w:rPr>
                <w:rFonts w:ascii="Arial" w:hAnsi="Arial"/>
                <w:szCs w:val="21"/>
              </w:rPr>
            </w:pPr>
            <w:r>
              <w:rPr>
                <w:rFonts w:hint="eastAsia"/>
                <w:szCs w:val="21"/>
              </w:rPr>
              <w:t>第二条 本《标准》适用于我省普通高中学校，包括公办和民办普通高级中学、完全中学。《标准》既是各级政府规划、设置、建设、改造和管理普通高中学校的重要依据和基本标准，也是实现我省普通高中教育学校优化资源配置的基本要求，更是提高普通高中教育质量的基本保障。</w:t>
            </w:r>
            <w:r>
              <w:rPr>
                <w:rFonts w:ascii="Arial" w:hAnsi="Arial"/>
                <w:szCs w:val="21"/>
              </w:rPr>
              <w:t xml:space="preserve"> </w:t>
            </w:r>
          </w:p>
          <w:p>
            <w:pPr>
              <w:rPr>
                <w:rFonts w:ascii="Arial" w:hAnsi="Arial"/>
                <w:szCs w:val="21"/>
              </w:rPr>
            </w:pPr>
            <w:r>
              <w:rPr>
                <w:rFonts w:hint="eastAsia"/>
                <w:szCs w:val="21"/>
              </w:rPr>
              <w:t>第三条 实施《标准》应当遵循分级负责、分类推进、分步实施的原则。省教育厅负责统筹协调和监督、指导《标准》的实施；各设区市、县(市、区)根据《标准》制定本地普通高中学校实施规划并组织实施。</w:t>
            </w:r>
            <w:r>
              <w:rPr>
                <w:rFonts w:ascii="Arial" w:hAnsi="Arial"/>
                <w:szCs w:val="21"/>
              </w:rPr>
              <w:t xml:space="preserve"> </w:t>
            </w:r>
          </w:p>
          <w:p>
            <w:pPr>
              <w:rPr>
                <w:rFonts w:ascii="Arial" w:hAnsi="Arial"/>
                <w:szCs w:val="21"/>
              </w:rPr>
            </w:pPr>
            <w:r>
              <w:rPr>
                <w:rFonts w:hint="eastAsia"/>
                <w:b/>
                <w:bCs/>
                <w:szCs w:val="21"/>
              </w:rPr>
              <w:t>第二章 学校设置</w:t>
            </w:r>
            <w:r>
              <w:rPr>
                <w:rFonts w:ascii="Arial" w:hAnsi="Arial"/>
                <w:szCs w:val="21"/>
              </w:rPr>
              <w:t xml:space="preserve"> </w:t>
            </w:r>
          </w:p>
          <w:p>
            <w:pPr>
              <w:rPr>
                <w:rFonts w:ascii="Arial" w:hAnsi="Arial"/>
                <w:szCs w:val="21"/>
              </w:rPr>
            </w:pPr>
            <w:r>
              <w:rPr>
                <w:rFonts w:hint="eastAsia"/>
                <w:szCs w:val="21"/>
              </w:rPr>
              <w:t>第四条 学校布局应当依据城市或乡镇建设总体规划要求，结合人口密度、人口分布以及生源结构，综合考虑地形地貌、能源、交通、环境等因素，进行合理设置。</w:t>
            </w:r>
            <w:r>
              <w:rPr>
                <w:rFonts w:ascii="Arial" w:hAnsi="Arial"/>
                <w:szCs w:val="21"/>
              </w:rPr>
              <w:t xml:space="preserve"> </w:t>
            </w:r>
          </w:p>
          <w:p>
            <w:pPr>
              <w:rPr>
                <w:rFonts w:ascii="Arial" w:hAnsi="Arial"/>
                <w:szCs w:val="21"/>
              </w:rPr>
            </w:pPr>
            <w:r>
              <w:rPr>
                <w:rFonts w:hint="eastAsia"/>
                <w:szCs w:val="21"/>
              </w:rPr>
              <w:t>第五条 学校位置应当选择在确保师生人身安全的地段，避开污染源处、地震断裂带、山体滑坡地段，泥石流地区及水坝泄洪区等不安全地带。高压线缆、易燃易爆市政管线及市政道路等不能穿过校区。位于交通要道、过境公路旁的学校，应当设立交通安全标识。学校周边环境应当有利于学生的身心健康。学校的设置应当避开化工厂、烟花爆竹厂、气源调压站、高压变电所、加油站、公共娱乐场所、集贸市场、医院传染病房、太平间(殡仪馆)及公安看守所、消防站等场所。校园周边200 米范围内不得有游戏机室、歌舞厅、台球室、网吧、按摩房等营业性娱乐场所以及其他不适宜未成年人进出的场所。教学区的环境噪声应当符合《民用建筑隔声设计规范》(GB50118—2010)。</w:t>
            </w:r>
            <w:r>
              <w:rPr>
                <w:rFonts w:ascii="Arial" w:hAnsi="Arial"/>
                <w:szCs w:val="21"/>
              </w:rPr>
              <w:t xml:space="preserve"> </w:t>
            </w:r>
          </w:p>
          <w:p>
            <w:pPr>
              <w:rPr>
                <w:rFonts w:ascii="Arial" w:hAnsi="Arial"/>
                <w:szCs w:val="21"/>
              </w:rPr>
            </w:pPr>
            <w:r>
              <w:rPr>
                <w:rFonts w:hint="eastAsia"/>
                <w:szCs w:val="21"/>
              </w:rPr>
              <w:t>第六条 学校校园建设总体规划要按照教学区、体育运动区、生活区等不同功能要求合理布局，做到分区明确、布局合理、功能齐全、整体协调，教学、图书，实验用房应当布置在校园的静区，并保证有良好的建筑朝向，同时也应当适应高中学生身心发展的特点，以有利于学生和教师学习、工作、交往，最大限度地提供较为宽裕的活动空间。</w:t>
            </w:r>
            <w:r>
              <w:rPr>
                <w:rFonts w:ascii="Arial" w:hAnsi="Arial"/>
                <w:szCs w:val="21"/>
              </w:rPr>
              <w:t xml:space="preserve"> </w:t>
            </w:r>
          </w:p>
          <w:p>
            <w:pPr>
              <w:rPr>
                <w:rFonts w:ascii="Arial" w:hAnsi="Arial"/>
                <w:szCs w:val="21"/>
              </w:rPr>
            </w:pPr>
            <w:r>
              <w:rPr>
                <w:rFonts w:hint="eastAsia"/>
                <w:szCs w:val="21"/>
              </w:rPr>
              <w:t>第七条 普通高中办学规模一般控制在8-20 轨，最低不少于4 轨。新建学校在校生规模一般控制在3000 人以内。不建超大规模学校。班额不超过50 人，提倡小班化教学。</w:t>
            </w:r>
            <w:r>
              <w:rPr>
                <w:rFonts w:ascii="Arial" w:hAnsi="Arial"/>
                <w:szCs w:val="21"/>
              </w:rPr>
              <w:t xml:space="preserve"> </w:t>
            </w:r>
          </w:p>
          <w:p>
            <w:pPr>
              <w:rPr>
                <w:rFonts w:ascii="Arial" w:hAnsi="Arial"/>
                <w:szCs w:val="21"/>
              </w:rPr>
            </w:pPr>
            <w:r>
              <w:rPr>
                <w:rFonts w:hint="eastAsia"/>
                <w:b/>
                <w:bCs/>
                <w:szCs w:val="21"/>
              </w:rPr>
              <w:t>第三章 校园校舍</w:t>
            </w:r>
            <w:r>
              <w:rPr>
                <w:rFonts w:ascii="Arial" w:hAnsi="Arial"/>
                <w:szCs w:val="21"/>
              </w:rPr>
              <w:t xml:space="preserve"> </w:t>
            </w:r>
          </w:p>
          <w:p>
            <w:pPr>
              <w:rPr>
                <w:rFonts w:ascii="楷体_GB2312" w:eastAsia="楷体_GB2312"/>
                <w:color w:val="FF0000"/>
                <w:szCs w:val="21"/>
              </w:rPr>
            </w:pPr>
            <w:r>
              <w:rPr>
                <w:rFonts w:hint="eastAsia"/>
                <w:szCs w:val="21"/>
              </w:rPr>
              <w:t>第八条 学校必须设置独立的校园，占地面积应当满足建设必要的教学及附属设施、体育场地、绿化用地的需要。生均占地面积： 4-8 轨学校26 ㎡/生，8-20 轨学校24 ㎡/生，20 轨以上学校22 ㎡/生。寄宿制学校应适当提高学校占地面积。</w:t>
            </w:r>
            <w:r>
              <w:rPr>
                <w:rFonts w:hint="eastAsia" w:ascii="楷体_GB2312" w:eastAsia="楷体_GB2312" w:hAnsiTheme="minorHAnsi"/>
                <w:color w:val="FF0000"/>
                <w:szCs w:val="21"/>
              </w:rPr>
              <w:t xml:space="preserve"> </w:t>
            </w:r>
            <w:r>
              <w:rPr>
                <w:rFonts w:hint="eastAsia" w:ascii="楷体_GB2312" w:eastAsia="楷体_GB2312"/>
                <w:color w:val="FF0000"/>
                <w:szCs w:val="21"/>
              </w:rPr>
              <w:t>(根据《保定市中小学校幼儿园规划建设条例》(2019年3月27日河北省第十三届人民代表大会常务委员会第九次会议批准)第十四条，城市新建中小学校、幼儿园设置规模和占地面积，应当符合下列规定：(一)每十万人设置不少于一所普通高级中学或者中等职业学校。普通高级中学办学规模控制在二十四班至六十班，生均占地面积不低于三十三平方米)</w:t>
            </w:r>
          </w:p>
          <w:p>
            <w:pPr>
              <w:rPr>
                <w:rFonts w:ascii="Arial" w:hAnsi="Arial"/>
                <w:szCs w:val="21"/>
              </w:rPr>
            </w:pPr>
            <w:r>
              <w:rPr>
                <w:rFonts w:hint="eastAsia"/>
                <w:szCs w:val="21"/>
              </w:rPr>
              <w:t>第九条 校舍建筑及附属设施建设要严格按照现行的《中小学校建筑设计规范》(GBJ99)、《城市普通中小学校校舍建设标准》(建标[2002]102 号)、《农村普通中小学校建设标准》(建标109-2008)，以及《河北省普通高中课程改革装备工作指导意见》（冀教基[2009]47 号）《河北省普通高中实验室建设规范（试行）》、《中小学图书馆（室）规程》（教基[2018]5 号）、《河北省中小学信息化基础设施建设规范（修订）》（冀教装备[2016]2 号）、《河北省普通高中通用技术设计室、实验室建设装备规范（试行）》等标准执行，符合国家有关建筑设计、环保、安全、节能等标准的要求。</w:t>
            </w:r>
            <w:r>
              <w:rPr>
                <w:rFonts w:ascii="Arial" w:hAnsi="Arial"/>
                <w:szCs w:val="21"/>
              </w:rPr>
              <w:t xml:space="preserve"> </w:t>
            </w:r>
          </w:p>
          <w:p>
            <w:pPr>
              <w:rPr>
                <w:rFonts w:ascii="Arial" w:hAnsi="Arial"/>
                <w:szCs w:val="21"/>
              </w:rPr>
            </w:pPr>
            <w:r>
              <w:rPr>
                <w:rFonts w:hint="eastAsia"/>
                <w:szCs w:val="21"/>
              </w:rPr>
              <w:t>第十条 学校建筑结构要安全坚固．校舍应当达到国家规定的重点设防类抗震设防标准，并符合对山体滑坡、崩塌，泥石流、地面塌陷和洪水、火灾、雷击等灾害的防灾避险安全要求。建筑材料的强度等级，型号、规格、质量等材料性能必须符合国家现行有关标准、规范的规定，满足设计的要求，要符合相应的“工程施工质量验收规范”标准。</w:t>
            </w:r>
            <w:r>
              <w:rPr>
                <w:rFonts w:ascii="Arial" w:hAnsi="Arial"/>
                <w:szCs w:val="21"/>
              </w:rPr>
              <w:t xml:space="preserve"> </w:t>
            </w:r>
          </w:p>
          <w:p>
            <w:pPr>
              <w:rPr>
                <w:rFonts w:ascii="Arial" w:hAnsi="Arial"/>
                <w:szCs w:val="21"/>
              </w:rPr>
            </w:pPr>
            <w:r>
              <w:rPr>
                <w:rFonts w:hint="eastAsia"/>
                <w:szCs w:val="21"/>
              </w:rPr>
              <w:t>第十一条 校舍应当满足正常的教学和生活需要，特别要适应高考改革后走班教学的需要。设置普通教室、专用教室、教学辅助及功能用房、办公用房、生活用房等。其中，专用教室包括：理化生实验室、信息技术教室、通用技术教室、音乐教室、美术教室等；教学辅助用房包括：理化生仪器室、实验准备室、标本室、药品室、音体美器材室等；功能用房包括：图书馆、体育馆、心理辅导室、团员活动室、多媒体教室、录播室等。</w:t>
            </w:r>
            <w:r>
              <w:rPr>
                <w:rFonts w:ascii="Arial" w:hAnsi="Arial"/>
                <w:szCs w:val="21"/>
              </w:rPr>
              <w:t xml:space="preserve"> </w:t>
            </w:r>
          </w:p>
          <w:p>
            <w:pPr>
              <w:rPr>
                <w:szCs w:val="21"/>
              </w:rPr>
            </w:pPr>
            <w:r>
              <w:rPr>
                <w:rFonts w:hint="eastAsia"/>
                <w:szCs w:val="21"/>
              </w:rPr>
              <w:t>第十二条 校舍建筑面积(不含学生宿舍)不低于10 ㎡/生；规划指标为不低于12 ㎡/生。寄宿制学校应当根据需要增加建筑面积，学生宿舍建筑面积不低于5 ㎡/生，学生食堂建筑面积不低于2 ㎡/生。</w:t>
            </w:r>
          </w:p>
          <w:p>
            <w:pPr>
              <w:rPr>
                <w:rFonts w:ascii="Arial" w:hAnsi="Arial"/>
                <w:szCs w:val="21"/>
              </w:rPr>
            </w:pPr>
            <w:r>
              <w:rPr>
                <w:rFonts w:hint="eastAsia"/>
                <w:szCs w:val="21"/>
              </w:rPr>
              <w:t>第十三条 绿化用地不低于4 ㎡/生。</w:t>
            </w:r>
            <w:r>
              <w:rPr>
                <w:rFonts w:ascii="Arial" w:hAnsi="Arial"/>
                <w:szCs w:val="21"/>
              </w:rPr>
              <w:t xml:space="preserve"> </w:t>
            </w:r>
          </w:p>
          <w:p>
            <w:pPr>
              <w:rPr>
                <w:rFonts w:ascii="Arial" w:hAnsi="Arial"/>
                <w:szCs w:val="21"/>
              </w:rPr>
            </w:pPr>
            <w:r>
              <w:rPr>
                <w:rFonts w:hint="eastAsia"/>
                <w:szCs w:val="21"/>
              </w:rPr>
              <w:t>第十四条 学校的运动场地设置应当满足以下要求：18 个教学班以上应当设置300 米环形跑道田径场一块；36 个教学班以上应当设置400 米环形跑道田径场一块；60 个教学班以上应当设置400 米环形跑道田径场和200 米环形跑道田径场各一块。学校应当设置适量的球类、器械等运动场地，每8 个教学班应当设置篮球场、排球场各一个，每所学校应当建设不低于200平方米的器械体操区一个。本《标准》颁布以后新建学校运动场地，必须达到以上标准。</w:t>
            </w:r>
            <w:r>
              <w:rPr>
                <w:rFonts w:ascii="Arial" w:hAnsi="Arial"/>
                <w:szCs w:val="21"/>
              </w:rPr>
              <w:t xml:space="preserve"> </w:t>
            </w:r>
          </w:p>
          <w:p>
            <w:pPr>
              <w:rPr>
                <w:rFonts w:ascii="Arial" w:hAnsi="Arial"/>
                <w:szCs w:val="21"/>
              </w:rPr>
            </w:pPr>
            <w:r>
              <w:rPr>
                <w:rFonts w:hint="eastAsia"/>
                <w:b/>
                <w:bCs/>
                <w:szCs w:val="21"/>
              </w:rPr>
              <w:t>第四章 设施设备</w:t>
            </w:r>
            <w:r>
              <w:rPr>
                <w:rFonts w:ascii="Arial" w:hAnsi="Arial"/>
                <w:szCs w:val="21"/>
              </w:rPr>
              <w:t xml:space="preserve"> </w:t>
            </w:r>
          </w:p>
          <w:p>
            <w:pPr>
              <w:rPr>
                <w:rFonts w:ascii="Arial" w:hAnsi="Arial"/>
                <w:szCs w:val="21"/>
              </w:rPr>
            </w:pPr>
            <w:r>
              <w:rPr>
                <w:rFonts w:hint="eastAsia"/>
                <w:szCs w:val="21"/>
              </w:rPr>
              <w:t>第十五条 普通高中学校实验仪器配备执行《河北省普通高中课程改革装备工作指导意见》（冀教基[2009]47 号）中《河北省普通高中教学仪器配备目录（试行）》标准。</w:t>
            </w:r>
            <w:r>
              <w:rPr>
                <w:rFonts w:ascii="Arial" w:hAnsi="Arial"/>
                <w:szCs w:val="21"/>
              </w:rPr>
              <w:t xml:space="preserve"> </w:t>
            </w:r>
          </w:p>
          <w:p>
            <w:pPr>
              <w:rPr>
                <w:rFonts w:ascii="Arial" w:hAnsi="Arial"/>
                <w:szCs w:val="21"/>
              </w:rPr>
            </w:pPr>
            <w:r>
              <w:rPr>
                <w:rFonts w:hint="eastAsia"/>
                <w:szCs w:val="21"/>
              </w:rPr>
              <w:t>第十六条 学校应当根据课程标准和学校规模，按照《国家学校体育卫生条件试行基本标准》（教体艺[2008]5 号），参照教育部颁布的《九年义务教育阶段学校音乐、美术教学器材配备标准》（教体艺[2016]2 号)的要求配备体卫艺器材，并及时更新。</w:t>
            </w:r>
            <w:r>
              <w:rPr>
                <w:rFonts w:ascii="Arial" w:hAnsi="Arial"/>
                <w:szCs w:val="21"/>
              </w:rPr>
              <w:t xml:space="preserve"> </w:t>
            </w:r>
          </w:p>
          <w:p>
            <w:pPr>
              <w:rPr>
                <w:rFonts w:ascii="Arial" w:hAnsi="Arial"/>
                <w:szCs w:val="21"/>
              </w:rPr>
            </w:pPr>
            <w:r>
              <w:rPr>
                <w:rFonts w:hint="eastAsia"/>
                <w:szCs w:val="21"/>
              </w:rPr>
              <w:t>第十七条 学校应当积极推进数字化校园建设，配备满足信息技术教育课程和其他学科教学需要的信息化基础设施设备，每间多媒体计算机网络教室按标准班额每人一台的标准配备学生用机，保证教学时学生单人单机。学校计算机拥有量至少达到生机比10：1。</w:t>
            </w:r>
            <w:r>
              <w:rPr>
                <w:rFonts w:ascii="Arial" w:hAnsi="Arial"/>
                <w:szCs w:val="21"/>
              </w:rPr>
              <w:t xml:space="preserve"> </w:t>
            </w:r>
          </w:p>
          <w:p>
            <w:pPr>
              <w:rPr>
                <w:rFonts w:ascii="Arial" w:hAnsi="Arial"/>
                <w:szCs w:val="21"/>
              </w:rPr>
            </w:pPr>
            <w:r>
              <w:rPr>
                <w:rFonts w:hint="eastAsia"/>
                <w:szCs w:val="21"/>
              </w:rPr>
              <w:t>第十八条 学校图书装备应当按照教育部颁布的《中小学图书馆（室）规程》（教基[2018]5 号）规定，配备必要的图书资料。馆(室)藏图书内容应当以有益于学生身心健康发展的各类图书及教师使用的教育教学理论书籍及工具书为主。馆(室)藏图书50 册/生。有条件的学校应配备电子读物，图书馆(室)实行计算机管理。馆(室)藏图书应当按照规定及时剔旧、更新，一般每年新增图书比例应不少于藏书标准的1％。</w:t>
            </w:r>
            <w:r>
              <w:rPr>
                <w:rFonts w:ascii="Arial" w:hAnsi="Arial"/>
                <w:szCs w:val="21"/>
              </w:rPr>
              <w:t xml:space="preserve"> </w:t>
            </w:r>
          </w:p>
          <w:p>
            <w:pPr>
              <w:rPr>
                <w:rFonts w:ascii="Arial" w:hAnsi="Arial"/>
                <w:szCs w:val="21"/>
              </w:rPr>
            </w:pPr>
            <w:r>
              <w:rPr>
                <w:rFonts w:hint="eastAsia"/>
                <w:szCs w:val="21"/>
              </w:rPr>
              <w:t>第十九条 寄宿制学校学生宿舍按照每生一床的标准配置床铺，上铺应设有符合安全要求的防护装置。宿舍应有符合要求的照明、取暖、换气和卫生设施。宿舍物品放置和通道应符合消防安全规定。</w:t>
            </w:r>
            <w:r>
              <w:rPr>
                <w:rFonts w:ascii="Arial" w:hAnsi="Arial"/>
                <w:szCs w:val="21"/>
              </w:rPr>
              <w:t xml:space="preserve"> </w:t>
            </w:r>
          </w:p>
          <w:p>
            <w:pPr>
              <w:rPr>
                <w:rFonts w:ascii="Arial" w:hAnsi="Arial"/>
                <w:szCs w:val="21"/>
              </w:rPr>
            </w:pPr>
            <w:r>
              <w:rPr>
                <w:rFonts w:hint="eastAsia"/>
                <w:b/>
                <w:bCs/>
                <w:szCs w:val="21"/>
              </w:rPr>
              <w:t>第五章 师资队伍</w:t>
            </w:r>
            <w:r>
              <w:rPr>
                <w:rFonts w:ascii="Arial" w:hAnsi="Arial"/>
                <w:szCs w:val="21"/>
              </w:rPr>
              <w:t xml:space="preserve"> </w:t>
            </w:r>
          </w:p>
          <w:p>
            <w:pPr>
              <w:rPr>
                <w:rFonts w:ascii="Arial" w:hAnsi="Arial"/>
                <w:szCs w:val="21"/>
              </w:rPr>
            </w:pPr>
            <w:r>
              <w:rPr>
                <w:rFonts w:hint="eastAsia"/>
                <w:szCs w:val="21"/>
              </w:rPr>
              <w:t>第二十条 校长实行选任制、委任制或聘任制，具备国家规定的任职条件，品德高尚，有较高的政治素质和管理水平；热爱教育事业，熟悉基础教育工作，掌握教育工作规律；一般应具有五年以上教育教学工作经历，取得中小学高级教师及以上专业技术职务，并经过培训获得岗位任职资格证书。</w:t>
            </w:r>
            <w:r>
              <w:rPr>
                <w:rFonts w:ascii="Arial" w:hAnsi="Arial"/>
                <w:szCs w:val="21"/>
              </w:rPr>
              <w:t xml:space="preserve"> </w:t>
            </w:r>
          </w:p>
          <w:p>
            <w:pPr>
              <w:rPr>
                <w:rFonts w:ascii="Arial" w:hAnsi="Arial"/>
                <w:szCs w:val="21"/>
              </w:rPr>
            </w:pPr>
            <w:r>
              <w:rPr>
                <w:rFonts w:hint="eastAsia"/>
                <w:szCs w:val="21"/>
              </w:rPr>
              <w:t>第二十一条 依据《普通高中课程方案（2017 年版）》和国家及省规定的编制标准，足额使用省核定的中小学教职工编制，配齐各学科专任教师和管理人员、教学辅助人员、工勤人员，切实满足教育教学活动、教学管理工作的需要。非专任教师比例不得突破国家和省定标准，建立健全教师补充机制。</w:t>
            </w:r>
            <w:r>
              <w:rPr>
                <w:rFonts w:ascii="Arial" w:hAnsi="Arial"/>
                <w:szCs w:val="21"/>
              </w:rPr>
              <w:t xml:space="preserve"> </w:t>
            </w:r>
          </w:p>
          <w:p>
            <w:pPr>
              <w:rPr>
                <w:rFonts w:ascii="Arial" w:hAnsi="Arial"/>
                <w:szCs w:val="21"/>
              </w:rPr>
            </w:pPr>
            <w:r>
              <w:rPr>
                <w:rFonts w:hint="eastAsia"/>
                <w:szCs w:val="21"/>
              </w:rPr>
              <w:t>第二十二条 教师队伍年龄、性别、学科、专业技术职务等结构合理。学校应配备具有执业医师或执业护士资格的专职卫生技术人员，配备专职或兼职心理健康教育教师。寄宿制学校应当按实际需要配备专门的生活教师和炊事员、安全保卫人员等，炊事员须持证上岗并定期体检，确保师生饮食安全。</w:t>
            </w:r>
            <w:r>
              <w:rPr>
                <w:rFonts w:ascii="Arial" w:hAnsi="Arial"/>
                <w:szCs w:val="21"/>
              </w:rPr>
              <w:t xml:space="preserve"> </w:t>
            </w:r>
          </w:p>
          <w:p>
            <w:pPr>
              <w:rPr>
                <w:rFonts w:ascii="Arial" w:hAnsi="Arial"/>
                <w:szCs w:val="21"/>
              </w:rPr>
            </w:pPr>
            <w:r>
              <w:rPr>
                <w:rFonts w:hint="eastAsia"/>
                <w:szCs w:val="21"/>
              </w:rPr>
              <w:t>第二十三条 教师及学校的教育教学管理人员必须依法取得相应的教师资格证书，本科及以上学历教师比例不低于95％。教师能普遍使用现代教育技术手段开展教育教学。</w:t>
            </w:r>
            <w:r>
              <w:rPr>
                <w:rFonts w:ascii="Arial" w:hAnsi="Arial"/>
                <w:szCs w:val="21"/>
              </w:rPr>
              <w:t xml:space="preserve"> </w:t>
            </w:r>
          </w:p>
          <w:p>
            <w:pPr>
              <w:rPr>
                <w:rFonts w:ascii="Arial" w:hAnsi="Arial"/>
                <w:szCs w:val="21"/>
              </w:rPr>
            </w:pPr>
            <w:r>
              <w:rPr>
                <w:rFonts w:hint="eastAsia"/>
                <w:b/>
                <w:bCs/>
                <w:szCs w:val="21"/>
              </w:rPr>
              <w:t>第六章 经 费</w:t>
            </w:r>
            <w:r>
              <w:rPr>
                <w:rFonts w:ascii="Arial" w:hAnsi="Arial"/>
                <w:szCs w:val="21"/>
              </w:rPr>
              <w:t xml:space="preserve"> </w:t>
            </w:r>
          </w:p>
          <w:p>
            <w:pPr>
              <w:rPr>
                <w:rFonts w:ascii="楷体_GB2312" w:hAnsi="Arial" w:eastAsia="楷体_GB2312"/>
                <w:color w:val="FF0000"/>
                <w:szCs w:val="21"/>
              </w:rPr>
            </w:pPr>
            <w:r>
              <w:rPr>
                <w:rFonts w:hint="eastAsia"/>
                <w:szCs w:val="21"/>
              </w:rPr>
              <w:t>第二十四条 学校有稳定的经费来源。包括：政府财政拨款、向受教育者收取学费、接受社会捐款、多渠道筹措资金。建立健全财务制度，规范财务管理，合理使用经费，提高办学效益。</w:t>
            </w:r>
            <w:r>
              <w:rPr>
                <w:rFonts w:hint="eastAsia" w:ascii="楷体_GB2312" w:hAnsi="Arial" w:eastAsia="楷体_GB2312"/>
                <w:szCs w:val="21"/>
              </w:rPr>
              <w:t xml:space="preserve"> </w:t>
            </w:r>
            <w:r>
              <w:rPr>
                <w:rFonts w:hint="eastAsia" w:ascii="楷体_GB2312" w:hAnsi="Arial" w:eastAsia="楷体_GB2312"/>
                <w:color w:val="FF0000"/>
                <w:szCs w:val="21"/>
              </w:rPr>
              <w:t>(学校开办资金执行《保定市</w:t>
            </w:r>
            <w:r>
              <w:rPr>
                <w:rFonts w:hint="eastAsia" w:ascii="楷体_GB2312" w:eastAsia="楷体_GB2312"/>
                <w:color w:val="FF0000"/>
                <w:szCs w:val="21"/>
              </w:rPr>
              <w:t>民办普通中学设置标准（试行）》(保教发〔2002〕33号)标准，初中不少于人民币贰佰万元，高中不少于人民币肆佰万元</w:t>
            </w:r>
            <w:r>
              <w:rPr>
                <w:rFonts w:hint="eastAsia" w:ascii="楷体_GB2312" w:hAnsi="Arial" w:eastAsia="楷体_GB2312"/>
                <w:color w:val="FF0000"/>
                <w:szCs w:val="21"/>
              </w:rPr>
              <w:t>)</w:t>
            </w:r>
          </w:p>
          <w:p>
            <w:pPr>
              <w:rPr>
                <w:rFonts w:ascii="Arial" w:hAnsi="Arial"/>
                <w:szCs w:val="21"/>
              </w:rPr>
            </w:pPr>
            <w:r>
              <w:rPr>
                <w:rFonts w:hint="eastAsia"/>
                <w:szCs w:val="21"/>
              </w:rPr>
              <w:t>第二十五条 建立家庭经济困难学生减免学费、给予生活补助制度，确保学生不因家庭经济困难而无法接受普通高中教育。</w:t>
            </w:r>
            <w:r>
              <w:rPr>
                <w:rFonts w:ascii="Arial" w:hAnsi="Arial"/>
                <w:szCs w:val="21"/>
              </w:rPr>
              <w:t xml:space="preserve"> </w:t>
            </w:r>
          </w:p>
          <w:p>
            <w:pPr>
              <w:rPr>
                <w:rFonts w:ascii="Arial" w:hAnsi="Arial"/>
                <w:szCs w:val="21"/>
              </w:rPr>
            </w:pPr>
            <w:r>
              <w:rPr>
                <w:rFonts w:hint="eastAsia"/>
                <w:szCs w:val="21"/>
              </w:rPr>
              <w:t>第二十六条 教职工工资按照省有关规定做到按月足额发放。</w:t>
            </w:r>
            <w:r>
              <w:rPr>
                <w:rFonts w:ascii="Arial" w:hAnsi="Arial"/>
                <w:szCs w:val="21"/>
              </w:rPr>
              <w:t xml:space="preserve"> </w:t>
            </w:r>
          </w:p>
          <w:p>
            <w:pPr>
              <w:rPr>
                <w:rFonts w:ascii="Arial" w:hAnsi="Arial"/>
                <w:szCs w:val="21"/>
              </w:rPr>
            </w:pPr>
            <w:r>
              <w:rPr>
                <w:rFonts w:hint="eastAsia"/>
                <w:b/>
                <w:bCs/>
                <w:szCs w:val="21"/>
              </w:rPr>
              <w:t>第七章 附 则</w:t>
            </w:r>
            <w:r>
              <w:rPr>
                <w:rFonts w:ascii="Arial" w:hAnsi="Arial"/>
                <w:szCs w:val="21"/>
              </w:rPr>
              <w:t xml:space="preserve"> </w:t>
            </w:r>
          </w:p>
          <w:p>
            <w:pPr>
              <w:rPr>
                <w:rFonts w:ascii="Arial" w:hAnsi="Arial"/>
                <w:szCs w:val="21"/>
              </w:rPr>
            </w:pPr>
            <w:r>
              <w:rPr>
                <w:rFonts w:hint="eastAsia"/>
                <w:szCs w:val="21"/>
              </w:rPr>
              <w:t>第二十七条 本《标准》由省教育厅负责解释，自发布之日起施行。</w:t>
            </w:r>
            <w:r>
              <w:rPr>
                <w:rFonts w:ascii="Arial" w:hAnsi="Arial"/>
                <w:szCs w:val="21"/>
              </w:rPr>
              <w:t xml:space="preserve"> </w:t>
            </w:r>
          </w:p>
          <w:p>
            <w:pPr>
              <w:rPr>
                <w:color w:val="000000"/>
              </w:rPr>
            </w:pPr>
          </w:p>
          <w:p>
            <w:pPr>
              <w:rPr>
                <w:b/>
                <w:color w:val="000000"/>
              </w:rPr>
            </w:pPr>
            <w:r>
              <w:rPr>
                <w:rFonts w:hint="eastAsia"/>
                <w:b/>
                <w:color w:val="000000"/>
              </w:rPr>
              <w:t>民办中等职业学校设置标准(冀教职成〔2010〕19号)：</w:t>
            </w:r>
          </w:p>
          <w:p>
            <w:pPr>
              <w:ind w:firstLine="420" w:firstLineChars="200"/>
              <w:rPr>
                <w:color w:val="000000"/>
              </w:rPr>
            </w:pPr>
            <w:r>
              <w:rPr>
                <w:rFonts w:hint="eastAsia"/>
                <w:color w:val="000000"/>
              </w:rPr>
              <w:t>第一条  为规范中等职业学校的设置，促进学校建设，保证教育质量，提高办学效益，依据《教育法》、《职业教育法》制定本标准。</w:t>
            </w:r>
          </w:p>
          <w:p>
            <w:pPr>
              <w:ind w:firstLine="420" w:firstLineChars="200"/>
              <w:rPr>
                <w:color w:val="000000"/>
              </w:rPr>
            </w:pPr>
            <w:r>
              <w:rPr>
                <w:rFonts w:hint="eastAsia"/>
                <w:color w:val="000000"/>
              </w:rPr>
              <w:t>第二条  本标准适用于公民、法人和其他组织依法设置的各类中等职业学校。</w:t>
            </w:r>
          </w:p>
          <w:p>
            <w:pPr>
              <w:ind w:firstLine="420" w:firstLineChars="200"/>
              <w:rPr>
                <w:color w:val="000000"/>
              </w:rPr>
            </w:pPr>
            <w:r>
              <w:rPr>
                <w:rFonts w:hint="eastAsia"/>
                <w:color w:val="000000"/>
              </w:rPr>
              <w:t>第三条  设置中等职业学校，应当条例当地职业教育发展规划，并达到《职业教育法》规定的基本条件。</w:t>
            </w:r>
          </w:p>
          <w:p>
            <w:pPr>
              <w:ind w:firstLine="420" w:firstLineChars="200"/>
              <w:rPr>
                <w:color w:val="000000"/>
              </w:rPr>
            </w:pPr>
            <w:r>
              <w:rPr>
                <w:rFonts w:hint="eastAsia"/>
                <w:color w:val="000000"/>
              </w:rPr>
              <w:t>第四条  中等职业学校应当具备法人条件，并按照国家有关规定办理法人登记。</w:t>
            </w:r>
          </w:p>
          <w:p>
            <w:pPr>
              <w:ind w:firstLine="420" w:firstLineChars="200"/>
              <w:rPr>
                <w:color w:val="000000"/>
              </w:rPr>
            </w:pPr>
            <w:r>
              <w:rPr>
                <w:rFonts w:hint="eastAsia"/>
                <w:color w:val="000000"/>
              </w:rPr>
              <w:t>第五条  设置中等职业学校，应具有学校章程。学校章程包括：名称、校址、办学宗旨、学校内部管理体制和运行机制、教职工管理、学生管理、教育教学管理、校产和财务管理、学校章程的修订等内容。</w:t>
            </w:r>
          </w:p>
          <w:p>
            <w:pPr>
              <w:ind w:firstLine="420" w:firstLineChars="200"/>
              <w:rPr>
                <w:color w:val="000000"/>
              </w:rPr>
            </w:pPr>
            <w:r>
              <w:rPr>
                <w:rFonts w:hint="eastAsia"/>
                <w:color w:val="000000"/>
              </w:rPr>
              <w:t>第六条  中等职业学校应当具备基本的办学规模。其中，学校学历教育在校生数应在1200人以上。</w:t>
            </w:r>
          </w:p>
          <w:p>
            <w:pPr>
              <w:ind w:firstLine="420" w:firstLineChars="200"/>
              <w:rPr>
                <w:color w:val="000000"/>
              </w:rPr>
            </w:pPr>
            <w:r>
              <w:rPr>
                <w:rFonts w:hint="eastAsia"/>
                <w:color w:val="000000"/>
              </w:rPr>
              <w:t>第七条  中等职业学校应当具有与学校办学规模相适应的专任教师队伍，兼职教师比例适当。专任教师一般不少于60人，师生比达到1：20，专任教师学历应达到国家有关规定。专任教师中，具有高级专业技术职务人数不低于20%。专业教师数应不低于本校专任教师数的50%，其中“双师型”教师不低于30%。每个专业至少应配备具有相关专业中级以上专业技术职务的专任教师2人。聘请有实践经验的兼职教师应占本校专任教师总数的20%左右。</w:t>
            </w:r>
          </w:p>
          <w:p>
            <w:pPr>
              <w:ind w:firstLine="420" w:firstLineChars="200"/>
              <w:rPr>
                <w:color w:val="000000"/>
              </w:rPr>
            </w:pPr>
            <w:r>
              <w:rPr>
                <w:rFonts w:hint="eastAsia"/>
                <w:color w:val="000000"/>
              </w:rPr>
              <w:t>第八条  应有与办学规模和专业设置相适应的校园、校舍和设施。</w:t>
            </w:r>
          </w:p>
          <w:p>
            <w:pPr>
              <w:ind w:firstLine="420" w:firstLineChars="200"/>
              <w:rPr>
                <w:color w:val="000000"/>
              </w:rPr>
            </w:pPr>
            <w:r>
              <w:rPr>
                <w:rFonts w:hint="eastAsia"/>
                <w:color w:val="000000"/>
              </w:rPr>
              <w:t>校园占地面积（不含教职工宿舍和相对独立的附属机构）：新建学校的建设规划总用地不少于40000平方米；生均用地面积指标不少于33平方米。</w:t>
            </w:r>
          </w:p>
          <w:p>
            <w:pPr>
              <w:ind w:firstLine="420" w:firstLineChars="200"/>
              <w:rPr>
                <w:color w:val="000000"/>
              </w:rPr>
            </w:pPr>
            <w:r>
              <w:rPr>
                <w:rFonts w:hint="eastAsia"/>
                <w:color w:val="000000"/>
              </w:rPr>
              <w:t>校舍建筑面积（不含教职工宿舍和相对独立的附属机构）：新建学校建筑规划面积不少于24000平方米；生均校舍建筑面积指标不少于20平方米。</w:t>
            </w:r>
          </w:p>
          <w:p>
            <w:pPr>
              <w:ind w:firstLine="420" w:firstLineChars="200"/>
              <w:rPr>
                <w:color w:val="000000"/>
              </w:rPr>
            </w:pPr>
            <w:r>
              <w:rPr>
                <w:rFonts w:hint="eastAsia"/>
                <w:color w:val="000000"/>
              </w:rPr>
              <w:t>体育用地：应有200米以上环型跑道的田径场，有满足教学和体育活动需要的其他设施和场地，符合《学校体育工作条例》的基本要求。</w:t>
            </w:r>
          </w:p>
          <w:p>
            <w:pPr>
              <w:ind w:firstLine="420" w:firstLineChars="200"/>
              <w:rPr>
                <w:color w:val="000000"/>
              </w:rPr>
            </w:pPr>
            <w:r>
              <w:rPr>
                <w:rFonts w:hint="eastAsia"/>
                <w:color w:val="000000"/>
              </w:rPr>
              <w:t>卫生保健、校园安全机构健全，教学、生活设施设备符合《学校卫生工作条例》的基本要求，校园安全有保障。</w:t>
            </w:r>
          </w:p>
          <w:p>
            <w:pPr>
              <w:ind w:firstLine="420" w:firstLineChars="200"/>
              <w:rPr>
                <w:color w:val="000000"/>
              </w:rPr>
            </w:pPr>
            <w:r>
              <w:rPr>
                <w:rFonts w:hint="eastAsia"/>
                <w:color w:val="000000"/>
              </w:rPr>
              <w:t>图书馆和阅览室：适用印刷图书生均不少于30册；报刊种类80种以上；教师阅览（资料）室和学生阅览室的座位数应安不低于专任教师总数的20%和学生总数的10%设置。</w:t>
            </w:r>
          </w:p>
          <w:p>
            <w:pPr>
              <w:ind w:firstLine="420" w:firstLineChars="200"/>
              <w:rPr>
                <w:color w:val="000000"/>
              </w:rPr>
            </w:pPr>
            <w:r>
              <w:rPr>
                <w:rFonts w:hint="eastAsia"/>
                <w:color w:val="000000"/>
              </w:rPr>
              <w:t>仪器设备：应当具有与专业设置相匹配、满足教学要求的实验、实习设施和仪器设备。工科类专业和医药类专业生均仪器设备价值不低于3000元，其他专业生均仪器设备价值不低于2500元。</w:t>
            </w:r>
          </w:p>
          <w:p>
            <w:pPr>
              <w:ind w:firstLine="420" w:firstLineChars="200"/>
              <w:rPr>
                <w:color w:val="000000"/>
              </w:rPr>
            </w:pPr>
            <w:r>
              <w:rPr>
                <w:rFonts w:hint="eastAsia"/>
                <w:color w:val="000000"/>
              </w:rPr>
              <w:t>实习、实训基地：要有与所设专业相适应的校内实训基地和相地稳定的校外实习基地，能够满足学生实习、实训需要。</w:t>
            </w:r>
          </w:p>
          <w:p>
            <w:pPr>
              <w:ind w:firstLine="420" w:firstLineChars="200"/>
              <w:rPr>
                <w:color w:val="000000"/>
              </w:rPr>
            </w:pPr>
            <w:r>
              <w:rPr>
                <w:rFonts w:hint="eastAsia"/>
                <w:color w:val="000000"/>
              </w:rPr>
              <w:t>要具备能够应用现代教育技术手段，实施现代远程职业教育及学校管理信息化所需的软、硬件设施、设备。其中，学校计算机拥有数量不少于每百生15台。</w:t>
            </w:r>
          </w:p>
          <w:p>
            <w:pPr>
              <w:ind w:firstLine="420" w:firstLineChars="200"/>
              <w:rPr>
                <w:color w:val="000000"/>
              </w:rPr>
            </w:pPr>
            <w:r>
              <w:rPr>
                <w:rFonts w:hint="eastAsia"/>
                <w:color w:val="000000"/>
              </w:rPr>
              <w:t>第九条  中等职业学校实行校长负责制。中等职业学校应当配备有较高思想政治素质和较强管理能力、熟悉职业教育发展规律的学校领导。校长应具有从事三年以上教育教学工作的经历，校长及教学副校长应具有本科以上学历和高级专业技术职务，其他校领导应具有本科以上学历和中级以上专业技术职务。</w:t>
            </w:r>
          </w:p>
          <w:p>
            <w:pPr>
              <w:ind w:firstLine="420" w:firstLineChars="200"/>
              <w:rPr>
                <w:color w:val="000000"/>
              </w:rPr>
            </w:pPr>
            <w:r>
              <w:rPr>
                <w:rFonts w:hint="eastAsia"/>
                <w:color w:val="000000"/>
              </w:rPr>
              <w:t>第十条  设置中等职业学校，应具有符合当地社会经济建设所需要的专业，有明确的教学计划、教学大纲等教学文件，以及相适应的课程标准和教材。</w:t>
            </w:r>
          </w:p>
          <w:p>
            <w:pPr>
              <w:ind w:firstLine="420" w:firstLineChars="200"/>
              <w:rPr>
                <w:color w:val="000000"/>
              </w:rPr>
            </w:pPr>
            <w:r>
              <w:rPr>
                <w:rFonts w:hint="eastAsia"/>
                <w:color w:val="000000"/>
              </w:rPr>
              <w:t>第十一条  中等职业学校应具有必要的教育教学和管理等工作机构。</w:t>
            </w:r>
          </w:p>
          <w:p>
            <w:pPr>
              <w:ind w:firstLine="420" w:firstLineChars="200"/>
              <w:rPr>
                <w:color w:val="000000"/>
              </w:rPr>
            </w:pPr>
            <w:r>
              <w:rPr>
                <w:rFonts w:hint="eastAsia"/>
                <w:color w:val="000000"/>
              </w:rPr>
              <w:t>第十二条  中等职业学校办学经费应依据《职业教育法》和地方有关法规多渠道筹措落实。学校基本建设、实验实训设备、教师培训和生均经费等正常经费，应有稳定、可靠的来源和切实的保证。</w:t>
            </w:r>
          </w:p>
          <w:p>
            <w:pPr>
              <w:ind w:firstLine="420" w:firstLineChars="200"/>
              <w:rPr>
                <w:color w:val="000000"/>
              </w:rPr>
            </w:pPr>
            <w:r>
              <w:rPr>
                <w:rFonts w:hint="eastAsia"/>
                <w:color w:val="000000"/>
              </w:rPr>
              <w:t>第十三条  本标准为设置中等职业学校的基本标准，是教育行政部门审批、检查、评估、督导中等职业学校的基本依据。如今后国家有关部门对中等职业学校生均用地面积和生均校舍建筑面积有新规定，以新规定为准。省级教育行政部门可制定高于本标准的中等职业学校设置办法。</w:t>
            </w:r>
          </w:p>
          <w:p>
            <w:pPr>
              <w:ind w:firstLine="420" w:firstLineChars="200"/>
              <w:rPr>
                <w:color w:val="000000"/>
              </w:rPr>
            </w:pPr>
            <w:r>
              <w:rPr>
                <w:rFonts w:hint="eastAsia"/>
                <w:color w:val="000000"/>
              </w:rPr>
              <w:t>对于边远贫困地区设置中等职业学校，其办学规模和相应的办学条件可适当放宽要求。具体标准由省级教育行政部门依据本标准制定，报教育部备案。</w:t>
            </w:r>
          </w:p>
          <w:p>
            <w:pPr>
              <w:ind w:firstLine="420" w:firstLineChars="200"/>
              <w:rPr>
                <w:color w:val="000000"/>
              </w:rPr>
            </w:pPr>
            <w:r>
              <w:rPr>
                <w:rFonts w:hint="eastAsia"/>
                <w:color w:val="000000"/>
              </w:rPr>
              <w:t>对体育、艺术、特殊教育等类别中等职业学校，其办学规模及其相应办学条件的基本要求，由教育部会同有关部门另行公布。</w:t>
            </w:r>
          </w:p>
          <w:p>
            <w:pPr>
              <w:ind w:firstLine="420" w:firstLineChars="200"/>
              <w:rPr>
                <w:color w:val="000000"/>
              </w:rPr>
            </w:pPr>
            <w:r>
              <w:rPr>
                <w:rFonts w:hint="eastAsia"/>
                <w:color w:val="000000"/>
              </w:rPr>
              <w:t>第十四条  本标准自发布之日起施行。2001年教育部制定的《中等职业学校设置标准（试行）》同时废止。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7"/>
            <w:vAlign w:val="center"/>
          </w:tcPr>
          <w:p>
            <w:r>
              <w:rPr>
                <w:rFonts w:hint="eastAsia" w:ascii="宋体"/>
                <w:color w:val="000000"/>
                <w:szCs w:val="21"/>
              </w:rPr>
              <w:t>《民办教育促进法》第十六条；《民办教育促进法实施条例》第四条、第五条、第六条、第七条；《河北省民办教育条例》第十条、第十二条；</w:t>
            </w:r>
            <w:r>
              <w:rPr>
                <w:rFonts w:hint="eastAsia" w:ascii="宋体" w:hAnsi="宋体"/>
                <w:color w:val="000000"/>
              </w:rPr>
              <w:t>《河北省营利性民办学校监督管理办法》</w:t>
            </w:r>
            <w:r>
              <w:rPr>
                <w:rFonts w:hint="eastAsia" w:ascii="宋体" w:hAnsi="宋体"/>
              </w:rPr>
              <w:t>第十五条</w:t>
            </w:r>
            <w:r>
              <w:rPr>
                <w:rFonts w:hint="eastAsia" w:ascii="宋体"/>
                <w:color w:val="000000"/>
                <w:szCs w:val="21"/>
              </w:rPr>
              <w:t>；《国务院办公厅转发教育部等部门关于建立中小学校舍安全保障长效机制意见的通知》(国办发〔2013〕103号)第三项；《河北省中小学校消防安全标准化管理规定》第十二条。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7"/>
            <w:vAlign w:val="center"/>
          </w:tcPr>
          <w:p>
            <w:pPr>
              <w:ind w:firstLine="420" w:firstLineChars="200"/>
              <w:rPr>
                <w:rFonts w:ascii="宋体"/>
                <w:color w:val="000000"/>
                <w:szCs w:val="21"/>
              </w:rPr>
            </w:pPr>
            <w:r>
              <w:rPr>
                <w:rFonts w:hint="eastAsia" w:ascii="宋体"/>
                <w:color w:val="000000"/>
                <w:szCs w:val="21"/>
              </w:rPr>
              <w:t>1.行政许可申请书。</w:t>
            </w:r>
          </w:p>
          <w:p>
            <w:pPr>
              <w:ind w:firstLine="420" w:firstLineChars="200"/>
              <w:rPr>
                <w:rFonts w:ascii="宋体"/>
                <w:color w:val="000000"/>
                <w:szCs w:val="21"/>
              </w:rPr>
            </w:pPr>
            <w:r>
              <w:rPr>
                <w:rFonts w:hint="eastAsia" w:ascii="宋体"/>
                <w:color w:val="000000"/>
                <w:szCs w:val="21"/>
              </w:rPr>
              <w:t>2.申办报告或申请报告。内容主要包括:举办者的名称、地址或者姓名、住址及其资质，筹设学校的名称、地址、办学层次、办学规模、办学条件、培养目标、办学形式、内部管理机制、党组织设置、经费筹措与管理使用等。申请报告只写明变更理由即可，终止办学时写明学校目前的现状、停止招生的具体原因、现有学生继续就学的安置方法、后续打算等。</w:t>
            </w:r>
          </w:p>
          <w:p>
            <w:pPr>
              <w:ind w:firstLine="420" w:firstLineChars="200"/>
              <w:rPr>
                <w:rFonts w:ascii="宋体"/>
                <w:color w:val="000000"/>
                <w:szCs w:val="21"/>
              </w:rPr>
            </w:pPr>
            <w:r>
              <w:rPr>
                <w:rFonts w:hint="eastAsia" w:ascii="宋体"/>
                <w:color w:val="000000"/>
                <w:szCs w:val="21"/>
              </w:rPr>
              <w:t>3.设立学校论证报告。</w:t>
            </w:r>
          </w:p>
          <w:p>
            <w:pPr>
              <w:ind w:firstLine="420" w:firstLineChars="200"/>
              <w:rPr>
                <w:rFonts w:ascii="宋体"/>
                <w:color w:val="000000"/>
                <w:szCs w:val="21"/>
              </w:rPr>
            </w:pPr>
            <w:r>
              <w:rPr>
                <w:rFonts w:hint="eastAsia" w:ascii="宋体"/>
                <w:color w:val="000000"/>
                <w:szCs w:val="21"/>
              </w:rPr>
              <w:t>4.举办者资质证明文件。举办者是社会组织的，应当包括社会组织的许可证、登记证或者营业执照、法定代表人有效身份证件复印件，决策机构、权力机构负责人及组成人员名单和有效身份证件复印件，决策机构、权力机构同意投资举办学校的决议。举办者是个人的，应当包括有效身份证件复印件、个人存款、有本人签名的投资举办学校的决定等证明文件。</w:t>
            </w:r>
          </w:p>
          <w:p>
            <w:pPr>
              <w:ind w:firstLine="420" w:firstLineChars="200"/>
              <w:rPr>
                <w:rFonts w:ascii="宋体"/>
                <w:color w:val="000000"/>
                <w:szCs w:val="21"/>
              </w:rPr>
            </w:pPr>
            <w:r>
              <w:rPr>
                <w:rFonts w:hint="eastAsia" w:ascii="宋体"/>
                <w:color w:val="000000"/>
                <w:szCs w:val="21"/>
              </w:rPr>
              <w:t>5.资产来源、资金数额及有效证明文件，并载明产权。办学启动资金应提供有效证明文件，实物需提供其所有权证明，土地使用权需提供土地使用权证或提交规划部门、土地部门的土地使用批文，知识产权需提供相关证书或证明材料,校舍的房屋所有权证复印件；租赁校舍的还需提供租赁合同或协议；举办者以国有资产参与举办民办学校的，还应提供有评估资质的中介机构的资产评估报告。</w:t>
            </w:r>
          </w:p>
          <w:p>
            <w:pPr>
              <w:ind w:firstLine="420" w:firstLineChars="200"/>
              <w:rPr>
                <w:rFonts w:ascii="宋体"/>
                <w:color w:val="000000"/>
                <w:szCs w:val="21"/>
              </w:rPr>
            </w:pPr>
            <w:r>
              <w:rPr>
                <w:rFonts w:hint="eastAsia" w:ascii="宋体"/>
                <w:color w:val="000000"/>
                <w:szCs w:val="21"/>
              </w:rPr>
              <w:t>6.属捐赠性质的校产须提交捐赠协议，载明捐赠人的姓名、所捐资产的数额、用途和管理方法及相关有效证明文件。</w:t>
            </w:r>
          </w:p>
          <w:p>
            <w:pPr>
              <w:ind w:firstLine="420" w:firstLineChars="200"/>
              <w:rPr>
                <w:rFonts w:ascii="宋体"/>
                <w:color w:val="000000"/>
                <w:szCs w:val="21"/>
              </w:rPr>
            </w:pPr>
            <w:r>
              <w:rPr>
                <w:rFonts w:hint="eastAsia" w:ascii="宋体"/>
                <w:color w:val="000000"/>
                <w:szCs w:val="21"/>
              </w:rPr>
              <w:t>7.民办学校举办者再申请举办营利性民办学校的，还应当提交其举办或者参与举办的现有民办学校的办学许可证、登记证或者营业执照、组织机构代码证、校园土地使用权证、校舍房屋产权证明复印件。</w:t>
            </w:r>
          </w:p>
          <w:p>
            <w:pPr>
              <w:ind w:firstLine="420" w:firstLineChars="200"/>
              <w:rPr>
                <w:rFonts w:ascii="宋体"/>
                <w:color w:val="000000"/>
                <w:szCs w:val="21"/>
              </w:rPr>
            </w:pPr>
            <w:r>
              <w:rPr>
                <w:rFonts w:hint="eastAsia" w:ascii="宋体"/>
                <w:color w:val="000000"/>
                <w:szCs w:val="21"/>
              </w:rPr>
              <w:t>8.有两个以上举办者的，应当提交合作办学协议，明确各举办者的出资数额、出资方式、权利义务，举办者的排序、争议解决办法等内容。出资计入学校注册资本的，应当明确各举办者计入注册资本的出资数额、出资方式、占注册资本的比例。</w:t>
            </w:r>
          </w:p>
          <w:p>
            <w:pPr>
              <w:ind w:firstLine="420" w:firstLineChars="200"/>
              <w:rPr>
                <w:rFonts w:ascii="宋体"/>
                <w:color w:val="000000"/>
                <w:szCs w:val="21"/>
              </w:rPr>
            </w:pPr>
            <w:r>
              <w:rPr>
                <w:rFonts w:hint="eastAsia" w:ascii="宋体"/>
                <w:color w:val="000000"/>
                <w:szCs w:val="21"/>
              </w:rPr>
              <w:t>9.举办体育、卫生、文化艺术等民办教育机构的，经有关行政主管部门审核同意后，由同级教育行政部门审批。</w:t>
            </w:r>
          </w:p>
          <w:p>
            <w:pPr>
              <w:ind w:firstLine="420" w:firstLineChars="200"/>
              <w:rPr>
                <w:rFonts w:ascii="宋体"/>
                <w:color w:val="000000"/>
                <w:szCs w:val="21"/>
              </w:rPr>
            </w:pPr>
            <w:r>
              <w:rPr>
                <w:rFonts w:hint="eastAsia" w:ascii="宋体"/>
                <w:color w:val="000000"/>
                <w:szCs w:val="21"/>
              </w:rPr>
              <w:t>10.学校章程、学校首届董（理）事会、监事(会)、行政机构负责人及组成人员名单和有效身份证件复印件。申请人关于学校董（理）事会成员三分之一以上人员具有五年以上教育教学经验的书面承诺并附个人简历。</w:t>
            </w:r>
          </w:p>
          <w:p>
            <w:pPr>
              <w:ind w:firstLine="420" w:firstLineChars="200"/>
              <w:rPr>
                <w:rFonts w:ascii="宋体"/>
                <w:color w:val="000000"/>
                <w:szCs w:val="21"/>
              </w:rPr>
            </w:pPr>
            <w:r>
              <w:rPr>
                <w:rFonts w:hint="eastAsia" w:ascii="宋体"/>
                <w:color w:val="000000"/>
                <w:szCs w:val="21"/>
              </w:rPr>
              <w:t>11.学校党组织负责人及组成人员名单和有效身份证件复印件，教职工党员名单。</w:t>
            </w:r>
          </w:p>
          <w:p>
            <w:pPr>
              <w:ind w:firstLine="420" w:firstLineChars="200"/>
              <w:rPr>
                <w:rFonts w:ascii="宋体"/>
                <w:color w:val="000000"/>
                <w:szCs w:val="21"/>
              </w:rPr>
            </w:pPr>
            <w:r>
              <w:rPr>
                <w:rFonts w:hint="eastAsia" w:ascii="宋体"/>
                <w:color w:val="000000"/>
                <w:szCs w:val="21"/>
              </w:rPr>
              <w:t>12.学校资产及其来源的有效证明文件。</w:t>
            </w:r>
          </w:p>
          <w:p>
            <w:pPr>
              <w:ind w:firstLine="420" w:firstLineChars="200"/>
              <w:rPr>
                <w:rFonts w:ascii="宋体"/>
                <w:color w:val="000000"/>
                <w:szCs w:val="21"/>
              </w:rPr>
            </w:pPr>
            <w:r>
              <w:rPr>
                <w:rFonts w:hint="eastAsia" w:ascii="宋体"/>
                <w:color w:val="000000"/>
                <w:szCs w:val="21"/>
              </w:rPr>
              <w:t>13.学校校长、教师、财会人员名单及资格证明文件</w:t>
            </w:r>
            <w:r>
              <w:rPr>
                <w:rFonts w:hint="eastAsia" w:ascii="楷体_GB2312" w:eastAsia="楷体_GB2312"/>
                <w:color w:val="000000"/>
                <w:szCs w:val="21"/>
              </w:rPr>
              <w:t>（校长：身份证、教师资格证、职称证、岗位任职资格证；教师：身份证、毕业证、教师资格证复印件；会计：身份证、会计资格证或会计专业大学毕业证）</w:t>
            </w:r>
            <w:r>
              <w:rPr>
                <w:rFonts w:hint="eastAsia" w:ascii="宋体"/>
                <w:color w:val="000000"/>
                <w:szCs w:val="21"/>
              </w:rPr>
              <w:t>。</w:t>
            </w:r>
          </w:p>
          <w:p>
            <w:pPr>
              <w:ind w:firstLine="420" w:firstLineChars="200"/>
              <w:rPr>
                <w:rFonts w:ascii="宋体"/>
                <w:color w:val="000000"/>
                <w:szCs w:val="21"/>
              </w:rPr>
            </w:pPr>
            <w:r>
              <w:rPr>
                <w:rFonts w:hint="eastAsia" w:ascii="宋体"/>
                <w:color w:val="000000"/>
                <w:szCs w:val="21"/>
              </w:rPr>
              <w:t>14.填报《保定市社会力量办学申报审批表》一式二份。</w:t>
            </w:r>
          </w:p>
          <w:p>
            <w:pPr>
              <w:ind w:firstLine="420" w:firstLineChars="200"/>
              <w:rPr>
                <w:rFonts w:ascii="楷体_GB2312" w:eastAsia="楷体_GB2312"/>
                <w:color w:val="000000"/>
                <w:szCs w:val="21"/>
              </w:rPr>
            </w:pPr>
            <w:r>
              <w:rPr>
                <w:rFonts w:hint="eastAsia" w:ascii="宋体"/>
                <w:color w:val="000000"/>
                <w:szCs w:val="21"/>
              </w:rPr>
              <w:t>15.</w:t>
            </w:r>
            <w:r>
              <w:fldChar w:fldCharType="begin"/>
            </w:r>
            <w:r>
              <w:instrText xml:space="preserve"> HYPERLINK "javascript:;" </w:instrText>
            </w:r>
            <w:r>
              <w:fldChar w:fldCharType="separate"/>
            </w:r>
            <w:r>
              <w:rPr>
                <w:rFonts w:hint="eastAsia" w:ascii="宋体"/>
                <w:color w:val="000000"/>
                <w:szCs w:val="21"/>
              </w:rPr>
              <w:t>学校董(理)事会关于变更事项或终止办学的决议或决定</w:t>
            </w:r>
            <w:r>
              <w:rPr>
                <w:rFonts w:hint="eastAsia" w:ascii="宋体"/>
                <w:color w:val="000000"/>
                <w:szCs w:val="21"/>
              </w:rPr>
              <w:fldChar w:fldCharType="end"/>
            </w:r>
            <w:r>
              <w:rPr>
                <w:rFonts w:hint="eastAsia" w:ascii="宋体"/>
                <w:color w:val="000000"/>
                <w:szCs w:val="21"/>
              </w:rPr>
              <w:t>。</w:t>
            </w:r>
            <w:r>
              <w:rPr>
                <w:rFonts w:hint="eastAsia" w:ascii="楷体_GB2312" w:eastAsia="楷体_GB2312"/>
                <w:color w:val="000000"/>
                <w:szCs w:val="21"/>
              </w:rPr>
              <w:t>(涉及学校分立、合并、变更名称、层次、类别和举办者、终止办学时提供)</w:t>
            </w:r>
          </w:p>
          <w:p>
            <w:pPr>
              <w:ind w:firstLine="420" w:firstLineChars="200"/>
              <w:rPr>
                <w:rFonts w:ascii="宋体"/>
                <w:color w:val="000000"/>
                <w:szCs w:val="21"/>
              </w:rPr>
            </w:pPr>
            <w:r>
              <w:rPr>
                <w:rFonts w:hint="eastAsia" w:ascii="宋体"/>
                <w:color w:val="000000"/>
                <w:szCs w:val="21"/>
              </w:rPr>
              <w:t>16.财务清算报告书。</w:t>
            </w:r>
            <w:r>
              <w:rPr>
                <w:rFonts w:hint="eastAsia" w:ascii="楷体_GB2312" w:eastAsia="楷体_GB2312"/>
                <w:color w:val="000000"/>
                <w:szCs w:val="21"/>
              </w:rPr>
              <w:t>(学校变更举办者、分立、合并和终止办学时提供)</w:t>
            </w:r>
          </w:p>
          <w:p>
            <w:pPr>
              <w:ind w:firstLine="420" w:firstLineChars="200"/>
              <w:rPr>
                <w:rFonts w:ascii="楷体_GB2312" w:eastAsia="楷体_GB2312"/>
                <w:color w:val="000000"/>
                <w:szCs w:val="21"/>
              </w:rPr>
            </w:pPr>
            <w:r>
              <w:rPr>
                <w:rFonts w:hint="eastAsia" w:ascii="宋体"/>
                <w:color w:val="000000"/>
                <w:szCs w:val="21"/>
              </w:rPr>
              <w:t>17.筹设批准书。</w:t>
            </w:r>
            <w:r>
              <w:rPr>
                <w:rFonts w:hint="eastAsia" w:ascii="楷体_GB2312" w:eastAsia="楷体_GB2312"/>
                <w:color w:val="000000"/>
                <w:szCs w:val="21"/>
              </w:rPr>
              <w:t>(完成学校筹设，申请正式设立时提交)</w:t>
            </w:r>
          </w:p>
          <w:p>
            <w:pPr>
              <w:ind w:firstLine="420" w:firstLineChars="200"/>
              <w:rPr>
                <w:rFonts w:ascii="楷体_GB2312" w:eastAsia="楷体_GB2312"/>
                <w:color w:val="000000"/>
                <w:szCs w:val="21"/>
              </w:rPr>
            </w:pPr>
            <w:r>
              <w:rPr>
                <w:rFonts w:hint="eastAsia" w:ascii="宋体"/>
                <w:color w:val="000000"/>
                <w:szCs w:val="21"/>
              </w:rPr>
              <w:t>18.筹设情况报告。</w:t>
            </w:r>
            <w:r>
              <w:rPr>
                <w:rFonts w:hint="eastAsia" w:ascii="楷体_GB2312" w:eastAsia="楷体_GB2312"/>
                <w:color w:val="000000"/>
                <w:szCs w:val="21"/>
              </w:rPr>
              <w:t>(完成学校筹设，申请正式设立时提交)</w:t>
            </w:r>
          </w:p>
          <w:p>
            <w:pPr>
              <w:ind w:firstLine="420" w:firstLineChars="200"/>
              <w:rPr>
                <w:rFonts w:ascii="宋体"/>
                <w:color w:val="000000"/>
                <w:szCs w:val="21"/>
              </w:rPr>
            </w:pPr>
            <w:r>
              <w:rPr>
                <w:rFonts w:hint="eastAsia" w:ascii="宋体"/>
                <w:color w:val="000000"/>
                <w:szCs w:val="21"/>
              </w:rPr>
              <w:t>19.民办学校办学许可证正副本、印章。</w:t>
            </w:r>
            <w:r>
              <w:rPr>
                <w:rFonts w:hint="eastAsia" w:ascii="楷体_GB2312" w:eastAsia="楷体_GB2312"/>
                <w:color w:val="000000"/>
                <w:szCs w:val="21"/>
              </w:rPr>
              <w:t>(涉及变更事项和终止办学时提供原件，换发新证)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7"/>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r>
              <w:rPr>
                <w:rFonts w:hint="eastAsia"/>
                <w:color w:val="000000"/>
              </w:rPr>
              <w:t>分类</w:t>
            </w:r>
          </w:p>
        </w:tc>
        <w:tc>
          <w:tcPr>
            <w:tcW w:w="1176" w:type="dxa"/>
            <w:gridSpan w:val="3"/>
            <w:vAlign w:val="center"/>
          </w:tcPr>
          <w:p>
            <w:pPr>
              <w:spacing w:line="300" w:lineRule="exact"/>
              <w:jc w:val="center"/>
              <w:rPr>
                <w:color w:val="000000"/>
              </w:rPr>
            </w:pPr>
            <w:r>
              <w:rPr>
                <w:rFonts w:hint="eastAsia"/>
                <w:color w:val="000000"/>
              </w:rPr>
              <w:t>环节名称</w:t>
            </w:r>
          </w:p>
        </w:tc>
        <w:tc>
          <w:tcPr>
            <w:tcW w:w="1316" w:type="dxa"/>
            <w:vAlign w:val="center"/>
          </w:tcPr>
          <w:p>
            <w:pPr>
              <w:spacing w:line="300" w:lineRule="exact"/>
              <w:jc w:val="center"/>
              <w:rPr>
                <w:color w:val="000000"/>
              </w:rPr>
            </w:pPr>
            <w:r>
              <w:rPr>
                <w:rFonts w:hint="eastAsia"/>
                <w:color w:val="000000"/>
              </w:rPr>
              <w:t>承办主体</w:t>
            </w:r>
          </w:p>
        </w:tc>
        <w:tc>
          <w:tcPr>
            <w:tcW w:w="3017" w:type="dxa"/>
            <w:gridSpan w:val="10"/>
            <w:vAlign w:val="center"/>
          </w:tcPr>
          <w:p>
            <w:pPr>
              <w:spacing w:line="300" w:lineRule="exact"/>
              <w:jc w:val="center"/>
              <w:rPr>
                <w:color w:val="000000"/>
              </w:rPr>
            </w:pPr>
            <w:r>
              <w:rPr>
                <w:rFonts w:hint="eastAsia"/>
                <w:color w:val="000000"/>
              </w:rPr>
              <w:t>审查内容</w:t>
            </w:r>
          </w:p>
        </w:tc>
        <w:tc>
          <w:tcPr>
            <w:tcW w:w="1417" w:type="dxa"/>
            <w:gridSpan w:val="3"/>
            <w:vAlign w:val="center"/>
          </w:tcPr>
          <w:p>
            <w:pPr>
              <w:spacing w:line="300" w:lineRule="exact"/>
              <w:jc w:val="center"/>
              <w:rPr>
                <w:color w:val="000000"/>
              </w:rPr>
            </w:pPr>
            <w:r>
              <w:rPr>
                <w:rFonts w:hint="eastAsia"/>
                <w:color w:val="000000"/>
              </w:rPr>
              <w:t>审批结果</w:t>
            </w:r>
          </w:p>
        </w:tc>
        <w:tc>
          <w:tcPr>
            <w:tcW w:w="962"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sz w:val="18"/>
                <w:szCs w:val="18"/>
              </w:rPr>
            </w:pPr>
          </w:p>
        </w:tc>
        <w:tc>
          <w:tcPr>
            <w:tcW w:w="899" w:type="dxa"/>
            <w:vMerge w:val="restart"/>
            <w:vAlign w:val="center"/>
          </w:tcPr>
          <w:p>
            <w:pPr>
              <w:jc w:val="center"/>
            </w:pPr>
          </w:p>
        </w:tc>
        <w:tc>
          <w:tcPr>
            <w:tcW w:w="1176" w:type="dxa"/>
            <w:gridSpan w:val="3"/>
            <w:vAlign w:val="center"/>
          </w:tcPr>
          <w:p>
            <w:pPr>
              <w:spacing w:line="300" w:lineRule="exact"/>
              <w:jc w:val="center"/>
            </w:pPr>
            <w:r>
              <w:rPr>
                <w:rFonts w:hint="eastAsia"/>
              </w:rPr>
              <w:t>受理</w:t>
            </w:r>
          </w:p>
        </w:tc>
        <w:tc>
          <w:tcPr>
            <w:tcW w:w="1316" w:type="dxa"/>
            <w:vAlign w:val="center"/>
          </w:tcPr>
          <w:p>
            <w:pPr>
              <w:spacing w:line="300" w:lineRule="exact"/>
              <w:jc w:val="center"/>
              <w:rPr>
                <w:rFonts w:hint="eastAsia" w:ascii="宋体" w:eastAsia="宋体"/>
                <w:snapToGrid w:val="0"/>
                <w:spacing w:val="-6"/>
                <w:kern w:val="0"/>
                <w:szCs w:val="21"/>
                <w:lang w:eastAsia="zh-CN"/>
              </w:rPr>
            </w:pPr>
            <w:r>
              <w:rPr>
                <w:rFonts w:hint="eastAsia" w:ascii="宋体"/>
                <w:snapToGrid w:val="0"/>
                <w:spacing w:val="-6"/>
                <w:kern w:val="0"/>
                <w:szCs w:val="21"/>
              </w:rPr>
              <w:t>社会事务</w:t>
            </w:r>
            <w:r>
              <w:rPr>
                <w:rFonts w:hint="eastAsia" w:ascii="宋体"/>
                <w:snapToGrid w:val="0"/>
                <w:spacing w:val="-6"/>
                <w:kern w:val="0"/>
                <w:szCs w:val="21"/>
                <w:lang w:eastAsia="zh-CN"/>
              </w:rPr>
              <w:t>股</w:t>
            </w:r>
          </w:p>
          <w:p>
            <w:pPr>
              <w:spacing w:line="300" w:lineRule="exact"/>
              <w:jc w:val="center"/>
              <w:rPr>
                <w:rFonts w:hint="eastAsia" w:ascii="宋体" w:eastAsia="宋体"/>
                <w:snapToGrid w:val="0"/>
                <w:spacing w:val="-6"/>
                <w:kern w:val="0"/>
                <w:szCs w:val="21"/>
                <w:lang w:eastAsia="zh-CN"/>
              </w:rPr>
            </w:pPr>
            <w:r>
              <w:rPr>
                <w:rFonts w:hint="eastAsia" w:ascii="宋体"/>
                <w:snapToGrid w:val="0"/>
                <w:spacing w:val="-6"/>
                <w:kern w:val="0"/>
                <w:szCs w:val="21"/>
                <w:lang w:eastAsia="zh-CN"/>
              </w:rPr>
              <w:t>焦云霞</w:t>
            </w:r>
          </w:p>
        </w:tc>
        <w:tc>
          <w:tcPr>
            <w:tcW w:w="3017" w:type="dxa"/>
            <w:gridSpan w:val="10"/>
            <w:vAlign w:val="center"/>
          </w:tcPr>
          <w:p>
            <w:pPr>
              <w:adjustRightInd w:val="0"/>
              <w:snapToGrid w:val="0"/>
              <w:spacing w:line="300" w:lineRule="exact"/>
              <w:rPr>
                <w:rFonts w:ascii="宋体"/>
                <w:szCs w:val="21"/>
              </w:rPr>
            </w:pPr>
            <w:r>
              <w:rPr>
                <w:rFonts w:hint="eastAsia" w:ascii="宋体"/>
                <w:szCs w:val="21"/>
              </w:rPr>
              <w:t>对申请材料进行形式审查：提交的申请材料是否齐全，是否符合法定形式。</w:t>
            </w:r>
          </w:p>
        </w:tc>
        <w:tc>
          <w:tcPr>
            <w:tcW w:w="1417" w:type="dxa"/>
            <w:gridSpan w:val="3"/>
            <w:vAlign w:val="center"/>
          </w:tcPr>
          <w:p>
            <w:pPr>
              <w:spacing w:line="300" w:lineRule="exact"/>
              <w:rPr>
                <w:rFonts w:ascii="宋体"/>
                <w:szCs w:val="21"/>
              </w:rPr>
            </w:pPr>
            <w:r>
              <w:rPr>
                <w:rFonts w:hint="eastAsia" w:ascii="宋体"/>
                <w:szCs w:val="21"/>
              </w:rPr>
              <w:t>材料齐备出具受理通知书，材料不齐出具一次告知书。</w:t>
            </w:r>
          </w:p>
        </w:tc>
        <w:tc>
          <w:tcPr>
            <w:tcW w:w="962" w:type="dxa"/>
            <w:vAlign w:val="center"/>
          </w:tcPr>
          <w:p>
            <w:pPr>
              <w:adjustRightInd w:val="0"/>
              <w:snapToGrid w:val="0"/>
              <w:spacing w:line="300" w:lineRule="exact"/>
              <w:jc w:val="center"/>
              <w:rPr>
                <w:rFonts w:ascii="宋体"/>
                <w:szCs w:val="21"/>
              </w:rPr>
            </w:pPr>
            <w:r>
              <w:rPr>
                <w:rFonts w:hint="eastAsia" w:ascii="宋体"/>
                <w:szCs w:val="21"/>
              </w:rPr>
              <w:t>1</w:t>
            </w:r>
          </w:p>
          <w:p>
            <w:pPr>
              <w:adjustRightInd w:val="0"/>
              <w:snapToGrid w:val="0"/>
              <w:spacing w:line="300" w:lineRule="exact"/>
              <w:jc w:val="center"/>
              <w:rPr>
                <w:rFonts w:ascii="宋体"/>
                <w:szCs w:val="21"/>
              </w:rPr>
            </w:pPr>
            <w:r>
              <w:rPr>
                <w:rFonts w:hint="eastAsia" w:ascii="宋体"/>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sz w:val="18"/>
                <w:szCs w:val="18"/>
              </w:rPr>
            </w:pPr>
          </w:p>
        </w:tc>
        <w:tc>
          <w:tcPr>
            <w:tcW w:w="899" w:type="dxa"/>
            <w:vMerge w:val="continue"/>
            <w:vAlign w:val="center"/>
          </w:tcPr>
          <w:p>
            <w:pPr>
              <w:jc w:val="center"/>
            </w:pPr>
          </w:p>
        </w:tc>
        <w:tc>
          <w:tcPr>
            <w:tcW w:w="1176" w:type="dxa"/>
            <w:gridSpan w:val="3"/>
            <w:vAlign w:val="center"/>
          </w:tcPr>
          <w:p>
            <w:pPr>
              <w:spacing w:line="300" w:lineRule="exact"/>
              <w:jc w:val="center"/>
            </w:pPr>
            <w:r>
              <w:rPr>
                <w:rFonts w:hint="eastAsia"/>
              </w:rPr>
              <w:t>现场勘验(专家评议)</w:t>
            </w:r>
          </w:p>
        </w:tc>
        <w:tc>
          <w:tcPr>
            <w:tcW w:w="1316" w:type="dxa"/>
            <w:vAlign w:val="center"/>
          </w:tcPr>
          <w:p>
            <w:pPr>
              <w:spacing w:line="300" w:lineRule="exact"/>
              <w:jc w:val="center"/>
              <w:rPr>
                <w:rFonts w:hint="eastAsia" w:ascii="宋体" w:eastAsia="宋体"/>
                <w:szCs w:val="21"/>
                <w:lang w:eastAsia="zh-CN"/>
              </w:rPr>
            </w:pPr>
            <w:r>
              <w:rPr>
                <w:rFonts w:hint="eastAsia" w:ascii="宋体"/>
                <w:szCs w:val="21"/>
                <w:lang w:eastAsia="zh-CN"/>
              </w:rPr>
              <w:t>法制股</w:t>
            </w:r>
          </w:p>
        </w:tc>
        <w:tc>
          <w:tcPr>
            <w:tcW w:w="3017" w:type="dxa"/>
            <w:gridSpan w:val="10"/>
            <w:vAlign w:val="center"/>
          </w:tcPr>
          <w:p>
            <w:pPr>
              <w:adjustRightInd w:val="0"/>
              <w:snapToGrid w:val="0"/>
              <w:spacing w:line="300" w:lineRule="exact"/>
              <w:rPr>
                <w:rFonts w:ascii="宋体"/>
                <w:szCs w:val="21"/>
              </w:rPr>
            </w:pPr>
            <w:r>
              <w:rPr>
                <w:rFonts w:hint="eastAsia" w:ascii="宋体"/>
                <w:szCs w:val="21"/>
              </w:rPr>
              <w:t>对拟办学校办学条件进行现场核查。</w:t>
            </w:r>
          </w:p>
        </w:tc>
        <w:tc>
          <w:tcPr>
            <w:tcW w:w="1417" w:type="dxa"/>
            <w:gridSpan w:val="3"/>
            <w:vAlign w:val="center"/>
          </w:tcPr>
          <w:p>
            <w:pPr>
              <w:spacing w:line="300" w:lineRule="exact"/>
              <w:rPr>
                <w:rFonts w:ascii="宋体"/>
                <w:szCs w:val="21"/>
              </w:rPr>
            </w:pPr>
            <w:r>
              <w:rPr>
                <w:rFonts w:hint="eastAsia" w:ascii="宋体"/>
                <w:szCs w:val="21"/>
              </w:rPr>
              <w:t>填写勘查记录，撰写勘查报告。</w:t>
            </w:r>
          </w:p>
        </w:tc>
        <w:tc>
          <w:tcPr>
            <w:tcW w:w="962" w:type="dxa"/>
            <w:vAlign w:val="center"/>
          </w:tcPr>
          <w:p>
            <w:pPr>
              <w:adjustRightInd w:val="0"/>
              <w:snapToGrid w:val="0"/>
              <w:spacing w:line="300" w:lineRule="exact"/>
              <w:jc w:val="center"/>
              <w:rPr>
                <w:rFonts w:ascii="宋体"/>
                <w:szCs w:val="21"/>
              </w:rPr>
            </w:pPr>
            <w:r>
              <w:rPr>
                <w:rFonts w:hint="eastAsia" w:ascii="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bCs/>
                <w:sz w:val="18"/>
                <w:szCs w:val="18"/>
              </w:rPr>
            </w:pPr>
          </w:p>
        </w:tc>
        <w:tc>
          <w:tcPr>
            <w:tcW w:w="899" w:type="dxa"/>
            <w:vMerge w:val="continue"/>
            <w:vAlign w:val="center"/>
          </w:tcPr>
          <w:p>
            <w:pPr>
              <w:jc w:val="center"/>
            </w:pPr>
          </w:p>
        </w:tc>
        <w:tc>
          <w:tcPr>
            <w:tcW w:w="1176" w:type="dxa"/>
            <w:gridSpan w:val="3"/>
            <w:vAlign w:val="center"/>
          </w:tcPr>
          <w:p>
            <w:pPr>
              <w:spacing w:line="300" w:lineRule="exact"/>
              <w:jc w:val="center"/>
            </w:pPr>
            <w:r>
              <w:rPr>
                <w:rFonts w:hint="eastAsia"/>
              </w:rPr>
              <w:t>审查</w:t>
            </w:r>
          </w:p>
        </w:tc>
        <w:tc>
          <w:tcPr>
            <w:tcW w:w="1316" w:type="dxa"/>
            <w:vAlign w:val="center"/>
          </w:tcPr>
          <w:p>
            <w:pPr>
              <w:spacing w:line="300" w:lineRule="exact"/>
              <w:jc w:val="center"/>
              <w:rPr>
                <w:rFonts w:ascii="宋体"/>
                <w:szCs w:val="21"/>
              </w:rPr>
            </w:pPr>
            <w:r>
              <w:rPr>
                <w:rFonts w:hint="eastAsia" w:ascii="宋体"/>
                <w:szCs w:val="21"/>
              </w:rPr>
              <w:t>社会事务</w:t>
            </w:r>
            <w:r>
              <w:rPr>
                <w:rFonts w:hint="eastAsia" w:ascii="宋体"/>
                <w:szCs w:val="21"/>
                <w:lang w:eastAsia="zh-CN"/>
              </w:rPr>
              <w:t>股</w:t>
            </w:r>
            <w:r>
              <w:rPr>
                <w:rFonts w:hint="eastAsia" w:ascii="宋体"/>
                <w:szCs w:val="21"/>
              </w:rPr>
              <w:t>负责人</w:t>
            </w:r>
          </w:p>
          <w:p>
            <w:pPr>
              <w:spacing w:line="300" w:lineRule="exact"/>
              <w:jc w:val="center"/>
              <w:rPr>
                <w:rFonts w:hint="eastAsia" w:ascii="宋体" w:eastAsia="宋体"/>
                <w:szCs w:val="21"/>
                <w:lang w:eastAsia="zh-CN"/>
              </w:rPr>
            </w:pPr>
            <w:r>
              <w:rPr>
                <w:rFonts w:hint="eastAsia" w:ascii="宋体"/>
                <w:szCs w:val="21"/>
                <w:lang w:eastAsia="zh-CN"/>
              </w:rPr>
              <w:t>郝爱华</w:t>
            </w:r>
          </w:p>
        </w:tc>
        <w:tc>
          <w:tcPr>
            <w:tcW w:w="3017" w:type="dxa"/>
            <w:gridSpan w:val="10"/>
            <w:vAlign w:val="center"/>
          </w:tcPr>
          <w:p>
            <w:pPr>
              <w:spacing w:line="300" w:lineRule="exact"/>
              <w:rPr>
                <w:rFonts w:ascii="宋体"/>
                <w:szCs w:val="21"/>
              </w:rPr>
            </w:pPr>
            <w:r>
              <w:rPr>
                <w:rFonts w:hint="eastAsia" w:ascii="宋体"/>
                <w:szCs w:val="21"/>
              </w:rPr>
              <w:t>对申请材料、勘验结果的合法性合规性及办学条件进行实质性审查。</w:t>
            </w:r>
          </w:p>
        </w:tc>
        <w:tc>
          <w:tcPr>
            <w:tcW w:w="1417" w:type="dxa"/>
            <w:gridSpan w:val="3"/>
            <w:vAlign w:val="center"/>
          </w:tcPr>
          <w:p>
            <w:pPr>
              <w:spacing w:line="300" w:lineRule="exact"/>
              <w:rPr>
                <w:rFonts w:ascii="宋体"/>
                <w:szCs w:val="21"/>
              </w:rPr>
            </w:pPr>
            <w:r>
              <w:rPr>
                <w:rFonts w:hint="eastAsia" w:ascii="宋体"/>
                <w:szCs w:val="21"/>
              </w:rPr>
              <w:t>作出审核意见。</w:t>
            </w:r>
          </w:p>
        </w:tc>
        <w:tc>
          <w:tcPr>
            <w:tcW w:w="962" w:type="dxa"/>
            <w:vAlign w:val="center"/>
          </w:tcPr>
          <w:p>
            <w:pPr>
              <w:spacing w:line="300" w:lineRule="exact"/>
              <w:jc w:val="center"/>
              <w:rPr>
                <w:rFonts w:ascii="宋体"/>
                <w:szCs w:val="21"/>
              </w:rPr>
            </w:pPr>
            <w:r>
              <w:rPr>
                <w:rFonts w:hint="eastAsia" w:asci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sz w:val="18"/>
                <w:szCs w:val="18"/>
              </w:rPr>
            </w:pPr>
          </w:p>
        </w:tc>
        <w:tc>
          <w:tcPr>
            <w:tcW w:w="899" w:type="dxa"/>
            <w:vMerge w:val="continue"/>
            <w:vAlign w:val="center"/>
          </w:tcPr>
          <w:p>
            <w:pPr>
              <w:jc w:val="center"/>
            </w:pPr>
          </w:p>
        </w:tc>
        <w:tc>
          <w:tcPr>
            <w:tcW w:w="1176" w:type="dxa"/>
            <w:gridSpan w:val="3"/>
            <w:vAlign w:val="center"/>
          </w:tcPr>
          <w:p>
            <w:pPr>
              <w:spacing w:line="300" w:lineRule="exact"/>
              <w:jc w:val="center"/>
            </w:pPr>
            <w:r>
              <w:rPr>
                <w:rFonts w:hint="eastAsia"/>
              </w:rPr>
              <w:t>决定</w:t>
            </w:r>
          </w:p>
        </w:tc>
        <w:tc>
          <w:tcPr>
            <w:tcW w:w="1316" w:type="dxa"/>
            <w:vAlign w:val="center"/>
          </w:tcPr>
          <w:p>
            <w:pPr>
              <w:spacing w:line="300" w:lineRule="exact"/>
              <w:jc w:val="center"/>
              <w:rPr>
                <w:rFonts w:ascii="宋体"/>
                <w:szCs w:val="21"/>
              </w:rPr>
            </w:pPr>
            <w:r>
              <w:rPr>
                <w:rFonts w:hint="eastAsia" w:ascii="宋体"/>
                <w:szCs w:val="21"/>
              </w:rPr>
              <w:t>主管领导</w:t>
            </w:r>
          </w:p>
          <w:p>
            <w:pPr>
              <w:spacing w:line="300" w:lineRule="exact"/>
              <w:jc w:val="center"/>
              <w:rPr>
                <w:rFonts w:hint="eastAsia" w:ascii="宋体" w:eastAsia="宋体"/>
                <w:szCs w:val="21"/>
                <w:lang w:eastAsia="zh-CN"/>
              </w:rPr>
            </w:pPr>
            <w:r>
              <w:rPr>
                <w:rFonts w:hint="eastAsia" w:ascii="宋体"/>
                <w:szCs w:val="21"/>
                <w:lang w:eastAsia="zh-CN"/>
              </w:rPr>
              <w:t>薛永录</w:t>
            </w:r>
          </w:p>
        </w:tc>
        <w:tc>
          <w:tcPr>
            <w:tcW w:w="3017" w:type="dxa"/>
            <w:gridSpan w:val="10"/>
            <w:vAlign w:val="center"/>
          </w:tcPr>
          <w:p>
            <w:pPr>
              <w:spacing w:line="300" w:lineRule="exact"/>
              <w:rPr>
                <w:rFonts w:ascii="宋体"/>
                <w:szCs w:val="21"/>
              </w:rPr>
            </w:pPr>
            <w:r>
              <w:rPr>
                <w:rFonts w:hint="eastAsia" w:ascii="宋体"/>
                <w:szCs w:val="21"/>
              </w:rPr>
              <w:t>对审核情况进行把关。</w:t>
            </w:r>
          </w:p>
        </w:tc>
        <w:tc>
          <w:tcPr>
            <w:tcW w:w="1417" w:type="dxa"/>
            <w:gridSpan w:val="3"/>
            <w:vAlign w:val="center"/>
          </w:tcPr>
          <w:p>
            <w:pPr>
              <w:spacing w:line="300" w:lineRule="exact"/>
              <w:rPr>
                <w:rFonts w:ascii="宋体"/>
                <w:szCs w:val="21"/>
              </w:rPr>
            </w:pPr>
            <w:r>
              <w:rPr>
                <w:rFonts w:hint="eastAsia" w:ascii="宋体"/>
                <w:szCs w:val="21"/>
              </w:rPr>
              <w:t>作出审批意见。</w:t>
            </w:r>
          </w:p>
        </w:tc>
        <w:tc>
          <w:tcPr>
            <w:tcW w:w="962" w:type="dxa"/>
            <w:vAlign w:val="center"/>
          </w:tcPr>
          <w:p>
            <w:pPr>
              <w:spacing w:line="300" w:lineRule="exact"/>
              <w:jc w:val="center"/>
              <w:rPr>
                <w:rFonts w:ascii="宋体"/>
                <w:szCs w:val="21"/>
              </w:rPr>
            </w:pPr>
            <w:r>
              <w:rPr>
                <w:rFonts w:hint="eastAsia" w:asci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71" w:type="dxa"/>
            <w:vMerge w:val="continue"/>
            <w:vAlign w:val="center"/>
          </w:tcPr>
          <w:p>
            <w:pPr>
              <w:jc w:val="center"/>
              <w:rPr>
                <w:bCs/>
                <w:sz w:val="18"/>
                <w:szCs w:val="18"/>
              </w:rPr>
            </w:pPr>
          </w:p>
        </w:tc>
        <w:tc>
          <w:tcPr>
            <w:tcW w:w="899" w:type="dxa"/>
            <w:vAlign w:val="center"/>
          </w:tcPr>
          <w:p>
            <w:pPr>
              <w:jc w:val="center"/>
            </w:pPr>
          </w:p>
        </w:tc>
        <w:tc>
          <w:tcPr>
            <w:tcW w:w="1176" w:type="dxa"/>
            <w:gridSpan w:val="3"/>
            <w:vAlign w:val="center"/>
          </w:tcPr>
          <w:p>
            <w:pPr>
              <w:spacing w:line="300" w:lineRule="exact"/>
              <w:jc w:val="center"/>
            </w:pPr>
            <w:r>
              <w:rPr>
                <w:rFonts w:hint="eastAsia"/>
              </w:rPr>
              <w:t>送达</w:t>
            </w:r>
          </w:p>
        </w:tc>
        <w:tc>
          <w:tcPr>
            <w:tcW w:w="1316" w:type="dxa"/>
            <w:vAlign w:val="center"/>
          </w:tcPr>
          <w:p>
            <w:pPr>
              <w:spacing w:line="300" w:lineRule="exact"/>
              <w:jc w:val="center"/>
              <w:rPr>
                <w:rFonts w:ascii="宋体"/>
                <w:snapToGrid w:val="0"/>
                <w:spacing w:val="-6"/>
                <w:kern w:val="0"/>
                <w:szCs w:val="21"/>
              </w:rPr>
            </w:pPr>
            <w:r>
              <w:rPr>
                <w:rFonts w:hint="eastAsia" w:ascii="宋体"/>
                <w:szCs w:val="21"/>
              </w:rPr>
              <w:t>社会事务</w:t>
            </w:r>
            <w:r>
              <w:rPr>
                <w:rFonts w:hint="eastAsia" w:ascii="宋体"/>
                <w:szCs w:val="21"/>
                <w:lang w:eastAsia="zh-CN"/>
              </w:rPr>
              <w:t>股焦云霞</w:t>
            </w:r>
          </w:p>
        </w:tc>
        <w:tc>
          <w:tcPr>
            <w:tcW w:w="3017" w:type="dxa"/>
            <w:gridSpan w:val="10"/>
            <w:vAlign w:val="center"/>
          </w:tcPr>
          <w:p>
            <w:pPr>
              <w:spacing w:line="300" w:lineRule="exact"/>
              <w:rPr>
                <w:rFonts w:ascii="宋体"/>
                <w:szCs w:val="21"/>
              </w:rPr>
            </w:pPr>
            <w:r>
              <w:rPr>
                <w:rFonts w:hint="eastAsia" w:ascii="宋体"/>
                <w:szCs w:val="21"/>
              </w:rPr>
              <w:t>梳理档案材料，颁发行政许可决定书、民办学校办学许可证。</w:t>
            </w:r>
          </w:p>
        </w:tc>
        <w:tc>
          <w:tcPr>
            <w:tcW w:w="1417" w:type="dxa"/>
            <w:gridSpan w:val="3"/>
            <w:vAlign w:val="center"/>
          </w:tcPr>
          <w:p>
            <w:pPr>
              <w:spacing w:line="300" w:lineRule="exact"/>
              <w:rPr>
                <w:rFonts w:ascii="宋体"/>
                <w:szCs w:val="21"/>
              </w:rPr>
            </w:pPr>
            <w:r>
              <w:rPr>
                <w:rFonts w:hint="eastAsia" w:ascii="宋体"/>
                <w:szCs w:val="21"/>
              </w:rPr>
              <w:t>办结发证。</w:t>
            </w:r>
          </w:p>
        </w:tc>
        <w:tc>
          <w:tcPr>
            <w:tcW w:w="962" w:type="dxa"/>
            <w:vAlign w:val="center"/>
          </w:tcPr>
          <w:p>
            <w:pPr>
              <w:spacing w:line="300" w:lineRule="exact"/>
              <w:jc w:val="center"/>
              <w:rPr>
                <w:rFonts w:ascii="宋体"/>
                <w:szCs w:val="21"/>
              </w:rPr>
            </w:pPr>
            <w:r>
              <w:rPr>
                <w:rFonts w:hint="eastAsia" w:asci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071" w:type="dxa"/>
            <w:vAlign w:val="center"/>
          </w:tcPr>
          <w:p>
            <w:pPr>
              <w:jc w:val="center"/>
              <w:rPr>
                <w:bCs/>
              </w:rPr>
            </w:pPr>
            <w:r>
              <w:rPr>
                <w:rFonts w:hint="eastAsia"/>
                <w:bCs/>
              </w:rPr>
              <w:t>现场勘验环节说明</w:t>
            </w:r>
          </w:p>
        </w:tc>
        <w:tc>
          <w:tcPr>
            <w:tcW w:w="8787" w:type="dxa"/>
            <w:gridSpan w:val="19"/>
            <w:vAlign w:val="center"/>
          </w:tcPr>
          <w:p>
            <w:pPr>
              <w:spacing w:line="300" w:lineRule="exact"/>
              <w:rPr>
                <w:bCs/>
              </w:rPr>
            </w:pPr>
            <w:r>
              <w:rPr>
                <w:rFonts w:hint="eastAsia"/>
                <w:bCs/>
              </w:rPr>
              <w:t>现场勘验要点：1.校园选址是否符合相关规定，学校布局是否合理；2.学校校舍是否达到相关建设标准，各种设施是否配套齐全；3.各教室、实验室、实习车间等是否配套齐全，建筑面积是否达到规定的设置标准；4.各种教学仪器、设备、器材配置是否符合国家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1" w:type="dxa"/>
            <w:vAlign w:val="center"/>
          </w:tcPr>
          <w:p>
            <w:pPr>
              <w:jc w:val="center"/>
              <w:rPr>
                <w:bCs/>
              </w:rPr>
            </w:pPr>
            <w:r>
              <w:rPr>
                <w:rFonts w:hint="eastAsia"/>
                <w:bCs/>
              </w:rPr>
              <w:t>办理时限</w:t>
            </w:r>
          </w:p>
        </w:tc>
        <w:tc>
          <w:tcPr>
            <w:tcW w:w="1472" w:type="dxa"/>
            <w:gridSpan w:val="2"/>
            <w:vAlign w:val="center"/>
          </w:tcPr>
          <w:p>
            <w:pPr>
              <w:jc w:val="center"/>
            </w:pPr>
            <w:r>
              <w:rPr>
                <w:rFonts w:hint="eastAsia"/>
              </w:rPr>
              <w:t>法定时限</w:t>
            </w:r>
          </w:p>
        </w:tc>
        <w:tc>
          <w:tcPr>
            <w:tcW w:w="3336" w:type="dxa"/>
            <w:gridSpan w:val="6"/>
            <w:vAlign w:val="center"/>
          </w:tcPr>
          <w:p>
            <w:pPr>
              <w:jc w:val="center"/>
              <w:rPr>
                <w:szCs w:val="21"/>
              </w:rPr>
            </w:pPr>
            <w:r>
              <w:rPr>
                <w:rFonts w:hint="eastAsia"/>
                <w:szCs w:val="21"/>
              </w:rPr>
              <w:t>3个月</w:t>
            </w:r>
          </w:p>
        </w:tc>
        <w:tc>
          <w:tcPr>
            <w:tcW w:w="1276" w:type="dxa"/>
            <w:gridSpan w:val="5"/>
            <w:vAlign w:val="center"/>
          </w:tcPr>
          <w:p>
            <w:pPr>
              <w:jc w:val="center"/>
              <w:rPr>
                <w:szCs w:val="21"/>
              </w:rPr>
            </w:pPr>
            <w:r>
              <w:rPr>
                <w:rFonts w:hint="eastAsia"/>
                <w:szCs w:val="21"/>
              </w:rPr>
              <w:t>承诺时限</w:t>
            </w:r>
          </w:p>
        </w:tc>
        <w:tc>
          <w:tcPr>
            <w:tcW w:w="2703" w:type="dxa"/>
            <w:gridSpan w:val="6"/>
            <w:vAlign w:val="center"/>
          </w:tcPr>
          <w:p>
            <w:pPr>
              <w:jc w:val="center"/>
              <w:rPr>
                <w:szCs w:val="21"/>
              </w:rPr>
            </w:pPr>
            <w:r>
              <w:rPr>
                <w:rFonts w:hint="eastAsia"/>
                <w:szCs w:val="21"/>
              </w:rPr>
              <w:t>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批准证件</w:t>
            </w:r>
          </w:p>
        </w:tc>
        <w:tc>
          <w:tcPr>
            <w:tcW w:w="1472" w:type="dxa"/>
            <w:gridSpan w:val="2"/>
            <w:vAlign w:val="center"/>
          </w:tcPr>
          <w:p>
            <w:pPr>
              <w:jc w:val="center"/>
            </w:pPr>
            <w:r>
              <w:rPr>
                <w:rFonts w:hint="eastAsia"/>
              </w:rPr>
              <w:t>名</w:t>
            </w:r>
            <w:r>
              <w:t xml:space="preserve">  </w:t>
            </w:r>
            <w:r>
              <w:rPr>
                <w:rFonts w:hint="eastAsia"/>
              </w:rPr>
              <w:t>称</w:t>
            </w:r>
          </w:p>
        </w:tc>
        <w:tc>
          <w:tcPr>
            <w:tcW w:w="3336" w:type="dxa"/>
            <w:gridSpan w:val="6"/>
            <w:vAlign w:val="center"/>
          </w:tcPr>
          <w:p>
            <w:pPr>
              <w:spacing w:line="340" w:lineRule="exact"/>
              <w:jc w:val="center"/>
              <w:rPr>
                <w:rFonts w:ascii="宋体"/>
                <w:szCs w:val="21"/>
              </w:rPr>
            </w:pPr>
            <w:r>
              <w:rPr>
                <w:rFonts w:hint="eastAsia" w:ascii="宋体"/>
                <w:szCs w:val="21"/>
              </w:rPr>
              <w:t>民办学校办学许可证</w:t>
            </w:r>
          </w:p>
        </w:tc>
        <w:tc>
          <w:tcPr>
            <w:tcW w:w="1276" w:type="dxa"/>
            <w:gridSpan w:val="5"/>
            <w:vAlign w:val="center"/>
          </w:tcPr>
          <w:p>
            <w:pPr>
              <w:spacing w:line="340" w:lineRule="exact"/>
              <w:jc w:val="center"/>
              <w:rPr>
                <w:rFonts w:ascii="宋体"/>
                <w:szCs w:val="21"/>
              </w:rPr>
            </w:pPr>
            <w:r>
              <w:rPr>
                <w:rFonts w:hint="eastAsia" w:ascii="宋体" w:hAnsi="宋体"/>
                <w:szCs w:val="21"/>
              </w:rPr>
              <w:t>有效期</w:t>
            </w:r>
          </w:p>
        </w:tc>
        <w:tc>
          <w:tcPr>
            <w:tcW w:w="2703" w:type="dxa"/>
            <w:gridSpan w:val="6"/>
            <w:vAlign w:val="center"/>
          </w:tcPr>
          <w:p>
            <w:pPr>
              <w:spacing w:line="340" w:lineRule="exact"/>
              <w:jc w:val="center"/>
              <w:rPr>
                <w:rFonts w:ascii="宋体"/>
                <w:szCs w:val="21"/>
              </w:rPr>
            </w:pPr>
            <w:r>
              <w:rPr>
                <w:rFonts w:hint="eastAsia" w:ascii="宋体"/>
                <w:szCs w:val="21"/>
              </w:rPr>
              <w:t>年检有效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服务对象</w:t>
            </w:r>
          </w:p>
        </w:tc>
        <w:tc>
          <w:tcPr>
            <w:tcW w:w="8787" w:type="dxa"/>
            <w:gridSpan w:val="19"/>
            <w:vAlign w:val="center"/>
          </w:tcPr>
          <w:p>
            <w:pPr>
              <w:spacing w:line="340" w:lineRule="exact"/>
              <w:ind w:firstLine="210" w:firstLineChars="100"/>
              <w:rPr>
                <w:rFonts w:ascii="宋体"/>
                <w:szCs w:val="21"/>
              </w:rPr>
            </w:pPr>
            <w:r>
              <w:rPr>
                <w:rFonts w:hint="eastAsia" w:ascii="仿宋_GB2312" w:eastAsia="仿宋_GB2312"/>
                <w:szCs w:val="21"/>
              </w:rPr>
              <w:t>■</w:t>
            </w:r>
            <w:r>
              <w:rPr>
                <w:rFonts w:hint="eastAsia" w:ascii="宋体" w:hAnsi="宋体"/>
                <w:szCs w:val="21"/>
              </w:rPr>
              <w:t>自然人</w:t>
            </w:r>
            <w:r>
              <w:rPr>
                <w:rFonts w:ascii="宋体" w:hAnsi="宋体"/>
                <w:szCs w:val="21"/>
              </w:rPr>
              <w:t xml:space="preserve">    </w:t>
            </w:r>
            <w:r>
              <w:rPr>
                <w:rFonts w:hint="eastAsia" w:ascii="仿宋_GB2312" w:eastAsia="仿宋_GB2312"/>
                <w:szCs w:val="21"/>
              </w:rPr>
              <w:t>■</w:t>
            </w:r>
            <w:r>
              <w:rPr>
                <w:rFonts w:hint="eastAsia" w:ascii="宋体" w:hAnsi="宋体"/>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审批权限</w:t>
            </w:r>
          </w:p>
        </w:tc>
        <w:tc>
          <w:tcPr>
            <w:tcW w:w="8787" w:type="dxa"/>
            <w:gridSpan w:val="19"/>
            <w:vAlign w:val="center"/>
          </w:tcPr>
          <w:p>
            <w:pPr>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办理方式</w:t>
            </w:r>
          </w:p>
        </w:tc>
        <w:tc>
          <w:tcPr>
            <w:tcW w:w="4808" w:type="dxa"/>
            <w:gridSpan w:val="8"/>
            <w:vAlign w:val="center"/>
          </w:tcPr>
          <w:p>
            <w:pPr>
              <w:spacing w:line="340" w:lineRule="exact"/>
              <w:ind w:firstLine="210" w:firstLineChars="100"/>
              <w:rPr>
                <w:rFonts w:ascii="仿宋_GB2312" w:eastAsia="仿宋_GB2312"/>
                <w:szCs w:val="21"/>
              </w:rPr>
            </w:pPr>
            <w:r>
              <w:rPr>
                <w:rFonts w:hint="eastAsia" w:ascii="仿宋_GB2312" w:eastAsia="仿宋_GB2312"/>
                <w:szCs w:val="21"/>
              </w:rPr>
              <w:t>■</w:t>
            </w:r>
            <w:r>
              <w:rPr>
                <w:rFonts w:hint="eastAsia" w:ascii="宋体" w:hAnsi="宋体"/>
                <w:szCs w:val="21"/>
              </w:rPr>
              <w:t>窗口办理</w:t>
            </w:r>
            <w:r>
              <w:rPr>
                <w:rFonts w:ascii="宋体" w:hAnsi="宋体"/>
                <w:szCs w:val="21"/>
              </w:rPr>
              <w:t xml:space="preserve">  </w:t>
            </w:r>
            <w:r>
              <w:rPr>
                <w:rFonts w:hint="eastAsia" w:ascii="仿宋_GB2312" w:eastAsia="仿宋_GB2312"/>
                <w:color w:val="000000"/>
                <w:szCs w:val="21"/>
              </w:rPr>
              <w:t>■</w:t>
            </w:r>
            <w:r>
              <w:rPr>
                <w:rFonts w:hint="eastAsia" w:ascii="宋体" w:hAnsi="宋体"/>
                <w:szCs w:val="21"/>
              </w:rPr>
              <w:t xml:space="preserve">收办分离 </w:t>
            </w:r>
            <w:r>
              <w:rPr>
                <w:rFonts w:ascii="宋体" w:hAnsi="宋体"/>
                <w:szCs w:val="21"/>
              </w:rPr>
              <w:t xml:space="preserve"> </w:t>
            </w:r>
            <w:r>
              <w:rPr>
                <w:rFonts w:hint="eastAsia" w:ascii="仿宋_GB2312" w:eastAsia="仿宋_GB2312"/>
                <w:color w:val="000000"/>
                <w:szCs w:val="21"/>
              </w:rPr>
              <w:t>■</w:t>
            </w:r>
            <w:r>
              <w:rPr>
                <w:rFonts w:hint="eastAsia" w:ascii="宋体" w:hAnsi="宋体"/>
                <w:szCs w:val="21"/>
              </w:rPr>
              <w:t>全程网办</w:t>
            </w:r>
          </w:p>
        </w:tc>
        <w:tc>
          <w:tcPr>
            <w:tcW w:w="1134" w:type="dxa"/>
            <w:gridSpan w:val="4"/>
            <w:vAlign w:val="center"/>
          </w:tcPr>
          <w:p>
            <w:pPr>
              <w:jc w:val="center"/>
              <w:rPr>
                <w:bCs/>
              </w:rPr>
            </w:pPr>
            <w:r>
              <w:rPr>
                <w:rFonts w:hint="eastAsia"/>
                <w:bCs/>
              </w:rPr>
              <w:t>预约办理</w:t>
            </w:r>
          </w:p>
        </w:tc>
        <w:tc>
          <w:tcPr>
            <w:tcW w:w="2845" w:type="dxa"/>
            <w:gridSpan w:val="7"/>
            <w:vAlign w:val="center"/>
          </w:tcPr>
          <w:p>
            <w:pPr>
              <w:ind w:firstLine="210" w:firstLineChars="100"/>
              <w:rPr>
                <w:bCs/>
              </w:rPr>
            </w:pPr>
            <w:r>
              <w:rPr>
                <w:rFonts w:hint="eastAsia" w:ascii="仿宋_GB2312" w:eastAsia="仿宋_GB2312"/>
                <w:szCs w:val="21"/>
              </w:rPr>
              <w:t>■</w:t>
            </w:r>
            <w:r>
              <w:rPr>
                <w:rFonts w:hint="eastAsia"/>
                <w:bCs/>
              </w:rPr>
              <w:t>能</w:t>
            </w:r>
            <w:r>
              <w:rPr>
                <w:bCs/>
              </w:rPr>
              <w:t xml:space="preserve">    </w:t>
            </w:r>
            <w:r>
              <w:rPr>
                <w:rFonts w:hint="eastAsia" w:ascii="仿宋_GB2312" w:eastAsia="仿宋_GB2312"/>
                <w:szCs w:val="21"/>
              </w:rPr>
              <w:t>□</w:t>
            </w:r>
            <w:r>
              <w:rPr>
                <w:rFonts w:hint="eastAsia"/>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数量限制</w:t>
            </w:r>
          </w:p>
        </w:tc>
        <w:tc>
          <w:tcPr>
            <w:tcW w:w="3391" w:type="dxa"/>
            <w:gridSpan w:val="5"/>
            <w:vAlign w:val="center"/>
          </w:tcPr>
          <w:p>
            <w:pPr>
              <w:spacing w:line="340" w:lineRule="exact"/>
              <w:rPr>
                <w:rFonts w:ascii="宋体"/>
                <w:szCs w:val="21"/>
              </w:rPr>
            </w:pPr>
            <w:r>
              <w:rPr>
                <w:rFonts w:ascii="宋体" w:hAnsi="宋体"/>
                <w:szCs w:val="21"/>
              </w:rPr>
              <w:t xml:space="preserve">  </w:t>
            </w:r>
            <w:r>
              <w:rPr>
                <w:rFonts w:hint="eastAsia" w:ascii="仿宋_GB2312" w:eastAsia="仿宋_GB2312"/>
                <w:szCs w:val="21"/>
              </w:rPr>
              <w:t>□</w:t>
            </w:r>
            <w:r>
              <w:rPr>
                <w:rFonts w:hint="eastAsia" w:ascii="宋体" w:hAnsi="宋体"/>
                <w:szCs w:val="21"/>
              </w:rPr>
              <w:t>是</w:t>
            </w:r>
            <w:r>
              <w:rPr>
                <w:rFonts w:ascii="宋体" w:hAnsi="宋体"/>
                <w:szCs w:val="21"/>
              </w:rPr>
              <w:t xml:space="preserve">    </w:t>
            </w:r>
            <w:r>
              <w:rPr>
                <w:rFonts w:hint="eastAsia" w:ascii="仿宋_GB2312" w:eastAsia="仿宋_GB2312"/>
                <w:szCs w:val="21"/>
              </w:rPr>
              <w:t>■</w:t>
            </w:r>
            <w:r>
              <w:rPr>
                <w:rFonts w:hint="eastAsia" w:ascii="宋体" w:hAnsi="宋体"/>
                <w:szCs w:val="21"/>
              </w:rPr>
              <w:t>否</w:t>
            </w:r>
          </w:p>
        </w:tc>
        <w:tc>
          <w:tcPr>
            <w:tcW w:w="2268" w:type="dxa"/>
            <w:gridSpan w:val="6"/>
            <w:vAlign w:val="center"/>
          </w:tcPr>
          <w:p>
            <w:pPr>
              <w:spacing w:line="340" w:lineRule="exact"/>
              <w:rPr>
                <w:rFonts w:ascii="宋体"/>
                <w:szCs w:val="21"/>
              </w:rPr>
            </w:pPr>
            <w:r>
              <w:rPr>
                <w:rFonts w:hint="eastAsia" w:ascii="宋体" w:hAnsi="宋体"/>
                <w:szCs w:val="21"/>
              </w:rPr>
              <w:t>有数量限制的情况说明</w:t>
            </w:r>
          </w:p>
        </w:tc>
        <w:tc>
          <w:tcPr>
            <w:tcW w:w="3128" w:type="dxa"/>
            <w:gridSpan w:val="8"/>
            <w:vAlign w:val="center"/>
          </w:tcPr>
          <w:p>
            <w:pPr>
              <w:spacing w:line="340" w:lineRule="exac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通办范围</w:t>
            </w:r>
          </w:p>
        </w:tc>
        <w:tc>
          <w:tcPr>
            <w:tcW w:w="4808" w:type="dxa"/>
            <w:gridSpan w:val="8"/>
            <w:vAlign w:val="center"/>
          </w:tcPr>
          <w:p>
            <w:pPr>
              <w:adjustRightInd w:val="0"/>
              <w:snapToGrid w:val="0"/>
              <w:spacing w:line="340" w:lineRule="exact"/>
              <w:ind w:firstLine="210" w:firstLineChars="100"/>
              <w:rPr>
                <w:rFonts w:ascii="宋体"/>
                <w:szCs w:val="21"/>
              </w:rPr>
            </w:pPr>
            <w:r>
              <w:rPr>
                <w:rFonts w:hint="eastAsia" w:ascii="仿宋_GB2312" w:eastAsia="仿宋_GB2312"/>
                <w:szCs w:val="21"/>
              </w:rPr>
              <w:t>□</w:t>
            </w:r>
            <w:r>
              <w:rPr>
                <w:rFonts w:hint="eastAsia" w:ascii="宋体" w:hAnsi="宋体"/>
                <w:szCs w:val="21"/>
              </w:rPr>
              <w:t>全国</w:t>
            </w:r>
            <w:r>
              <w:rPr>
                <w:rFonts w:ascii="宋体" w:hAnsi="宋体"/>
                <w:szCs w:val="21"/>
              </w:rPr>
              <w:t xml:space="preserve">  </w:t>
            </w:r>
            <w:r>
              <w:rPr>
                <w:rFonts w:hint="eastAsia" w:ascii="仿宋_GB2312" w:eastAsia="仿宋_GB2312"/>
                <w:szCs w:val="21"/>
              </w:rPr>
              <w:t>□</w:t>
            </w:r>
            <w:r>
              <w:rPr>
                <w:rFonts w:hint="eastAsia" w:ascii="宋体" w:hAnsi="宋体"/>
                <w:szCs w:val="21"/>
              </w:rPr>
              <w:t>跨省</w:t>
            </w:r>
            <w:r>
              <w:rPr>
                <w:rFonts w:ascii="宋体" w:hAnsi="宋体"/>
                <w:szCs w:val="21"/>
              </w:rPr>
              <w:t xml:space="preserve">  </w:t>
            </w:r>
            <w:r>
              <w:rPr>
                <w:rFonts w:hint="eastAsia" w:ascii="仿宋_GB2312" w:eastAsia="仿宋_GB2312"/>
                <w:szCs w:val="21"/>
              </w:rPr>
              <w:t>□</w:t>
            </w:r>
            <w:r>
              <w:rPr>
                <w:rFonts w:hint="eastAsia" w:ascii="宋体" w:hAnsi="宋体"/>
                <w:szCs w:val="21"/>
              </w:rPr>
              <w:t>跨市</w:t>
            </w:r>
            <w:r>
              <w:rPr>
                <w:rFonts w:ascii="宋体" w:hAnsi="宋体"/>
                <w:szCs w:val="21"/>
              </w:rPr>
              <w:t xml:space="preserve">  </w:t>
            </w:r>
            <w:r>
              <w:rPr>
                <w:rFonts w:hint="eastAsia" w:ascii="仿宋_GB2312" w:eastAsia="仿宋_GB2312"/>
                <w:szCs w:val="21"/>
              </w:rPr>
              <w:t>■</w:t>
            </w:r>
            <w:r>
              <w:rPr>
                <w:rFonts w:hint="eastAsia" w:ascii="宋体" w:hAnsi="宋体"/>
                <w:szCs w:val="21"/>
              </w:rPr>
              <w:t>跨县</w:t>
            </w:r>
          </w:p>
        </w:tc>
        <w:tc>
          <w:tcPr>
            <w:tcW w:w="1134" w:type="dxa"/>
            <w:gridSpan w:val="4"/>
            <w:vAlign w:val="center"/>
          </w:tcPr>
          <w:p>
            <w:pPr>
              <w:spacing w:line="340" w:lineRule="exact"/>
              <w:jc w:val="center"/>
              <w:rPr>
                <w:rFonts w:ascii="宋体"/>
                <w:szCs w:val="21"/>
              </w:rPr>
            </w:pPr>
            <w:r>
              <w:rPr>
                <w:rFonts w:hint="eastAsia" w:ascii="宋体" w:hAnsi="宋体"/>
                <w:szCs w:val="21"/>
              </w:rPr>
              <w:t>运行系统</w:t>
            </w:r>
          </w:p>
        </w:tc>
        <w:tc>
          <w:tcPr>
            <w:tcW w:w="2845" w:type="dxa"/>
            <w:gridSpan w:val="7"/>
            <w:vAlign w:val="center"/>
          </w:tcPr>
          <w:p>
            <w:pPr>
              <w:spacing w:line="340" w:lineRule="exact"/>
              <w:rPr>
                <w:rFonts w:ascii="宋体"/>
                <w:szCs w:val="21"/>
              </w:rPr>
            </w:pPr>
            <w:r>
              <w:rPr>
                <w:rFonts w:hint="eastAsia" w:ascii="仿宋_GB2312" w:eastAsia="仿宋_GB2312"/>
                <w:szCs w:val="21"/>
              </w:rPr>
              <w:t>□</w:t>
            </w:r>
            <w:r>
              <w:rPr>
                <w:rFonts w:hint="eastAsia" w:ascii="宋体" w:hAnsi="宋体"/>
                <w:szCs w:val="21"/>
              </w:rPr>
              <w:t>国家级</w:t>
            </w:r>
            <w:r>
              <w:rPr>
                <w:rFonts w:ascii="宋体" w:hAnsi="宋体"/>
                <w:szCs w:val="21"/>
              </w:rPr>
              <w:t xml:space="preserve">  </w:t>
            </w:r>
            <w:r>
              <w:rPr>
                <w:rFonts w:hint="eastAsia" w:ascii="仿宋_GB2312" w:eastAsia="仿宋_GB2312"/>
                <w:szCs w:val="21"/>
              </w:rPr>
              <w:t>■</w:t>
            </w:r>
            <w:r>
              <w:rPr>
                <w:rFonts w:hint="eastAsia" w:ascii="宋体" w:hAnsi="宋体"/>
                <w:szCs w:val="21"/>
              </w:rPr>
              <w:t>省级</w:t>
            </w:r>
            <w:r>
              <w:rPr>
                <w:rFonts w:ascii="宋体" w:hAnsi="宋体"/>
                <w:szCs w:val="21"/>
              </w:rPr>
              <w:t xml:space="preserve">  </w:t>
            </w:r>
            <w:r>
              <w:rPr>
                <w:rFonts w:hint="eastAsia" w:ascii="仿宋_GB2312" w:eastAsia="仿宋_GB2312"/>
                <w:szCs w:val="21"/>
                <w:lang w:eastAsia="zh-CN"/>
              </w:rPr>
              <w:t>□</w:t>
            </w:r>
            <w:r>
              <w:rPr>
                <w:rFonts w:hint="eastAsia" w:ascii="宋体" w:hAnsi="宋体"/>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
              </w:rPr>
            </w:pPr>
            <w:r>
              <w:rPr>
                <w:rFonts w:hint="eastAsia" w:ascii="宋体" w:hAnsi="宋体"/>
                <w:szCs w:val="21"/>
              </w:rPr>
              <w:t>物流快递</w:t>
            </w:r>
          </w:p>
        </w:tc>
        <w:tc>
          <w:tcPr>
            <w:tcW w:w="8787" w:type="dxa"/>
            <w:gridSpan w:val="19"/>
            <w:vAlign w:val="center"/>
          </w:tcPr>
          <w:p>
            <w:pPr>
              <w:spacing w:line="340" w:lineRule="exact"/>
              <w:ind w:firstLine="210" w:firstLineChars="100"/>
              <w:rPr>
                <w:rFonts w:ascii="宋体"/>
                <w:szCs w:val="21"/>
              </w:rPr>
            </w:pPr>
            <w:r>
              <w:rPr>
                <w:rFonts w:hint="eastAsia" w:ascii="仿宋_GB2312" w:eastAsia="仿宋_GB2312"/>
                <w:color w:val="000000"/>
                <w:szCs w:val="21"/>
              </w:rPr>
              <w:t>■</w:t>
            </w:r>
            <w:r>
              <w:rPr>
                <w:rFonts w:hint="eastAsia" w:ascii="宋体" w:hAnsi="宋体"/>
                <w:szCs w:val="21"/>
              </w:rPr>
              <w:t>能</w:t>
            </w:r>
            <w:r>
              <w:rPr>
                <w:rFonts w:ascii="宋体" w:hAnsi="宋体"/>
                <w:szCs w:val="21"/>
              </w:rPr>
              <w:t xml:space="preserve">    </w:t>
            </w: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监督部门</w:t>
            </w:r>
          </w:p>
        </w:tc>
        <w:tc>
          <w:tcPr>
            <w:tcW w:w="4808" w:type="dxa"/>
            <w:gridSpan w:val="8"/>
            <w:vAlign w:val="center"/>
          </w:tcPr>
          <w:p>
            <w:pPr>
              <w:adjustRightInd w:val="0"/>
              <w:snapToGrid w:val="0"/>
              <w:spacing w:line="340" w:lineRule="exact"/>
              <w:rPr>
                <w:rFonts w:ascii="宋体"/>
                <w:szCs w:val="21"/>
              </w:rPr>
            </w:pPr>
            <w:r>
              <w:rPr>
                <w:rFonts w:hint="eastAsia" w:ascii="宋体"/>
                <w:szCs w:val="21"/>
              </w:rPr>
              <w:t>保定市</w:t>
            </w:r>
            <w:r>
              <w:rPr>
                <w:rFonts w:hint="eastAsia" w:ascii="宋体"/>
                <w:szCs w:val="21"/>
                <w:lang w:eastAsia="zh-CN"/>
              </w:rPr>
              <w:t>徐水区</w:t>
            </w:r>
            <w:r>
              <w:rPr>
                <w:rFonts w:hint="eastAsia" w:ascii="宋体"/>
                <w:szCs w:val="21"/>
              </w:rPr>
              <w:t>行政审批局</w:t>
            </w:r>
          </w:p>
        </w:tc>
        <w:tc>
          <w:tcPr>
            <w:tcW w:w="1134" w:type="dxa"/>
            <w:gridSpan w:val="4"/>
            <w:vAlign w:val="center"/>
          </w:tcPr>
          <w:p>
            <w:pPr>
              <w:spacing w:line="340" w:lineRule="exact"/>
              <w:jc w:val="center"/>
              <w:rPr>
                <w:rFonts w:ascii="宋体"/>
                <w:szCs w:val="21"/>
              </w:rPr>
            </w:pPr>
            <w:r>
              <w:rPr>
                <w:rFonts w:hint="eastAsia" w:ascii="宋体" w:hAnsi="宋体"/>
                <w:szCs w:val="21"/>
              </w:rPr>
              <w:t>监督电话</w:t>
            </w:r>
          </w:p>
        </w:tc>
        <w:tc>
          <w:tcPr>
            <w:tcW w:w="2845" w:type="dxa"/>
            <w:gridSpan w:val="7"/>
            <w:vAlign w:val="center"/>
          </w:tcPr>
          <w:p>
            <w:pPr>
              <w:spacing w:line="340" w:lineRule="exact"/>
              <w:jc w:val="center"/>
              <w:rPr>
                <w:rFonts w:hint="default" w:ascii="宋体" w:eastAsia="宋体"/>
                <w:szCs w:val="21"/>
                <w:lang w:val="en-US" w:eastAsia="zh-CN"/>
              </w:rPr>
            </w:pPr>
            <w:r>
              <w:rPr>
                <w:rFonts w:hint="eastAsia" w:ascii="宋体"/>
                <w:szCs w:val="21"/>
              </w:rPr>
              <w:t>0312-</w:t>
            </w:r>
            <w:r>
              <w:rPr>
                <w:rFonts w:hint="eastAsia" w:ascii="宋体"/>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0"/>
            <w:vAlign w:val="center"/>
          </w:tcPr>
          <w:p>
            <w:pPr>
              <w:jc w:val="center"/>
              <w:rPr>
                <w:rFonts w:ascii="仿宋_GB2312" w:eastAsia="仿宋_GB2312"/>
                <w:szCs w:val="21"/>
              </w:rPr>
            </w:pPr>
            <w:r>
              <w:rPr>
                <w:rFonts w:hint="eastAsia"/>
                <w:bCs/>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rPr>
            </w:pPr>
            <w:r>
              <w:rPr>
                <w:rFonts w:hint="eastAsia"/>
                <w:bCs/>
              </w:rPr>
              <w:t>收费情况</w:t>
            </w:r>
          </w:p>
          <w:p>
            <w:pPr>
              <w:jc w:val="center"/>
              <w:rPr>
                <w:rFonts w:ascii="宋体"/>
                <w:bCs/>
                <w:szCs w:val="21"/>
              </w:rPr>
            </w:pPr>
            <w:r>
              <w:rPr>
                <w:rFonts w:hint="eastAsia"/>
                <w:bCs/>
                <w:sz w:val="18"/>
                <w:szCs w:val="18"/>
              </w:rPr>
              <w:t>有</w:t>
            </w:r>
            <w:r>
              <w:rPr>
                <w:rFonts w:hint="eastAsia" w:ascii="宋体" w:hAnsi="宋体"/>
                <w:bCs/>
                <w:szCs w:val="21"/>
              </w:rPr>
              <w:t>□</w:t>
            </w:r>
          </w:p>
          <w:p>
            <w:pPr>
              <w:jc w:val="center"/>
              <w:rPr>
                <w:bCs/>
              </w:rPr>
            </w:pPr>
            <w:r>
              <w:rPr>
                <w:rFonts w:hint="eastAsia"/>
                <w:bCs/>
                <w:sz w:val="18"/>
                <w:szCs w:val="18"/>
              </w:rPr>
              <w:t>无</w:t>
            </w:r>
            <w:r>
              <w:rPr>
                <w:rFonts w:hint="eastAsia" w:ascii="仿宋_GB2312" w:eastAsia="仿宋_GB2312"/>
                <w:szCs w:val="21"/>
              </w:rPr>
              <w:t>■</w:t>
            </w:r>
          </w:p>
        </w:tc>
        <w:tc>
          <w:tcPr>
            <w:tcW w:w="1614" w:type="dxa"/>
            <w:gridSpan w:val="3"/>
            <w:vAlign w:val="center"/>
          </w:tcPr>
          <w:p>
            <w:pPr>
              <w:jc w:val="center"/>
            </w:pPr>
            <w:r>
              <w:rPr>
                <w:rFonts w:hint="eastAsia"/>
              </w:rPr>
              <w:t>收费项目名称</w:t>
            </w:r>
          </w:p>
        </w:tc>
        <w:tc>
          <w:tcPr>
            <w:tcW w:w="7173" w:type="dxa"/>
            <w:gridSpan w:val="16"/>
            <w:vAlign w:val="center"/>
          </w:tcPr>
          <w:p>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rPr>
            </w:pPr>
          </w:p>
        </w:tc>
        <w:tc>
          <w:tcPr>
            <w:tcW w:w="1614" w:type="dxa"/>
            <w:gridSpan w:val="3"/>
            <w:vAlign w:val="center"/>
          </w:tcPr>
          <w:p>
            <w:pPr>
              <w:jc w:val="center"/>
            </w:pPr>
            <w:r>
              <w:rPr>
                <w:rFonts w:hint="eastAsia"/>
              </w:rPr>
              <w:t>收费依据</w:t>
            </w:r>
          </w:p>
        </w:tc>
        <w:tc>
          <w:tcPr>
            <w:tcW w:w="7173" w:type="dxa"/>
            <w:gridSpan w:val="16"/>
            <w:vAlign w:val="center"/>
          </w:tcPr>
          <w:p>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rPr>
            </w:pPr>
          </w:p>
        </w:tc>
        <w:tc>
          <w:tcPr>
            <w:tcW w:w="1614" w:type="dxa"/>
            <w:gridSpan w:val="3"/>
            <w:vAlign w:val="center"/>
          </w:tcPr>
          <w:p>
            <w:pPr>
              <w:jc w:val="center"/>
            </w:pPr>
            <w:r>
              <w:rPr>
                <w:rFonts w:hint="eastAsia"/>
              </w:rPr>
              <w:t>收费标准</w:t>
            </w:r>
          </w:p>
        </w:tc>
        <w:tc>
          <w:tcPr>
            <w:tcW w:w="7173" w:type="dxa"/>
            <w:gridSpan w:val="16"/>
            <w:vAlign w:val="center"/>
          </w:tcPr>
          <w:p>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rPr>
            </w:pPr>
          </w:p>
        </w:tc>
        <w:tc>
          <w:tcPr>
            <w:tcW w:w="1614" w:type="dxa"/>
            <w:gridSpan w:val="3"/>
            <w:vAlign w:val="center"/>
          </w:tcPr>
          <w:p>
            <w:pPr>
              <w:jc w:val="center"/>
            </w:pPr>
            <w:r>
              <w:rPr>
                <w:rFonts w:hint="eastAsia"/>
              </w:rPr>
              <w:t>收费性质</w:t>
            </w:r>
          </w:p>
        </w:tc>
        <w:tc>
          <w:tcPr>
            <w:tcW w:w="7173" w:type="dxa"/>
            <w:gridSpan w:val="16"/>
            <w:vAlign w:val="center"/>
          </w:tcPr>
          <w:p>
            <w:pPr>
              <w:ind w:firstLine="210" w:firstLineChars="100"/>
            </w:pPr>
            <w:r>
              <w:rPr>
                <w:rFonts w:hint="eastAsia"/>
              </w:rPr>
              <w:t>□行政事业性收费</w:t>
            </w:r>
            <w:r>
              <w:t xml:space="preserve">    </w:t>
            </w:r>
            <w:r>
              <w:rPr>
                <w:rFonts w:hint="eastAsia"/>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rPr>
            </w:pPr>
          </w:p>
        </w:tc>
        <w:tc>
          <w:tcPr>
            <w:tcW w:w="1614" w:type="dxa"/>
            <w:gridSpan w:val="3"/>
            <w:vAlign w:val="center"/>
          </w:tcPr>
          <w:p>
            <w:pPr>
              <w:jc w:val="center"/>
            </w:pPr>
            <w:r>
              <w:rPr>
                <w:rFonts w:hint="eastAsia"/>
              </w:rPr>
              <w:t>网上支付</w:t>
            </w:r>
          </w:p>
        </w:tc>
        <w:tc>
          <w:tcPr>
            <w:tcW w:w="7173" w:type="dxa"/>
            <w:gridSpan w:val="16"/>
            <w:vAlign w:val="center"/>
          </w:tcPr>
          <w:p>
            <w:pPr>
              <w:ind w:firstLine="210" w:firstLineChars="100"/>
            </w:pPr>
            <w:r>
              <w:rPr>
                <w:rFonts w:hint="eastAsia" w:ascii="仿宋_GB2312" w:eastAsia="仿宋_GB2312"/>
                <w:szCs w:val="21"/>
              </w:rPr>
              <w:t>□</w:t>
            </w:r>
            <w:r>
              <w:rPr>
                <w:rFonts w:hint="eastAsia"/>
              </w:rPr>
              <w:t>能</w:t>
            </w:r>
            <w:r>
              <w:t xml:space="preserve">    </w:t>
            </w:r>
            <w:r>
              <w:rPr>
                <w:rFonts w:hint="eastAsia" w:ascii="仿宋_GB2312" w:eastAsia="仿宋_GB2312"/>
                <w:szCs w:val="21"/>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0"/>
            <w:vAlign w:val="center"/>
          </w:tcPr>
          <w:p>
            <w:pPr>
              <w:jc w:val="center"/>
              <w:rPr>
                <w:spacing w:val="-2"/>
              </w:rPr>
            </w:pPr>
            <w:r>
              <w:rPr>
                <w:rFonts w:hint="eastAsia"/>
                <w:bCs/>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rPr>
            </w:pPr>
            <w:r>
              <w:rPr>
                <w:rFonts w:hint="eastAsia"/>
                <w:bCs/>
              </w:rPr>
              <w:t>前置审批情况</w:t>
            </w:r>
          </w:p>
          <w:p>
            <w:pPr>
              <w:jc w:val="center"/>
              <w:rPr>
                <w:rFonts w:ascii="宋体"/>
                <w:bCs/>
                <w:szCs w:val="21"/>
              </w:rPr>
            </w:pPr>
            <w:r>
              <w:rPr>
                <w:rFonts w:hint="eastAsia"/>
                <w:bCs/>
                <w:sz w:val="18"/>
                <w:szCs w:val="18"/>
              </w:rPr>
              <w:t>有</w:t>
            </w:r>
            <w:r>
              <w:rPr>
                <w:rFonts w:hint="eastAsia" w:ascii="宋体" w:hAnsi="宋体"/>
                <w:bCs/>
                <w:szCs w:val="21"/>
              </w:rPr>
              <w:t>□</w:t>
            </w:r>
          </w:p>
          <w:p>
            <w:pPr>
              <w:jc w:val="center"/>
              <w:rPr>
                <w:bCs/>
              </w:rPr>
            </w:pPr>
            <w:r>
              <w:rPr>
                <w:rFonts w:hint="eastAsia"/>
                <w:bCs/>
                <w:sz w:val="18"/>
                <w:szCs w:val="18"/>
              </w:rPr>
              <w:t>无</w:t>
            </w:r>
            <w:r>
              <w:rPr>
                <w:rFonts w:hint="eastAsia" w:ascii="仿宋_GB2312" w:eastAsia="仿宋_GB2312"/>
                <w:szCs w:val="21"/>
              </w:rPr>
              <w:t>■</w:t>
            </w:r>
          </w:p>
        </w:tc>
        <w:tc>
          <w:tcPr>
            <w:tcW w:w="2075" w:type="dxa"/>
            <w:gridSpan w:val="4"/>
            <w:vAlign w:val="center"/>
          </w:tcPr>
          <w:p>
            <w:pPr>
              <w:jc w:val="center"/>
            </w:pPr>
            <w:r>
              <w:rPr>
                <w:rFonts w:hint="eastAsia"/>
              </w:rPr>
              <w:t>前置审批文书</w:t>
            </w:r>
          </w:p>
        </w:tc>
        <w:tc>
          <w:tcPr>
            <w:tcW w:w="6712" w:type="dxa"/>
            <w:gridSpan w:val="15"/>
            <w:vAlign w:val="center"/>
          </w:tcPr>
          <w:p>
            <w:pP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rPr>
            </w:pPr>
          </w:p>
        </w:tc>
        <w:tc>
          <w:tcPr>
            <w:tcW w:w="2075" w:type="dxa"/>
            <w:gridSpan w:val="4"/>
            <w:vAlign w:val="center"/>
          </w:tcPr>
          <w:p>
            <w:pPr>
              <w:jc w:val="center"/>
            </w:pPr>
            <w:r>
              <w:rPr>
                <w:rFonts w:hint="eastAsia"/>
              </w:rPr>
              <w:t>前置审批机关</w:t>
            </w:r>
          </w:p>
        </w:tc>
        <w:tc>
          <w:tcPr>
            <w:tcW w:w="6712" w:type="dxa"/>
            <w:gridSpan w:val="15"/>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rPr>
            </w:pPr>
          </w:p>
        </w:tc>
        <w:tc>
          <w:tcPr>
            <w:tcW w:w="2075" w:type="dxa"/>
            <w:gridSpan w:val="4"/>
            <w:vAlign w:val="center"/>
          </w:tcPr>
          <w:p>
            <w:pPr>
              <w:jc w:val="center"/>
            </w:pPr>
            <w:r>
              <w:rPr>
                <w:rFonts w:hint="eastAsia"/>
              </w:rPr>
              <w:t>设定前置审批依据</w:t>
            </w:r>
          </w:p>
        </w:tc>
        <w:tc>
          <w:tcPr>
            <w:tcW w:w="6712" w:type="dxa"/>
            <w:gridSpan w:val="15"/>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9858" w:type="dxa"/>
            <w:gridSpan w:val="20"/>
            <w:vAlign w:val="center"/>
          </w:tcPr>
          <w:p>
            <w:pPr>
              <w:jc w:val="center"/>
            </w:pPr>
            <w:r>
              <w:rPr>
                <w:rFonts w:hint="eastAsia"/>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5"/>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5"/>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300" w:type="dxa"/>
            <w:gridSpan w:val="6"/>
            <w:vAlign w:val="center"/>
          </w:tcPr>
          <w:p>
            <w:pPr>
              <w:jc w:val="center"/>
              <w:rPr>
                <w:color w:val="000000"/>
              </w:rPr>
            </w:pPr>
          </w:p>
        </w:tc>
        <w:tc>
          <w:tcPr>
            <w:tcW w:w="1276" w:type="dxa"/>
            <w:gridSpan w:val="6"/>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9858" w:type="dxa"/>
            <w:gridSpan w:val="20"/>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19"/>
            <w:vAlign w:val="center"/>
          </w:tcPr>
          <w:p>
            <w:pPr>
              <w:rPr>
                <w:color w:val="000000"/>
              </w:rPr>
            </w:pPr>
            <w:r>
              <w:rPr>
                <w:rFonts w:hint="eastAsia"/>
                <w:color w:val="000000"/>
              </w:rPr>
              <w:t>1.学校章程有关内容要素不全；2.《</w:t>
            </w:r>
            <w:r>
              <w:rPr>
                <w:rFonts w:hint="eastAsia" w:ascii="宋体"/>
                <w:color w:val="000000"/>
                <w:szCs w:val="21"/>
              </w:rPr>
              <w:t>保定市</w:t>
            </w:r>
            <w:r>
              <w:rPr>
                <w:rFonts w:hint="eastAsia" w:ascii="宋体"/>
                <w:color w:val="000000"/>
                <w:szCs w:val="21"/>
                <w:lang w:eastAsia="zh-CN"/>
              </w:rPr>
              <w:t>徐水区</w:t>
            </w:r>
            <w:r>
              <w:rPr>
                <w:rFonts w:hint="eastAsia" w:ascii="宋体"/>
                <w:color w:val="000000"/>
                <w:szCs w:val="21"/>
              </w:rPr>
              <w:t>办学申报审批表》填写不规范。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19"/>
            <w:vAlign w:val="center"/>
          </w:tcPr>
          <w:p>
            <w:pPr>
              <w:rPr>
                <w:color w:val="000000"/>
              </w:rPr>
            </w:pPr>
            <w:r>
              <w:rPr>
                <w:rFonts w:hint="eastAsia"/>
                <w:color w:val="000000"/>
              </w:rPr>
              <w:t>1.按照《民办教育促进法实施条例》第十四条规定的要素撰写章程内容；2.按照行政审批机关提供的样表事例填写《</w:t>
            </w:r>
            <w:r>
              <w:rPr>
                <w:rFonts w:hint="eastAsia" w:ascii="宋体"/>
                <w:color w:val="000000"/>
                <w:szCs w:val="21"/>
              </w:rPr>
              <w:t>保定市社会力量办学申报审批表》。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858" w:type="dxa"/>
            <w:gridSpan w:val="20"/>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19"/>
            <w:vAlign w:val="center"/>
          </w:tcPr>
          <w:p>
            <w:pPr>
              <w:rPr>
                <w:rFonts w:hint="eastAsia" w:eastAsia="宋体"/>
                <w:color w:val="000000"/>
                <w:lang w:eastAsia="zh-CN"/>
              </w:rPr>
            </w:pPr>
            <w:r>
              <w:rPr>
                <w:rFonts w:hint="eastAsia"/>
                <w:color w:val="000000"/>
              </w:rPr>
              <w:t>保定市</w:t>
            </w:r>
            <w:r>
              <w:rPr>
                <w:rFonts w:hint="eastAsia"/>
                <w:color w:val="000000"/>
                <w:lang w:eastAsia="zh-CN"/>
              </w:rPr>
              <w:t>徐水区行政审批局办公室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19"/>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19"/>
            <w:vAlign w:val="center"/>
          </w:tcPr>
          <w:p>
            <w:pPr>
              <w:rPr>
                <w:color w:val="000000"/>
              </w:rPr>
            </w:pPr>
            <w:r>
              <w:rPr>
                <w:rFonts w:hint="eastAsia"/>
                <w:color w:val="000000"/>
                <w:lang w:eastAsia="zh-CN"/>
              </w:rPr>
              <w:t>保定市徐水区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D86BA8"/>
    <w:rsid w:val="294E14DE"/>
    <w:rsid w:val="370F4A71"/>
    <w:rsid w:val="405575AB"/>
    <w:rsid w:val="48D86BA8"/>
    <w:rsid w:val="4F744AAD"/>
    <w:rsid w:val="68852254"/>
    <w:rsid w:val="6D335127"/>
    <w:rsid w:val="70743FB0"/>
    <w:rsid w:val="77A04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2021-10-18T02:09:00Z</dcterms:created>
  <dc:creator>Administrator</dc:creator>
  <cp:lastModifiedBy>NTKO</cp:lastModifiedBy>
  <dcterms:modified xsi:type="dcterms:W3CDTF">2021-12-01T01:32:41Z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7CEA2ED89C884474ABF77024EC265998</vt:lpwstr>
  </property>
</Properties>
</file>