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906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0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事项名称</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种畜禽生产经营许可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7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审批权限</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lang w:eastAsia="zh-CN"/>
              </w:rPr>
              <w:t>区</w:t>
            </w:r>
            <w:r>
              <w:rPr>
                <w:rFonts w:hint="eastAsia" w:ascii="宋体" w:hAnsi="宋体" w:cs="宋体"/>
                <w:color w:val="000000"/>
                <w:sz w:val="21"/>
                <w:szCs w:val="21"/>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4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实施依据</w:t>
            </w:r>
          </w:p>
        </w:tc>
        <w:tc>
          <w:tcPr>
            <w:tcW w:w="6803" w:type="dxa"/>
            <w:gridSpan w:val="3"/>
            <w:vAlign w:val="center"/>
          </w:tcPr>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Arial" w:hAnsi="Arial" w:cs="Arial"/>
                <w:color w:val="000000" w:themeColor="text1"/>
                <w:sz w:val="21"/>
                <w:szCs w:val="21"/>
                <w:lang w:val="en-US" w:eastAsia="zh-CN"/>
              </w:rPr>
              <w:t>1、</w:t>
            </w:r>
            <w:r>
              <w:rPr>
                <w:rFonts w:hint="eastAsia" w:ascii="Arial" w:hAnsi="Arial" w:cs="Arial"/>
                <w:color w:val="000000" w:themeColor="text1"/>
                <w:sz w:val="21"/>
                <w:szCs w:val="21"/>
              </w:rPr>
              <w:t>《中华人民共和国畜牧法》由全国人民代表大会常务委员会第十九次会议于</w:t>
            </w:r>
            <w:r>
              <w:rPr>
                <w:rFonts w:hint="eastAsia" w:ascii="宋体" w:hAnsi="宋体" w:eastAsia="宋体" w:cs="宋体"/>
                <w:color w:val="000000" w:themeColor="text1"/>
                <w:sz w:val="21"/>
                <w:szCs w:val="21"/>
              </w:rPr>
              <w:t>2005年12月29</w:t>
            </w:r>
            <w:r>
              <w:rPr>
                <w:rFonts w:hint="eastAsia" w:ascii="Arial" w:hAnsi="Arial" w:cs="Arial"/>
                <w:color w:val="000000" w:themeColor="text1"/>
                <w:sz w:val="21"/>
                <w:szCs w:val="21"/>
              </w:rPr>
              <w:t>日通过。现行版本为</w:t>
            </w:r>
            <w:r>
              <w:rPr>
                <w:rFonts w:hint="eastAsia" w:ascii="宋体" w:hAnsi="宋体" w:eastAsia="宋体" w:cs="宋体"/>
                <w:color w:val="000000" w:themeColor="text1"/>
                <w:sz w:val="21"/>
                <w:szCs w:val="21"/>
              </w:rPr>
              <w:t>2015年4月24</w:t>
            </w:r>
            <w:r>
              <w:rPr>
                <w:rFonts w:hint="eastAsia" w:ascii="Arial" w:hAnsi="Arial" w:cs="Arial"/>
                <w:color w:val="000000" w:themeColor="text1"/>
                <w:sz w:val="21"/>
                <w:szCs w:val="21"/>
              </w:rPr>
              <w:t>日第十二届全国人民代表大会常务委员会第十四次会议修正第二十二、二十三、二十四条</w:t>
            </w:r>
          </w:p>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宋体" w:hAnsi="宋体" w:cs="宋体"/>
                <w:color w:val="000000" w:themeColor="text1"/>
                <w:sz w:val="21"/>
                <w:szCs w:val="21"/>
                <w:shd w:val="clear" w:color="auto" w:fill="FFFFFF"/>
                <w:lang w:val="en-US" w:eastAsia="zh-CN"/>
              </w:rPr>
              <w:t>2、</w:t>
            </w:r>
            <w:r>
              <w:rPr>
                <w:rFonts w:hint="eastAsia" w:ascii="宋体" w:hAnsi="宋体" w:cs="宋体"/>
                <w:color w:val="000000" w:themeColor="text1"/>
                <w:sz w:val="21"/>
                <w:szCs w:val="21"/>
                <w:shd w:val="clear" w:color="auto" w:fill="FFFFFF"/>
              </w:rPr>
              <w:t>《</w:t>
            </w:r>
            <w:r>
              <w:rPr>
                <w:color w:val="000000" w:themeColor="text1"/>
              </w:rPr>
              <w:fldChar w:fldCharType="begin"/>
            </w:r>
            <w:r>
              <w:rPr>
                <w:color w:val="000000" w:themeColor="text1"/>
              </w:rPr>
              <w:instrText xml:space="preserve"> HYPERLINK "http://hb.110.com/" </w:instrText>
            </w:r>
            <w:r>
              <w:rPr>
                <w:color w:val="000000" w:themeColor="text1"/>
              </w:rPr>
              <w:fldChar w:fldCharType="separate"/>
            </w:r>
            <w:r>
              <w:rPr>
                <w:rStyle w:val="13"/>
                <w:rFonts w:hint="eastAsia" w:ascii="宋体" w:hAnsi="宋体" w:cs="宋体"/>
                <w:color w:val="000000" w:themeColor="text1"/>
                <w:sz w:val="21"/>
                <w:szCs w:val="21"/>
                <w:u w:val="none"/>
                <w:shd w:val="clear" w:color="auto" w:fill="FFFFFF"/>
              </w:rPr>
              <w:t>河北</w:t>
            </w:r>
            <w:r>
              <w:rPr>
                <w:rStyle w:val="13"/>
                <w:rFonts w:hint="eastAsia" w:ascii="宋体" w:hAnsi="宋体" w:cs="宋体"/>
                <w:color w:val="000000" w:themeColor="text1"/>
                <w:sz w:val="21"/>
                <w:szCs w:val="21"/>
                <w:u w:val="none"/>
                <w:shd w:val="clear" w:color="auto" w:fill="FFFFFF"/>
              </w:rPr>
              <w:fldChar w:fldCharType="end"/>
            </w:r>
            <w:r>
              <w:rPr>
                <w:rFonts w:hint="eastAsia" w:ascii="宋体" w:hAnsi="宋体" w:cs="宋体"/>
                <w:color w:val="000000" w:themeColor="text1"/>
                <w:sz w:val="21"/>
                <w:szCs w:val="21"/>
                <w:shd w:val="clear" w:color="auto" w:fill="FFFFFF"/>
              </w:rPr>
              <w:t>省种畜禽生产经营许可证审核发放办法》第十一条</w:t>
            </w:r>
          </w:p>
          <w:p>
            <w:pPr>
              <w:spacing w:line="308" w:lineRule="atLeast"/>
              <w:ind w:firstLine="0" w:firstLineChars="0"/>
              <w:jc w:val="both"/>
              <w:rPr>
                <w:rFonts w:asci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2"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法定时限</w:t>
            </w:r>
          </w:p>
        </w:tc>
        <w:tc>
          <w:tcPr>
            <w:tcW w:w="20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75</w:t>
            </w:r>
            <w:r>
              <w:rPr>
                <w:rFonts w:hint="eastAsia" w:ascii="宋体" w:hAnsi="宋体" w:cs="宋体"/>
                <w:color w:val="000000"/>
                <w:sz w:val="21"/>
                <w:szCs w:val="21"/>
              </w:rPr>
              <w:t>个工作日</w:t>
            </w:r>
          </w:p>
        </w:tc>
        <w:tc>
          <w:tcPr>
            <w:tcW w:w="2355" w:type="dxa"/>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承诺时限</w:t>
            </w:r>
          </w:p>
        </w:tc>
        <w:tc>
          <w:tcPr>
            <w:tcW w:w="23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13</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5" w:hRule="exact"/>
          <w:jc w:val="center"/>
        </w:trPr>
        <w:tc>
          <w:tcPr>
            <w:tcW w:w="1133" w:type="dxa"/>
            <w:vMerge w:val="restart"/>
            <w:vAlign w:val="center"/>
          </w:tcPr>
          <w:p>
            <w:pPr>
              <w:ind w:left="0" w:leftChars="0" w:firstLine="210" w:firstLineChars="100"/>
              <w:jc w:val="both"/>
              <w:rPr>
                <w:rFonts w:hint="eastAsia" w:ascii="宋体" w:eastAsia="宋体" w:cs="宋体"/>
                <w:sz w:val="21"/>
                <w:szCs w:val="21"/>
                <w:lang w:eastAsia="zh-CN"/>
              </w:rPr>
            </w:pPr>
            <w:r>
              <w:rPr>
                <w:rFonts w:hint="eastAsia" w:ascii="宋体" w:cs="宋体"/>
                <w:sz w:val="21"/>
                <w:szCs w:val="21"/>
                <w:lang w:eastAsia="zh-CN"/>
              </w:rPr>
              <w:t>审批流程</w:t>
            </w:r>
          </w:p>
        </w:tc>
        <w:tc>
          <w:tcPr>
            <w:tcW w:w="1133" w:type="dxa"/>
            <w:vMerge w:val="restart"/>
            <w:vAlign w:val="center"/>
          </w:tcPr>
          <w:p>
            <w:pPr>
              <w:tabs>
                <w:tab w:val="left" w:pos="712"/>
              </w:tabs>
              <w:ind w:firstLine="420"/>
              <w:jc w:val="left"/>
              <w:rPr>
                <w:rFonts w:hint="eastAsia" w:ascii="宋体" w:eastAsia="宋体" w:cs="宋体"/>
                <w:sz w:val="21"/>
                <w:szCs w:val="21"/>
                <w:lang w:eastAsia="zh-CN"/>
              </w:rPr>
            </w:pPr>
            <w:r>
              <w:rPr>
                <w:rFonts w:hint="eastAsia" w:ascii="宋体" w:cs="宋体"/>
                <w:sz w:val="21"/>
                <w:szCs w:val="21"/>
                <w:lang w:eastAsia="zh-CN"/>
              </w:rPr>
              <w:t>受理</w:t>
            </w:r>
          </w:p>
        </w:tc>
        <w:tc>
          <w:tcPr>
            <w:tcW w:w="6803" w:type="dxa"/>
            <w:gridSpan w:val="3"/>
            <w:vAlign w:val="center"/>
          </w:tcPr>
          <w:p>
            <w:pPr>
              <w:spacing w:line="246" w:lineRule="atLeast"/>
              <w:ind w:left="0" w:leftChars="0" w:firstLine="0" w:firstLineChars="0"/>
              <w:jc w:val="both"/>
              <w:rPr>
                <w:rFonts w:hint="eastAsia" w:ascii="宋体" w:eastAsia="宋体" w:cs="宋体"/>
                <w:color w:val="000000"/>
                <w:sz w:val="21"/>
                <w:szCs w:val="21"/>
                <w:lang w:val="en-US" w:eastAsia="zh-CN"/>
              </w:rPr>
            </w:pPr>
            <w:r>
              <w:rPr>
                <w:rFonts w:hint="eastAsia" w:ascii="宋体" w:cs="宋体"/>
                <w:color w:val="000000"/>
                <w:sz w:val="21"/>
                <w:szCs w:val="21"/>
                <w:lang w:eastAsia="zh-CN"/>
              </w:rPr>
              <w:t>时限：</w:t>
            </w:r>
            <w:r>
              <w:rPr>
                <w:rFonts w:hint="eastAsia" w:ascii="宋体" w:cs="宋体"/>
                <w:color w:val="0000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20" w:hRule="exact"/>
          <w:jc w:val="center"/>
        </w:trPr>
        <w:tc>
          <w:tcPr>
            <w:tcW w:w="1133" w:type="dxa"/>
            <w:vMerge w:val="continue"/>
            <w:vAlign w:val="center"/>
          </w:tcPr>
          <w:p>
            <w:pPr>
              <w:ind w:left="0" w:leftChars="0" w:firstLine="210" w:firstLineChars="100"/>
              <w:jc w:val="both"/>
              <w:rPr>
                <w:rFonts w:hint="eastAsia" w:ascii="宋体" w:eastAsia="宋体" w:cs="宋体"/>
                <w:sz w:val="21"/>
                <w:szCs w:val="21"/>
                <w:lang w:eastAsia="zh-CN"/>
              </w:rPr>
            </w:pPr>
          </w:p>
        </w:tc>
        <w:tc>
          <w:tcPr>
            <w:tcW w:w="1133" w:type="dxa"/>
            <w:vMerge w:val="continue"/>
            <w:vAlign w:val="center"/>
          </w:tcPr>
          <w:p>
            <w:pPr>
              <w:tabs>
                <w:tab w:val="left" w:pos="712"/>
              </w:tabs>
              <w:ind w:firstLine="420"/>
              <w:jc w:val="left"/>
              <w:rPr>
                <w:rFonts w:hint="eastAsia" w:ascii="宋体" w:eastAsia="宋体" w:cs="宋体"/>
                <w:sz w:val="21"/>
                <w:szCs w:val="21"/>
                <w:lang w:eastAsia="zh-CN"/>
              </w:rPr>
            </w:pPr>
          </w:p>
        </w:tc>
        <w:tc>
          <w:tcPr>
            <w:tcW w:w="6803" w:type="dxa"/>
            <w:gridSpan w:val="3"/>
            <w:vAlign w:val="center"/>
          </w:tcPr>
          <w:p>
            <w:pPr>
              <w:spacing w:line="360" w:lineRule="auto"/>
              <w:ind w:firstLine="0" w:firstLineChars="0"/>
              <w:jc w:val="both"/>
              <w:rPr>
                <w:rFonts w:hint="eastAsia" w:ascii="宋体" w:hAnsi="宋体" w:eastAsia="宋体" w:cs="宋体"/>
                <w:color w:val="000000" w:themeColor="text1"/>
                <w:sz w:val="21"/>
                <w:szCs w:val="21"/>
                <w:lang w:eastAsia="zh-CN"/>
              </w:rPr>
            </w:pPr>
            <w:r>
              <w:rPr>
                <w:rFonts w:hint="eastAsia" w:ascii="宋体" w:hAnsi="宋体" w:cs="宋体"/>
                <w:color w:val="000000" w:themeColor="text1"/>
                <w:sz w:val="21"/>
                <w:szCs w:val="21"/>
              </w:rPr>
              <w:t>申报材料</w:t>
            </w:r>
            <w:r>
              <w:rPr>
                <w:rFonts w:hint="eastAsia" w:ascii="宋体" w:hAnsi="宋体" w:cs="宋体"/>
                <w:color w:val="000000" w:themeColor="text1"/>
                <w:sz w:val="21"/>
                <w:szCs w:val="21"/>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《河北省种畜禽生产经营许可证申请书》</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生产经营场所平面图</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环境评价情况佐证材料</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养殖代码证或规模养殖场备案表复印件</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主要技术人员学历或专业技术职称资格证书</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家畜繁殖员国家职业资格证书</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引进种畜禽场的《种畜禽生产经营许可证》（自繁自育无需提供，从境外引进的需提供《农业农村部畜禽遗传资源引进申请表》复印件）</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引进种畜禽的《种畜禽合格证》(自繁自育或从境外引进不需提供)</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选种选育方案（单一孵化场不需提供）</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种畜或供体系谱档案</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种畜禽场生产经营管理制度（含饲养管理、生产销售、投入品使用管理、卫生防疫、免疫程序、粪污等养殖废弃物处理、安全生产等）</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种畜禽出场执行标准</w:t>
            </w: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spacing w:line="360" w:lineRule="auto"/>
              <w:ind w:firstLine="420"/>
              <w:jc w:val="both"/>
              <w:rPr>
                <w:rFonts w:ascii="宋体" w:cs="宋体"/>
                <w:sz w:val="21"/>
                <w:szCs w:val="21"/>
              </w:rPr>
            </w:pPr>
          </w:p>
          <w:p>
            <w:pPr>
              <w:spacing w:line="489" w:lineRule="atLeast"/>
              <w:ind w:firstLine="0" w:firstLineChars="0"/>
              <w:jc w:val="both"/>
              <w:rPr>
                <w:rFonts w:ascii="宋体" w:cs="宋体"/>
                <w:sz w:val="21"/>
                <w:szCs w:val="21"/>
              </w:rPr>
            </w:pPr>
          </w:p>
          <w:p>
            <w:pPr>
              <w:spacing w:line="246" w:lineRule="atLeast"/>
              <w:ind w:firstLine="420"/>
              <w:jc w:val="both"/>
              <w:rPr>
                <w:rFonts w:ascii="宋体" w:cs="宋体"/>
                <w:color w:val="000000"/>
                <w:sz w:val="21"/>
                <w:szCs w:val="21"/>
              </w:rPr>
            </w:pPr>
          </w:p>
          <w:p>
            <w:pPr>
              <w:spacing w:line="246" w:lineRule="atLeast"/>
              <w:ind w:firstLine="420"/>
              <w:jc w:val="both"/>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58"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属于职责范围内的，资料齐全</w:t>
            </w:r>
            <w:r>
              <w:rPr>
                <w:rFonts w:hint="eastAsia" w:ascii="宋体" w:hAnsi="宋体" w:cs="宋体"/>
                <w:color w:val="000000"/>
                <w:sz w:val="21"/>
                <w:szCs w:val="21"/>
                <w:lang w:eastAsia="zh-CN"/>
              </w:rPr>
              <w:t>的规定时限内</w:t>
            </w:r>
            <w:r>
              <w:rPr>
                <w:rFonts w:hint="eastAsia" w:ascii="宋体" w:hAnsi="宋体" w:cs="宋体"/>
                <w:color w:val="000000"/>
                <w:sz w:val="21"/>
                <w:szCs w:val="21"/>
                <w:lang w:val="en-US" w:eastAsia="zh-CN"/>
              </w:rPr>
              <w:t>进行受理</w:t>
            </w:r>
            <w:r>
              <w:rPr>
                <w:rFonts w:hint="eastAsia" w:ascii="宋体" w:hAnsi="宋体" w:cs="宋体"/>
                <w:color w:val="000000"/>
                <w:sz w:val="21"/>
                <w:szCs w:val="21"/>
              </w:rPr>
              <w:t>，向申请人发放受理通知书，提交审批股审核。资料不齐全、不正确的，资料能当场修改的，指导申请人当场修改，不能当场修改的，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ind w:firstLine="210" w:firstLineChars="100"/>
              <w:jc w:val="both"/>
              <w:textAlignment w:val="center"/>
              <w:rPr>
                <w:rFonts w:hint="eastAsia" w:ascii="宋体" w:eastAsia="宋体" w:cs="宋体"/>
                <w:color w:val="000000"/>
                <w:sz w:val="21"/>
                <w:szCs w:val="21"/>
                <w:lang w:eastAsia="zh-CN"/>
              </w:rPr>
            </w:pPr>
            <w:r>
              <w:rPr>
                <w:rFonts w:hint="eastAsia" w:ascii="宋体" w:cs="宋体"/>
                <w:color w:val="000000"/>
                <w:sz w:val="21"/>
                <w:szCs w:val="21"/>
                <w:lang w:eastAsia="zh-CN"/>
              </w:rPr>
              <w:t>特殊环节</w:t>
            </w:r>
          </w:p>
          <w:p>
            <w:pPr>
              <w:pStyle w:val="21"/>
              <w:spacing w:line="277" w:lineRule="atLeast"/>
              <w:jc w:val="center"/>
              <w:textAlignment w:val="center"/>
              <w:rPr>
                <w:rFonts w:ascii="宋体" w:cs="宋体"/>
                <w:color w:val="000000"/>
                <w:sz w:val="21"/>
                <w:szCs w:val="21"/>
              </w:rPr>
            </w:pPr>
          </w:p>
        </w:tc>
        <w:tc>
          <w:tcPr>
            <w:tcW w:w="6803" w:type="dxa"/>
            <w:gridSpan w:val="3"/>
            <w:vAlign w:val="center"/>
          </w:tcPr>
          <w:p>
            <w:pPr>
              <w:pStyle w:val="21"/>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30</w:t>
            </w:r>
            <w:r>
              <w:rPr>
                <w:rFonts w:hint="eastAsia" w:ascii="宋体" w:hAnsi="宋体" w:cs="宋体"/>
                <w:color w:val="000000"/>
                <w:sz w:val="21"/>
                <w:szCs w:val="21"/>
              </w:rPr>
              <w:t>个工作日</w:t>
            </w:r>
            <w:r>
              <w:rPr>
                <w:rFonts w:hint="eastAsia" w:ascii="宋体" w:hAnsi="宋体" w:cs="宋体"/>
                <w:color w:val="000000"/>
                <w:sz w:val="21"/>
                <w:szCs w:val="21"/>
                <w:lang w:eastAsia="zh-CN"/>
              </w:rPr>
              <w:t>（不纳入计时）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color w:val="000000"/>
                <w:sz w:val="21"/>
              </w:rPr>
              <w:t>法制股收到受理窗口的</w:t>
            </w:r>
            <w:r>
              <w:rPr>
                <w:color w:val="000000"/>
                <w:sz w:val="21"/>
              </w:rPr>
              <w:t>“</w:t>
            </w:r>
            <w:r>
              <w:rPr>
                <w:rFonts w:hint="eastAsia"/>
                <w:color w:val="000000"/>
                <w:sz w:val="21"/>
              </w:rPr>
              <w:t>受理意见书</w:t>
            </w:r>
            <w:r>
              <w:rPr>
                <w:color w:val="000000"/>
                <w:sz w:val="21"/>
              </w:rPr>
              <w:t>”</w:t>
            </w:r>
            <w:r>
              <w:rPr>
                <w:rFonts w:hint="eastAsia"/>
                <w:color w:val="000000"/>
                <w:sz w:val="21"/>
              </w:rPr>
              <w:t>后，在规定时限内完成现场踏勘，符合要求的向审批股出具踏勘意见书。不符合要求的限期整改。</w:t>
            </w:r>
          </w:p>
          <w:p>
            <w:pPr>
              <w:pStyle w:val="21"/>
              <w:spacing w:line="277" w:lineRule="atLeast"/>
              <w:jc w:val="both"/>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both"/>
              <w:textAlignment w:val="center"/>
              <w:rPr>
                <w:rFonts w:ascii="宋体" w:cs="宋体"/>
                <w:color w:val="000000"/>
                <w:sz w:val="21"/>
                <w:szCs w:val="21"/>
              </w:rPr>
            </w:pPr>
            <w:r>
              <w:rPr>
                <w:rFonts w:hint="eastAsia" w:ascii="宋体" w:cs="宋体"/>
                <w:color w:val="000000"/>
                <w:sz w:val="21"/>
                <w:szCs w:val="21"/>
                <w:lang w:eastAsia="zh-CN"/>
              </w:rPr>
              <w:t>审查</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0"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color w:val="000000"/>
                <w:sz w:val="21"/>
              </w:rPr>
            </w:pPr>
            <w:r>
              <w:rPr>
                <w:color w:val="000000"/>
                <w:sz w:val="21"/>
              </w:rPr>
              <w:t>审</w:t>
            </w:r>
            <w:r>
              <w:rPr>
                <w:rFonts w:hint="eastAsia"/>
                <w:color w:val="000000"/>
                <w:sz w:val="21"/>
                <w:lang w:eastAsia="zh-CN"/>
              </w:rPr>
              <w:t>查</w:t>
            </w:r>
            <w:r>
              <w:rPr>
                <w:color w:val="000000"/>
                <w:sz w:val="21"/>
              </w:rPr>
              <w:t>人员结合申请人提交的全部资料，在</w:t>
            </w:r>
            <w:r>
              <w:rPr>
                <w:rFonts w:hint="eastAsia" w:ascii="宋体" w:hAnsi="宋体" w:cs="宋体"/>
                <w:color w:val="000000"/>
                <w:sz w:val="21"/>
                <w:szCs w:val="21"/>
                <w:lang w:eastAsia="zh-CN"/>
              </w:rPr>
              <w:t>规定时限</w:t>
            </w:r>
            <w:r>
              <w:rPr>
                <w:color w:val="000000"/>
                <w:sz w:val="21"/>
              </w:rPr>
              <w:t>内做出</w:t>
            </w:r>
            <w:r>
              <w:rPr>
                <w:rFonts w:hint="eastAsia"/>
                <w:color w:val="000000"/>
                <w:sz w:val="21"/>
                <w:lang w:eastAsia="zh-CN"/>
              </w:rPr>
              <w:t>审查意见</w:t>
            </w:r>
            <w:r>
              <w:rPr>
                <w:color w:val="000000"/>
                <w:sz w:val="21"/>
              </w:rPr>
              <w:t>。报审批人员。对不符合行政许可的，出具不予行政许可意见书，说明理由。</w:t>
            </w:r>
          </w:p>
          <w:p>
            <w:pPr>
              <w:pStyle w:val="21"/>
              <w:spacing w:line="277" w:lineRule="atLeast"/>
              <w:jc w:val="both"/>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center"/>
              <w:textAlignment w:val="center"/>
              <w:rPr>
                <w:rFonts w:hint="eastAsia" w:ascii="宋体" w:eastAsia="宋体" w:cs="宋体"/>
                <w:color w:val="000000"/>
                <w:sz w:val="21"/>
                <w:szCs w:val="21"/>
                <w:lang w:eastAsia="zh-CN"/>
              </w:rPr>
            </w:pPr>
            <w:r>
              <w:rPr>
                <w:rFonts w:hint="eastAsia" w:ascii="宋体" w:hAnsi="宋体" w:cs="宋体"/>
                <w:color w:val="000000"/>
                <w:sz w:val="21"/>
                <w:szCs w:val="21"/>
                <w:lang w:eastAsia="zh-CN"/>
              </w:rPr>
              <w:t>决定</w:t>
            </w:r>
          </w:p>
        </w:tc>
        <w:tc>
          <w:tcPr>
            <w:tcW w:w="6803" w:type="dxa"/>
            <w:gridSpan w:val="3"/>
            <w:vAlign w:val="center"/>
          </w:tcPr>
          <w:p>
            <w:pPr>
              <w:pStyle w:val="21"/>
              <w:tabs>
                <w:tab w:val="left" w:pos="914"/>
              </w:tabs>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4"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根据审核人员、政策法制股提交的材料，符合要求的，批准予以行政许可。对不符合要求的，出具不予行政许可意见书，说明理由。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审批监管对接</w:t>
            </w:r>
          </w:p>
        </w:tc>
        <w:tc>
          <w:tcPr>
            <w:tcW w:w="6803" w:type="dxa"/>
            <w:gridSpan w:val="3"/>
            <w:vAlign w:val="center"/>
          </w:tcPr>
          <w:p>
            <w:pPr>
              <w:pStyle w:val="21"/>
              <w:spacing w:line="277" w:lineRule="atLeast"/>
              <w:jc w:val="both"/>
              <w:textAlignment w:val="center"/>
              <w:rPr>
                <w:rFonts w:ascii="宋体" w:cs="宋体"/>
                <w:color w:val="000000"/>
                <w:sz w:val="21"/>
                <w:szCs w:val="21"/>
              </w:rPr>
            </w:pPr>
          </w:p>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对已经办理的行政许可事项，审批股负责以电子邮件或纸质函形式通知监管单位，负责事中事后监管。办结后</w:t>
            </w:r>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r>
              <w:rPr>
                <w:rFonts w:hint="eastAsia" w:ascii="宋体" w:hAnsi="宋体" w:cs="宋体"/>
                <w:color w:val="000000"/>
                <w:sz w:val="21"/>
                <w:szCs w:val="21"/>
              </w:rPr>
              <w:t>内</w:t>
            </w:r>
            <w:r>
              <w:rPr>
                <w:rFonts w:ascii="宋体" w:cs="宋体"/>
                <w:color w:val="000000"/>
                <w:sz w:val="21"/>
                <w:szCs w:val="21"/>
              </w:rPr>
              <w:t>.</w:t>
            </w:r>
          </w:p>
          <w:p>
            <w:pPr>
              <w:pStyle w:val="21"/>
              <w:spacing w:line="277" w:lineRule="atLeast"/>
              <w:jc w:val="both"/>
              <w:textAlignment w:val="center"/>
              <w:rPr>
                <w:rFonts w:ascii="宋体" w:cs="宋体"/>
                <w:color w:val="000000"/>
                <w:sz w:val="21"/>
                <w:szCs w:val="21"/>
              </w:rPr>
            </w:pPr>
          </w:p>
        </w:tc>
      </w:tr>
    </w:tbl>
    <w:p>
      <w:pPr>
        <w:ind w:firstLine="40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tbl>
      <w:tblPr>
        <w:tblStyle w:val="18"/>
        <w:tblW w:w="906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事项名称</w:t>
            </w:r>
          </w:p>
        </w:tc>
        <w:tc>
          <w:tcPr>
            <w:tcW w:w="6803" w:type="dxa"/>
            <w:gridSpan w:val="3"/>
            <w:vAlign w:val="center"/>
          </w:tcPr>
          <w:p>
            <w:pPr>
              <w:pStyle w:val="21"/>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种畜禽生产经营许可</w:t>
            </w:r>
            <w:r>
              <w:rPr>
                <w:rFonts w:hint="eastAsia" w:ascii="宋体" w:hAnsi="宋体" w:cs="宋体"/>
                <w:color w:val="000000"/>
                <w:sz w:val="21"/>
                <w:szCs w:val="21"/>
                <w:lang w:eastAsia="zh-CN"/>
              </w:rPr>
              <w:t>（补正）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审批权限</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lang w:eastAsia="zh-CN"/>
              </w:rPr>
              <w:t>区</w:t>
            </w:r>
            <w:r>
              <w:rPr>
                <w:rFonts w:hint="eastAsia" w:ascii="宋体" w:hAnsi="宋体" w:cs="宋体"/>
                <w:color w:val="000000"/>
                <w:sz w:val="21"/>
                <w:szCs w:val="21"/>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4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实施依据</w:t>
            </w:r>
          </w:p>
        </w:tc>
        <w:tc>
          <w:tcPr>
            <w:tcW w:w="6803" w:type="dxa"/>
            <w:gridSpan w:val="3"/>
            <w:vAlign w:val="center"/>
          </w:tcPr>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Arial" w:hAnsi="Arial" w:cs="Arial"/>
                <w:color w:val="000000" w:themeColor="text1"/>
                <w:sz w:val="21"/>
                <w:szCs w:val="21"/>
                <w:lang w:val="en-US" w:eastAsia="zh-CN"/>
              </w:rPr>
              <w:t>1、</w:t>
            </w:r>
            <w:r>
              <w:rPr>
                <w:rFonts w:hint="eastAsia" w:ascii="Arial" w:hAnsi="Arial" w:cs="Arial"/>
                <w:color w:val="000000" w:themeColor="text1"/>
                <w:sz w:val="21"/>
                <w:szCs w:val="21"/>
              </w:rPr>
              <w:t>《中华人民共和国畜牧法》由全国人民代表大会常务委员会第十九次会议于</w:t>
            </w:r>
            <w:r>
              <w:rPr>
                <w:rFonts w:hint="eastAsia" w:ascii="宋体" w:hAnsi="宋体" w:eastAsia="宋体" w:cs="宋体"/>
                <w:color w:val="000000" w:themeColor="text1"/>
                <w:sz w:val="21"/>
                <w:szCs w:val="21"/>
              </w:rPr>
              <w:t>2005年12月29</w:t>
            </w:r>
            <w:r>
              <w:rPr>
                <w:rFonts w:hint="eastAsia" w:ascii="Arial" w:hAnsi="Arial" w:cs="Arial"/>
                <w:color w:val="000000" w:themeColor="text1"/>
                <w:sz w:val="21"/>
                <w:szCs w:val="21"/>
              </w:rPr>
              <w:t>日通过。现行版本为</w:t>
            </w:r>
            <w:r>
              <w:rPr>
                <w:rFonts w:hint="eastAsia" w:ascii="宋体" w:hAnsi="宋体" w:eastAsia="宋体" w:cs="宋体"/>
                <w:color w:val="000000" w:themeColor="text1"/>
                <w:sz w:val="21"/>
                <w:szCs w:val="21"/>
              </w:rPr>
              <w:t>2015年4月24</w:t>
            </w:r>
            <w:r>
              <w:rPr>
                <w:rFonts w:hint="eastAsia" w:ascii="Arial" w:hAnsi="Arial" w:cs="Arial"/>
                <w:color w:val="000000" w:themeColor="text1"/>
                <w:sz w:val="21"/>
                <w:szCs w:val="21"/>
              </w:rPr>
              <w:t>日第十二届全国人民代表大会常务委员会第十四次会议修正第二十二、二十三、二十四条</w:t>
            </w:r>
          </w:p>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宋体" w:hAnsi="宋体" w:cs="宋体"/>
                <w:color w:val="000000" w:themeColor="text1"/>
                <w:sz w:val="21"/>
                <w:szCs w:val="21"/>
                <w:shd w:val="clear" w:color="auto" w:fill="FFFFFF"/>
                <w:lang w:val="en-US" w:eastAsia="zh-CN"/>
              </w:rPr>
              <w:t>2、</w:t>
            </w:r>
            <w:r>
              <w:rPr>
                <w:rFonts w:hint="eastAsia" w:ascii="宋体" w:hAnsi="宋体" w:cs="宋体"/>
                <w:color w:val="000000" w:themeColor="text1"/>
                <w:sz w:val="21"/>
                <w:szCs w:val="21"/>
                <w:shd w:val="clear" w:color="auto" w:fill="FFFFFF"/>
              </w:rPr>
              <w:t>《</w:t>
            </w:r>
            <w:r>
              <w:rPr>
                <w:color w:val="000000" w:themeColor="text1"/>
              </w:rPr>
              <w:fldChar w:fldCharType="begin"/>
            </w:r>
            <w:r>
              <w:rPr>
                <w:color w:val="000000" w:themeColor="text1"/>
              </w:rPr>
              <w:instrText xml:space="preserve"> HYPERLINK "http://hb.110.com/" </w:instrText>
            </w:r>
            <w:r>
              <w:rPr>
                <w:color w:val="000000" w:themeColor="text1"/>
              </w:rPr>
              <w:fldChar w:fldCharType="separate"/>
            </w:r>
            <w:r>
              <w:rPr>
                <w:rStyle w:val="13"/>
                <w:rFonts w:hint="eastAsia" w:ascii="宋体" w:hAnsi="宋体" w:cs="宋体"/>
                <w:color w:val="000000" w:themeColor="text1"/>
                <w:sz w:val="21"/>
                <w:szCs w:val="21"/>
                <w:u w:val="none"/>
                <w:shd w:val="clear" w:color="auto" w:fill="FFFFFF"/>
              </w:rPr>
              <w:t>河北</w:t>
            </w:r>
            <w:r>
              <w:rPr>
                <w:rStyle w:val="13"/>
                <w:rFonts w:hint="eastAsia" w:ascii="宋体" w:hAnsi="宋体" w:cs="宋体"/>
                <w:color w:val="000000" w:themeColor="text1"/>
                <w:sz w:val="21"/>
                <w:szCs w:val="21"/>
                <w:u w:val="none"/>
                <w:shd w:val="clear" w:color="auto" w:fill="FFFFFF"/>
              </w:rPr>
              <w:fldChar w:fldCharType="end"/>
            </w:r>
            <w:r>
              <w:rPr>
                <w:rFonts w:hint="eastAsia" w:ascii="宋体" w:hAnsi="宋体" w:cs="宋体"/>
                <w:color w:val="000000" w:themeColor="text1"/>
                <w:sz w:val="21"/>
                <w:szCs w:val="21"/>
                <w:shd w:val="clear" w:color="auto" w:fill="FFFFFF"/>
              </w:rPr>
              <w:t>省种畜禽生产经营许可证审核发放办法》第十一条</w:t>
            </w:r>
          </w:p>
          <w:p>
            <w:pPr>
              <w:spacing w:line="308" w:lineRule="atLeast"/>
              <w:ind w:firstLine="0" w:firstLineChars="0"/>
              <w:jc w:val="both"/>
              <w:rPr>
                <w:rFonts w:asci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2"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法定时限</w:t>
            </w:r>
          </w:p>
        </w:tc>
        <w:tc>
          <w:tcPr>
            <w:tcW w:w="20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25</w:t>
            </w:r>
            <w:r>
              <w:rPr>
                <w:rFonts w:hint="eastAsia" w:ascii="宋体" w:hAnsi="宋体" w:cs="宋体"/>
                <w:color w:val="000000"/>
                <w:sz w:val="21"/>
                <w:szCs w:val="21"/>
              </w:rPr>
              <w:t>个工作日</w:t>
            </w:r>
          </w:p>
        </w:tc>
        <w:tc>
          <w:tcPr>
            <w:tcW w:w="2355" w:type="dxa"/>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承诺时限</w:t>
            </w:r>
          </w:p>
        </w:tc>
        <w:tc>
          <w:tcPr>
            <w:tcW w:w="23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13</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5" w:hRule="exact"/>
          <w:jc w:val="center"/>
        </w:trPr>
        <w:tc>
          <w:tcPr>
            <w:tcW w:w="1133" w:type="dxa"/>
            <w:vMerge w:val="restart"/>
            <w:vAlign w:val="center"/>
          </w:tcPr>
          <w:p>
            <w:pPr>
              <w:ind w:left="0" w:leftChars="0" w:firstLine="210" w:firstLineChars="100"/>
              <w:jc w:val="both"/>
              <w:rPr>
                <w:rFonts w:hint="eastAsia" w:ascii="宋体" w:eastAsia="宋体" w:cs="宋体"/>
                <w:sz w:val="21"/>
                <w:szCs w:val="21"/>
                <w:lang w:eastAsia="zh-CN"/>
              </w:rPr>
            </w:pPr>
            <w:r>
              <w:rPr>
                <w:rFonts w:hint="eastAsia" w:ascii="宋体" w:cs="宋体"/>
                <w:sz w:val="21"/>
                <w:szCs w:val="21"/>
                <w:lang w:eastAsia="zh-CN"/>
              </w:rPr>
              <w:t>审批流程</w:t>
            </w:r>
          </w:p>
        </w:tc>
        <w:tc>
          <w:tcPr>
            <w:tcW w:w="1133" w:type="dxa"/>
            <w:vMerge w:val="restart"/>
            <w:vAlign w:val="center"/>
          </w:tcPr>
          <w:p>
            <w:pPr>
              <w:tabs>
                <w:tab w:val="left" w:pos="712"/>
              </w:tabs>
              <w:ind w:firstLine="420"/>
              <w:jc w:val="left"/>
              <w:rPr>
                <w:rFonts w:hint="eastAsia" w:ascii="宋体" w:eastAsia="宋体" w:cs="宋体"/>
                <w:sz w:val="21"/>
                <w:szCs w:val="21"/>
                <w:lang w:eastAsia="zh-CN"/>
              </w:rPr>
            </w:pPr>
            <w:r>
              <w:rPr>
                <w:rFonts w:hint="eastAsia" w:ascii="宋体" w:cs="宋体"/>
                <w:sz w:val="21"/>
                <w:szCs w:val="21"/>
                <w:lang w:eastAsia="zh-CN"/>
              </w:rPr>
              <w:t>受理</w:t>
            </w:r>
          </w:p>
        </w:tc>
        <w:tc>
          <w:tcPr>
            <w:tcW w:w="6803" w:type="dxa"/>
            <w:gridSpan w:val="3"/>
            <w:vAlign w:val="center"/>
          </w:tcPr>
          <w:p>
            <w:pPr>
              <w:spacing w:line="246" w:lineRule="atLeast"/>
              <w:ind w:left="0" w:leftChars="0" w:firstLine="0" w:firstLineChars="0"/>
              <w:jc w:val="both"/>
              <w:rPr>
                <w:rFonts w:hint="eastAsia" w:ascii="宋体" w:eastAsia="宋体" w:cs="宋体"/>
                <w:color w:val="000000"/>
                <w:sz w:val="21"/>
                <w:szCs w:val="21"/>
                <w:lang w:val="en-US" w:eastAsia="zh-CN"/>
              </w:rPr>
            </w:pPr>
            <w:r>
              <w:rPr>
                <w:rFonts w:hint="eastAsia" w:ascii="宋体" w:cs="宋体"/>
                <w:color w:val="000000"/>
                <w:sz w:val="21"/>
                <w:szCs w:val="21"/>
                <w:lang w:eastAsia="zh-CN"/>
              </w:rPr>
              <w:t>时限：</w:t>
            </w:r>
            <w:r>
              <w:rPr>
                <w:rFonts w:hint="eastAsia" w:ascii="宋体" w:cs="宋体"/>
                <w:color w:val="0000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35" w:hRule="exact"/>
          <w:jc w:val="center"/>
        </w:trPr>
        <w:tc>
          <w:tcPr>
            <w:tcW w:w="1133" w:type="dxa"/>
            <w:vMerge w:val="continue"/>
            <w:vAlign w:val="center"/>
          </w:tcPr>
          <w:p>
            <w:pPr>
              <w:ind w:left="0" w:leftChars="0" w:firstLine="210" w:firstLineChars="100"/>
              <w:jc w:val="both"/>
              <w:rPr>
                <w:rFonts w:hint="eastAsia" w:ascii="宋体" w:eastAsia="宋体" w:cs="宋体"/>
                <w:sz w:val="21"/>
                <w:szCs w:val="21"/>
                <w:lang w:eastAsia="zh-CN"/>
              </w:rPr>
            </w:pPr>
          </w:p>
        </w:tc>
        <w:tc>
          <w:tcPr>
            <w:tcW w:w="1133" w:type="dxa"/>
            <w:vMerge w:val="continue"/>
            <w:vAlign w:val="center"/>
          </w:tcPr>
          <w:p>
            <w:pPr>
              <w:tabs>
                <w:tab w:val="left" w:pos="712"/>
              </w:tabs>
              <w:ind w:firstLine="420"/>
              <w:jc w:val="left"/>
              <w:rPr>
                <w:rFonts w:hint="eastAsia" w:ascii="宋体" w:eastAsia="宋体" w:cs="宋体"/>
                <w:sz w:val="21"/>
                <w:szCs w:val="21"/>
                <w:lang w:eastAsia="zh-CN"/>
              </w:rPr>
            </w:pPr>
          </w:p>
        </w:tc>
        <w:tc>
          <w:tcPr>
            <w:tcW w:w="6803" w:type="dxa"/>
            <w:gridSpan w:val="3"/>
            <w:vAlign w:val="center"/>
          </w:tcPr>
          <w:p>
            <w:pPr>
              <w:spacing w:line="360" w:lineRule="auto"/>
              <w:ind w:firstLine="0" w:firstLineChars="0"/>
              <w:jc w:val="both"/>
              <w:rPr>
                <w:rFonts w:hint="eastAsia" w:ascii="宋体" w:hAnsi="宋体" w:cs="宋体"/>
                <w:color w:val="000000" w:themeColor="text1"/>
                <w:sz w:val="21"/>
                <w:szCs w:val="21"/>
              </w:rPr>
            </w:pPr>
            <w:r>
              <w:rPr>
                <w:rFonts w:hint="eastAsia" w:ascii="宋体" w:hAnsi="宋体" w:cs="宋体"/>
                <w:color w:val="000000" w:themeColor="text1"/>
                <w:sz w:val="21"/>
                <w:szCs w:val="21"/>
              </w:rPr>
              <w:t>申报材料</w:t>
            </w:r>
          </w:p>
          <w:p>
            <w:pPr>
              <w:numPr>
                <w:ilvl w:val="0"/>
                <w:numId w:val="2"/>
              </w:numPr>
              <w:spacing w:line="360" w:lineRule="auto"/>
              <w:ind w:firstLine="0" w:firstLineChars="0"/>
              <w:jc w:val="both"/>
              <w:rPr>
                <w:rFonts w:hint="eastAsia" w:ascii="微软雅黑" w:hAnsi="微软雅黑" w:eastAsia="微软雅黑" w:cs="微软雅黑"/>
                <w:color w:val="auto"/>
                <w:sz w:val="19"/>
                <w:szCs w:val="19"/>
                <w:lang w:val="en-US" w:eastAsia="zh-CN"/>
              </w:rPr>
            </w:pPr>
            <w:r>
              <w:rPr>
                <w:rFonts w:ascii="微软雅黑" w:hAnsi="微软雅黑" w:eastAsia="微软雅黑" w:cs="微软雅黑"/>
                <w:color w:val="auto"/>
                <w:sz w:val="19"/>
                <w:szCs w:val="19"/>
              </w:rPr>
              <w:t>种畜禽生产经营许可证遗失情况说明</w:t>
            </w: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spacing w:line="360" w:lineRule="auto"/>
              <w:ind w:firstLine="420"/>
              <w:jc w:val="both"/>
              <w:rPr>
                <w:rFonts w:ascii="宋体" w:cs="宋体"/>
                <w:sz w:val="21"/>
                <w:szCs w:val="21"/>
              </w:rPr>
            </w:pPr>
          </w:p>
          <w:p>
            <w:pPr>
              <w:spacing w:line="489" w:lineRule="atLeast"/>
              <w:ind w:firstLine="0" w:firstLineChars="0"/>
              <w:jc w:val="both"/>
              <w:rPr>
                <w:rFonts w:ascii="宋体" w:cs="宋体"/>
                <w:sz w:val="21"/>
                <w:szCs w:val="21"/>
              </w:rPr>
            </w:pPr>
          </w:p>
          <w:p>
            <w:pPr>
              <w:spacing w:line="246" w:lineRule="atLeast"/>
              <w:ind w:firstLine="420"/>
              <w:jc w:val="both"/>
              <w:rPr>
                <w:rFonts w:ascii="宋体" w:cs="宋体"/>
                <w:color w:val="000000"/>
                <w:sz w:val="21"/>
                <w:szCs w:val="21"/>
              </w:rPr>
            </w:pPr>
          </w:p>
          <w:p>
            <w:pPr>
              <w:spacing w:line="246" w:lineRule="atLeast"/>
              <w:ind w:firstLine="420"/>
              <w:jc w:val="both"/>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58"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属于职责范围内的，资料齐全的</w:t>
            </w:r>
            <w:r>
              <w:rPr>
                <w:rFonts w:hint="eastAsia" w:ascii="宋体" w:hAnsi="宋体" w:cs="宋体"/>
                <w:color w:val="000000"/>
                <w:sz w:val="21"/>
                <w:szCs w:val="21"/>
                <w:lang w:eastAsia="zh-CN"/>
              </w:rPr>
              <w:t>规定时限内</w:t>
            </w:r>
            <w:r>
              <w:rPr>
                <w:rFonts w:hint="eastAsia" w:ascii="宋体" w:hAnsi="宋体" w:cs="宋体"/>
                <w:color w:val="000000"/>
                <w:sz w:val="21"/>
                <w:szCs w:val="21"/>
              </w:rPr>
              <w:t>受理，向申请人发放受理通知书，提交审批股审核。资料不齐全、不正确的，资料能当场修改的，指导申请人当场修改，不能当场修改的，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both"/>
              <w:textAlignment w:val="center"/>
              <w:rPr>
                <w:rFonts w:ascii="宋体" w:cs="宋体"/>
                <w:color w:val="000000"/>
                <w:sz w:val="21"/>
                <w:szCs w:val="21"/>
              </w:rPr>
            </w:pPr>
            <w:r>
              <w:rPr>
                <w:rFonts w:hint="eastAsia" w:ascii="宋体" w:cs="宋体"/>
                <w:color w:val="000000"/>
                <w:sz w:val="21"/>
                <w:szCs w:val="21"/>
                <w:lang w:eastAsia="zh-CN"/>
              </w:rPr>
              <w:t>审查</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0"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color w:val="000000"/>
                <w:sz w:val="21"/>
              </w:rPr>
            </w:pPr>
            <w:r>
              <w:rPr>
                <w:color w:val="000000"/>
                <w:sz w:val="21"/>
              </w:rPr>
              <w:t>审</w:t>
            </w:r>
            <w:r>
              <w:rPr>
                <w:rFonts w:hint="eastAsia"/>
                <w:color w:val="000000"/>
                <w:sz w:val="21"/>
                <w:lang w:eastAsia="zh-CN"/>
              </w:rPr>
              <w:t>查</w:t>
            </w:r>
            <w:r>
              <w:rPr>
                <w:color w:val="000000"/>
                <w:sz w:val="21"/>
              </w:rPr>
              <w:t>人员结合申请人提交的全部资料，在</w:t>
            </w:r>
            <w:r>
              <w:rPr>
                <w:rFonts w:hint="eastAsia" w:ascii="宋体" w:hAnsi="宋体" w:cs="宋体"/>
                <w:color w:val="000000"/>
                <w:sz w:val="21"/>
                <w:szCs w:val="21"/>
                <w:lang w:eastAsia="zh-CN"/>
              </w:rPr>
              <w:t>规定时限</w:t>
            </w:r>
            <w:r>
              <w:rPr>
                <w:color w:val="000000"/>
                <w:sz w:val="21"/>
              </w:rPr>
              <w:t>内做出</w:t>
            </w:r>
            <w:r>
              <w:rPr>
                <w:rFonts w:hint="eastAsia"/>
                <w:color w:val="000000"/>
                <w:sz w:val="21"/>
                <w:lang w:eastAsia="zh-CN"/>
              </w:rPr>
              <w:t>审查意见</w:t>
            </w:r>
            <w:r>
              <w:rPr>
                <w:color w:val="000000"/>
                <w:sz w:val="21"/>
              </w:rPr>
              <w:t>。报审批人员。对不符合行政许可的，出具不予行政许可意见书，说明理由。</w:t>
            </w:r>
          </w:p>
          <w:p>
            <w:pPr>
              <w:pStyle w:val="21"/>
              <w:spacing w:line="277" w:lineRule="atLeast"/>
              <w:jc w:val="both"/>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center"/>
              <w:textAlignment w:val="center"/>
              <w:rPr>
                <w:rFonts w:hint="eastAsia" w:ascii="宋体" w:eastAsia="宋体" w:cs="宋体"/>
                <w:color w:val="000000"/>
                <w:sz w:val="21"/>
                <w:szCs w:val="21"/>
                <w:lang w:eastAsia="zh-CN"/>
              </w:rPr>
            </w:pPr>
            <w:r>
              <w:rPr>
                <w:rFonts w:hint="eastAsia" w:ascii="宋体" w:hAnsi="宋体" w:cs="宋体"/>
                <w:color w:val="000000"/>
                <w:sz w:val="21"/>
                <w:szCs w:val="21"/>
                <w:lang w:eastAsia="zh-CN"/>
              </w:rPr>
              <w:t>决定</w:t>
            </w:r>
          </w:p>
        </w:tc>
        <w:tc>
          <w:tcPr>
            <w:tcW w:w="6803" w:type="dxa"/>
            <w:gridSpan w:val="3"/>
            <w:vAlign w:val="center"/>
          </w:tcPr>
          <w:p>
            <w:pPr>
              <w:pStyle w:val="21"/>
              <w:tabs>
                <w:tab w:val="left" w:pos="914"/>
              </w:tabs>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4"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根据审核人员、政策法制股提交的材料，符合要求的，批准予以行政许可。对不符合要求的，出具不予行政许可意见书，说明理由。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审批监管对接</w:t>
            </w:r>
          </w:p>
        </w:tc>
        <w:tc>
          <w:tcPr>
            <w:tcW w:w="6803" w:type="dxa"/>
            <w:gridSpan w:val="3"/>
            <w:vAlign w:val="center"/>
          </w:tcPr>
          <w:p>
            <w:pPr>
              <w:pStyle w:val="21"/>
              <w:spacing w:line="277" w:lineRule="atLeast"/>
              <w:jc w:val="both"/>
              <w:textAlignment w:val="center"/>
              <w:rPr>
                <w:rFonts w:ascii="宋体" w:cs="宋体"/>
                <w:color w:val="000000"/>
                <w:sz w:val="21"/>
                <w:szCs w:val="21"/>
              </w:rPr>
            </w:pPr>
          </w:p>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对已经办理的行政许可事项，审批股负责以电子邮件或纸质函形式通知监管单位，负责事中事后监管。办结后</w:t>
            </w:r>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r>
              <w:rPr>
                <w:rFonts w:hint="eastAsia" w:ascii="宋体" w:hAnsi="宋体" w:cs="宋体"/>
                <w:color w:val="000000"/>
                <w:sz w:val="21"/>
                <w:szCs w:val="21"/>
              </w:rPr>
              <w:t>内</w:t>
            </w:r>
            <w:r>
              <w:rPr>
                <w:rFonts w:ascii="宋体" w:cs="宋体"/>
                <w:color w:val="000000"/>
                <w:sz w:val="21"/>
                <w:szCs w:val="21"/>
              </w:rPr>
              <w:t>.</w:t>
            </w:r>
          </w:p>
          <w:p>
            <w:pPr>
              <w:pStyle w:val="21"/>
              <w:spacing w:line="277" w:lineRule="atLeast"/>
              <w:jc w:val="both"/>
              <w:textAlignment w:val="center"/>
              <w:rPr>
                <w:rFonts w:ascii="宋体" w:cs="宋体"/>
                <w:color w:val="000000"/>
                <w:sz w:val="21"/>
                <w:szCs w:val="21"/>
              </w:rPr>
            </w:pPr>
          </w:p>
        </w:tc>
      </w:tr>
    </w:tbl>
    <w:p>
      <w:pPr>
        <w:ind w:firstLine="400"/>
        <w:sectPr>
          <w:pgSz w:w="11906" w:h="16838"/>
          <w:pgMar w:top="1440" w:right="1800" w:bottom="1440" w:left="1800" w:header="851" w:footer="992" w:gutter="0"/>
          <w:cols w:space="425" w:num="1"/>
          <w:docGrid w:type="lines" w:linePitch="312" w:charSpace="0"/>
        </w:sectPr>
      </w:pPr>
    </w:p>
    <w:tbl>
      <w:tblPr>
        <w:tblStyle w:val="18"/>
        <w:tblW w:w="906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事项名称</w:t>
            </w:r>
          </w:p>
        </w:tc>
        <w:tc>
          <w:tcPr>
            <w:tcW w:w="6803" w:type="dxa"/>
            <w:gridSpan w:val="3"/>
            <w:vAlign w:val="center"/>
          </w:tcPr>
          <w:p>
            <w:pPr>
              <w:pStyle w:val="21"/>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种畜禽生产经营许可</w:t>
            </w:r>
            <w:r>
              <w:rPr>
                <w:rFonts w:hint="eastAsia" w:ascii="宋体" w:hAnsi="宋体" w:cs="宋体"/>
                <w:color w:val="000000"/>
                <w:sz w:val="21"/>
                <w:szCs w:val="21"/>
                <w:lang w:eastAsia="zh-CN"/>
              </w:rPr>
              <w:t>（变更）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9"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审批权限</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lang w:eastAsia="zh-CN"/>
              </w:rPr>
              <w:t>区</w:t>
            </w:r>
            <w:r>
              <w:rPr>
                <w:rFonts w:hint="eastAsia" w:ascii="宋体" w:hAnsi="宋体" w:cs="宋体"/>
                <w:color w:val="000000"/>
                <w:sz w:val="21"/>
                <w:szCs w:val="21"/>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4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实施依据</w:t>
            </w:r>
          </w:p>
        </w:tc>
        <w:tc>
          <w:tcPr>
            <w:tcW w:w="6803" w:type="dxa"/>
            <w:gridSpan w:val="3"/>
            <w:vAlign w:val="center"/>
          </w:tcPr>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Arial" w:hAnsi="Arial" w:cs="Arial"/>
                <w:color w:val="000000" w:themeColor="text1"/>
                <w:sz w:val="21"/>
                <w:szCs w:val="21"/>
                <w:lang w:val="en-US" w:eastAsia="zh-CN"/>
              </w:rPr>
              <w:t>1、</w:t>
            </w:r>
            <w:r>
              <w:rPr>
                <w:rFonts w:hint="eastAsia" w:ascii="Arial" w:hAnsi="Arial" w:cs="Arial"/>
                <w:color w:val="000000" w:themeColor="text1"/>
                <w:sz w:val="21"/>
                <w:szCs w:val="21"/>
              </w:rPr>
              <w:t>《中华人民共和国畜牧法》由全国人民代表大会常务委员会第十九次会议于</w:t>
            </w:r>
            <w:r>
              <w:rPr>
                <w:rFonts w:hint="eastAsia" w:ascii="宋体" w:hAnsi="宋体" w:eastAsia="宋体" w:cs="宋体"/>
                <w:color w:val="000000" w:themeColor="text1"/>
                <w:sz w:val="21"/>
                <w:szCs w:val="21"/>
              </w:rPr>
              <w:t>2005年12月29</w:t>
            </w:r>
            <w:r>
              <w:rPr>
                <w:rFonts w:hint="eastAsia" w:ascii="Arial" w:hAnsi="Arial" w:cs="Arial"/>
                <w:color w:val="000000" w:themeColor="text1"/>
                <w:sz w:val="21"/>
                <w:szCs w:val="21"/>
              </w:rPr>
              <w:t>日通过。现行版本为</w:t>
            </w:r>
            <w:r>
              <w:rPr>
                <w:rFonts w:hint="eastAsia" w:ascii="宋体" w:hAnsi="宋体" w:eastAsia="宋体" w:cs="宋体"/>
                <w:color w:val="000000" w:themeColor="text1"/>
                <w:sz w:val="21"/>
                <w:szCs w:val="21"/>
              </w:rPr>
              <w:t>2015年4月24</w:t>
            </w:r>
            <w:r>
              <w:rPr>
                <w:rFonts w:hint="eastAsia" w:ascii="Arial" w:hAnsi="Arial" w:cs="Arial"/>
                <w:color w:val="000000" w:themeColor="text1"/>
                <w:sz w:val="21"/>
                <w:szCs w:val="21"/>
              </w:rPr>
              <w:t>日第十二届全国人民代表大会常务委员会第十四次会议修正第二十二、二十三、二十四条</w:t>
            </w:r>
          </w:p>
          <w:p>
            <w:pPr>
              <w:widowControl/>
              <w:numPr>
                <w:ilvl w:val="0"/>
                <w:numId w:val="0"/>
              </w:numPr>
              <w:shd w:val="clear" w:color="auto" w:fill="FFFFFF"/>
              <w:spacing w:line="360" w:lineRule="atLeast"/>
              <w:jc w:val="both"/>
              <w:rPr>
                <w:rFonts w:ascii="Arial" w:hAnsi="Arial" w:cs="Arial"/>
                <w:color w:val="000000" w:themeColor="text1"/>
                <w:sz w:val="21"/>
                <w:szCs w:val="21"/>
              </w:rPr>
            </w:pPr>
            <w:r>
              <w:rPr>
                <w:rFonts w:hint="eastAsia" w:ascii="宋体" w:hAnsi="宋体" w:cs="宋体"/>
                <w:color w:val="000000" w:themeColor="text1"/>
                <w:sz w:val="21"/>
                <w:szCs w:val="21"/>
                <w:shd w:val="clear" w:color="auto" w:fill="FFFFFF"/>
                <w:lang w:val="en-US" w:eastAsia="zh-CN"/>
              </w:rPr>
              <w:t>2、</w:t>
            </w:r>
            <w:r>
              <w:rPr>
                <w:rFonts w:hint="eastAsia" w:ascii="宋体" w:hAnsi="宋体" w:cs="宋体"/>
                <w:color w:val="000000" w:themeColor="text1"/>
                <w:sz w:val="21"/>
                <w:szCs w:val="21"/>
                <w:shd w:val="clear" w:color="auto" w:fill="FFFFFF"/>
              </w:rPr>
              <w:t>《</w:t>
            </w:r>
            <w:r>
              <w:rPr>
                <w:color w:val="000000" w:themeColor="text1"/>
              </w:rPr>
              <w:fldChar w:fldCharType="begin"/>
            </w:r>
            <w:r>
              <w:rPr>
                <w:color w:val="000000" w:themeColor="text1"/>
              </w:rPr>
              <w:instrText xml:space="preserve"> HYPERLINK "http://hb.110.com/" </w:instrText>
            </w:r>
            <w:r>
              <w:rPr>
                <w:color w:val="000000" w:themeColor="text1"/>
              </w:rPr>
              <w:fldChar w:fldCharType="separate"/>
            </w:r>
            <w:r>
              <w:rPr>
                <w:rStyle w:val="13"/>
                <w:rFonts w:hint="eastAsia" w:ascii="宋体" w:hAnsi="宋体" w:cs="宋体"/>
                <w:color w:val="000000" w:themeColor="text1"/>
                <w:sz w:val="21"/>
                <w:szCs w:val="21"/>
                <w:u w:val="none"/>
                <w:shd w:val="clear" w:color="auto" w:fill="FFFFFF"/>
              </w:rPr>
              <w:t>河北</w:t>
            </w:r>
            <w:r>
              <w:rPr>
                <w:rStyle w:val="13"/>
                <w:rFonts w:hint="eastAsia" w:ascii="宋体" w:hAnsi="宋体" w:cs="宋体"/>
                <w:color w:val="000000" w:themeColor="text1"/>
                <w:sz w:val="21"/>
                <w:szCs w:val="21"/>
                <w:u w:val="none"/>
                <w:shd w:val="clear" w:color="auto" w:fill="FFFFFF"/>
              </w:rPr>
              <w:fldChar w:fldCharType="end"/>
            </w:r>
            <w:r>
              <w:rPr>
                <w:rFonts w:hint="eastAsia" w:ascii="宋体" w:hAnsi="宋体" w:cs="宋体"/>
                <w:color w:val="000000" w:themeColor="text1"/>
                <w:sz w:val="21"/>
                <w:szCs w:val="21"/>
                <w:shd w:val="clear" w:color="auto" w:fill="FFFFFF"/>
              </w:rPr>
              <w:t>省种畜禽生产经营许可证审核发放办法》第十一条</w:t>
            </w:r>
          </w:p>
          <w:p>
            <w:pPr>
              <w:spacing w:line="308" w:lineRule="atLeast"/>
              <w:ind w:firstLine="0" w:firstLineChars="0"/>
              <w:jc w:val="both"/>
              <w:rPr>
                <w:rFonts w:asci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62"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法定时限</w:t>
            </w:r>
          </w:p>
        </w:tc>
        <w:tc>
          <w:tcPr>
            <w:tcW w:w="20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25</w:t>
            </w:r>
            <w:r>
              <w:rPr>
                <w:rFonts w:hint="eastAsia" w:ascii="宋体" w:hAnsi="宋体" w:cs="宋体"/>
                <w:color w:val="000000"/>
                <w:sz w:val="21"/>
                <w:szCs w:val="21"/>
              </w:rPr>
              <w:t>个工作日</w:t>
            </w:r>
          </w:p>
        </w:tc>
        <w:tc>
          <w:tcPr>
            <w:tcW w:w="2355" w:type="dxa"/>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承诺时限</w:t>
            </w:r>
          </w:p>
        </w:tc>
        <w:tc>
          <w:tcPr>
            <w:tcW w:w="23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13</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5" w:hRule="exact"/>
          <w:jc w:val="center"/>
        </w:trPr>
        <w:tc>
          <w:tcPr>
            <w:tcW w:w="1133" w:type="dxa"/>
            <w:vMerge w:val="restart"/>
            <w:vAlign w:val="center"/>
          </w:tcPr>
          <w:p>
            <w:pPr>
              <w:ind w:left="0" w:leftChars="0" w:firstLine="210" w:firstLineChars="100"/>
              <w:jc w:val="both"/>
              <w:rPr>
                <w:rFonts w:hint="eastAsia" w:ascii="宋体" w:eastAsia="宋体" w:cs="宋体"/>
                <w:sz w:val="21"/>
                <w:szCs w:val="21"/>
                <w:lang w:eastAsia="zh-CN"/>
              </w:rPr>
            </w:pPr>
            <w:r>
              <w:rPr>
                <w:rFonts w:hint="eastAsia" w:ascii="宋体" w:cs="宋体"/>
                <w:sz w:val="21"/>
                <w:szCs w:val="21"/>
                <w:lang w:eastAsia="zh-CN"/>
              </w:rPr>
              <w:t>审批流程</w:t>
            </w:r>
          </w:p>
        </w:tc>
        <w:tc>
          <w:tcPr>
            <w:tcW w:w="1133" w:type="dxa"/>
            <w:vMerge w:val="restart"/>
            <w:vAlign w:val="center"/>
          </w:tcPr>
          <w:p>
            <w:pPr>
              <w:tabs>
                <w:tab w:val="left" w:pos="712"/>
              </w:tabs>
              <w:ind w:firstLine="420"/>
              <w:jc w:val="left"/>
              <w:rPr>
                <w:rFonts w:hint="eastAsia" w:ascii="宋体" w:eastAsia="宋体" w:cs="宋体"/>
                <w:sz w:val="21"/>
                <w:szCs w:val="21"/>
                <w:lang w:eastAsia="zh-CN"/>
              </w:rPr>
            </w:pPr>
            <w:r>
              <w:rPr>
                <w:rFonts w:hint="eastAsia" w:ascii="宋体" w:cs="宋体"/>
                <w:sz w:val="21"/>
                <w:szCs w:val="21"/>
                <w:lang w:eastAsia="zh-CN"/>
              </w:rPr>
              <w:t>受理</w:t>
            </w:r>
          </w:p>
        </w:tc>
        <w:tc>
          <w:tcPr>
            <w:tcW w:w="6803" w:type="dxa"/>
            <w:gridSpan w:val="3"/>
            <w:vAlign w:val="center"/>
          </w:tcPr>
          <w:p>
            <w:pPr>
              <w:spacing w:line="246" w:lineRule="atLeast"/>
              <w:ind w:left="0" w:leftChars="0" w:firstLine="0" w:firstLineChars="0"/>
              <w:jc w:val="both"/>
              <w:rPr>
                <w:rFonts w:hint="eastAsia" w:ascii="宋体" w:eastAsia="宋体" w:cs="宋体"/>
                <w:color w:val="000000"/>
                <w:sz w:val="21"/>
                <w:szCs w:val="21"/>
                <w:lang w:val="en-US" w:eastAsia="zh-CN"/>
              </w:rPr>
            </w:pPr>
            <w:r>
              <w:rPr>
                <w:rFonts w:hint="eastAsia" w:ascii="宋体" w:cs="宋体"/>
                <w:color w:val="000000"/>
                <w:sz w:val="21"/>
                <w:szCs w:val="21"/>
                <w:lang w:eastAsia="zh-CN"/>
              </w:rPr>
              <w:t>时限：</w:t>
            </w:r>
            <w:r>
              <w:rPr>
                <w:rFonts w:hint="eastAsia" w:ascii="宋体" w:cs="宋体"/>
                <w:color w:val="000000"/>
                <w:sz w:val="21"/>
                <w:szCs w:val="21"/>
                <w:lang w:val="en-US" w:eastAsia="zh-CN"/>
              </w:rPr>
              <w:t>3个工作日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35" w:hRule="exact"/>
          <w:jc w:val="center"/>
        </w:trPr>
        <w:tc>
          <w:tcPr>
            <w:tcW w:w="1133" w:type="dxa"/>
            <w:vMerge w:val="continue"/>
            <w:vAlign w:val="center"/>
          </w:tcPr>
          <w:p>
            <w:pPr>
              <w:ind w:left="0" w:leftChars="0" w:firstLine="210" w:firstLineChars="100"/>
              <w:jc w:val="both"/>
              <w:rPr>
                <w:rFonts w:hint="eastAsia" w:ascii="宋体" w:eastAsia="宋体" w:cs="宋体"/>
                <w:sz w:val="21"/>
                <w:szCs w:val="21"/>
                <w:lang w:eastAsia="zh-CN"/>
              </w:rPr>
            </w:pPr>
          </w:p>
        </w:tc>
        <w:tc>
          <w:tcPr>
            <w:tcW w:w="1133" w:type="dxa"/>
            <w:vMerge w:val="continue"/>
            <w:vAlign w:val="center"/>
          </w:tcPr>
          <w:p>
            <w:pPr>
              <w:tabs>
                <w:tab w:val="left" w:pos="712"/>
              </w:tabs>
              <w:ind w:firstLine="420"/>
              <w:jc w:val="left"/>
              <w:rPr>
                <w:rFonts w:hint="eastAsia" w:ascii="宋体" w:eastAsia="宋体" w:cs="宋体"/>
                <w:sz w:val="21"/>
                <w:szCs w:val="21"/>
                <w:lang w:eastAsia="zh-CN"/>
              </w:rPr>
            </w:pPr>
          </w:p>
        </w:tc>
        <w:tc>
          <w:tcPr>
            <w:tcW w:w="6803" w:type="dxa"/>
            <w:gridSpan w:val="3"/>
            <w:vAlign w:val="center"/>
          </w:tcPr>
          <w:p>
            <w:pPr>
              <w:spacing w:line="360" w:lineRule="auto"/>
              <w:ind w:firstLine="0" w:firstLineChars="0"/>
              <w:jc w:val="both"/>
              <w:rPr>
                <w:rFonts w:hint="eastAsia" w:ascii="宋体" w:hAnsi="宋体" w:cs="宋体"/>
                <w:color w:val="000000" w:themeColor="text1"/>
                <w:sz w:val="21"/>
                <w:szCs w:val="21"/>
              </w:rPr>
            </w:pPr>
            <w:r>
              <w:rPr>
                <w:rFonts w:hint="eastAsia" w:ascii="宋体" w:hAnsi="宋体" w:cs="宋体"/>
                <w:color w:val="000000" w:themeColor="text1"/>
                <w:sz w:val="21"/>
                <w:szCs w:val="21"/>
              </w:rPr>
              <w:t>申报材料</w:t>
            </w:r>
          </w:p>
          <w:p>
            <w:pPr>
              <w:numPr>
                <w:ilvl w:val="0"/>
                <w:numId w:val="2"/>
              </w:numPr>
              <w:spacing w:line="360" w:lineRule="auto"/>
              <w:ind w:firstLine="0" w:firstLineChars="0"/>
              <w:jc w:val="both"/>
              <w:rPr>
                <w:rFonts w:ascii="微软雅黑" w:hAnsi="微软雅黑" w:eastAsia="微软雅黑" w:cs="微软雅黑"/>
                <w:color w:val="auto"/>
                <w:sz w:val="21"/>
                <w:szCs w:val="21"/>
              </w:rPr>
            </w:pPr>
            <w:r>
              <w:rPr>
                <w:rFonts w:ascii="微软雅黑" w:hAnsi="微软雅黑" w:eastAsia="微软雅黑" w:cs="微软雅黑"/>
                <w:color w:val="auto"/>
                <w:sz w:val="21"/>
                <w:szCs w:val="21"/>
              </w:rPr>
              <w:t>变更前的原种畜禽生产经营许可证</w:t>
            </w:r>
          </w:p>
          <w:p>
            <w:pPr>
              <w:numPr>
                <w:ilvl w:val="0"/>
                <w:numId w:val="2"/>
              </w:numPr>
              <w:spacing w:line="360" w:lineRule="auto"/>
              <w:ind w:firstLine="0" w:firstLineChars="0"/>
              <w:jc w:val="both"/>
              <w:rPr>
                <w:rFonts w:hint="eastAsia" w:ascii="微软雅黑" w:hAnsi="微软雅黑" w:eastAsia="微软雅黑" w:cs="微软雅黑"/>
                <w:color w:val="3D4B64"/>
                <w:sz w:val="19"/>
                <w:szCs w:val="19"/>
                <w:lang w:val="en-US" w:eastAsia="zh-CN"/>
              </w:rPr>
            </w:pPr>
            <w:r>
              <w:rPr>
                <w:rFonts w:ascii="微软雅黑" w:hAnsi="微软雅黑" w:eastAsia="微软雅黑" w:cs="微软雅黑"/>
                <w:color w:val="auto"/>
                <w:sz w:val="21"/>
                <w:szCs w:val="21"/>
              </w:rPr>
              <w:t>单位名称变更或法人变更的相关证明材料</w:t>
            </w: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rPr>
            </w:pPr>
          </w:p>
          <w:p>
            <w:pPr>
              <w:spacing w:line="360" w:lineRule="auto"/>
              <w:ind w:firstLine="0" w:firstLineChars="0"/>
              <w:jc w:val="both"/>
              <w:rPr>
                <w:rFonts w:hint="eastAsia" w:ascii="宋体" w:hAnsi="宋体" w:cs="宋体"/>
                <w:color w:val="000000" w:themeColor="text1"/>
                <w:sz w:val="21"/>
                <w:szCs w:val="21"/>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numPr>
                <w:ilvl w:val="0"/>
                <w:numId w:val="0"/>
              </w:numPr>
              <w:spacing w:line="360" w:lineRule="auto"/>
              <w:jc w:val="both"/>
              <w:rPr>
                <w:rFonts w:hint="eastAsia" w:ascii="宋体" w:hAnsi="宋体" w:cs="宋体"/>
                <w:color w:val="000000" w:themeColor="text1"/>
                <w:sz w:val="21"/>
                <w:szCs w:val="21"/>
                <w:shd w:val="clear" w:color="auto" w:fill="FFFFFF"/>
                <w:lang w:val="en-US" w:eastAsia="zh-CN"/>
              </w:rPr>
            </w:pPr>
          </w:p>
          <w:p>
            <w:pPr>
              <w:spacing w:line="360" w:lineRule="auto"/>
              <w:ind w:firstLine="420"/>
              <w:jc w:val="both"/>
              <w:rPr>
                <w:rFonts w:ascii="宋体" w:cs="宋体"/>
                <w:sz w:val="21"/>
                <w:szCs w:val="21"/>
              </w:rPr>
            </w:pPr>
          </w:p>
          <w:p>
            <w:pPr>
              <w:spacing w:line="489" w:lineRule="atLeast"/>
              <w:ind w:firstLine="0" w:firstLineChars="0"/>
              <w:jc w:val="both"/>
              <w:rPr>
                <w:rFonts w:ascii="宋体" w:cs="宋体"/>
                <w:sz w:val="21"/>
                <w:szCs w:val="21"/>
              </w:rPr>
            </w:pPr>
          </w:p>
          <w:p>
            <w:pPr>
              <w:spacing w:line="246" w:lineRule="atLeast"/>
              <w:ind w:firstLine="420"/>
              <w:jc w:val="both"/>
              <w:rPr>
                <w:rFonts w:ascii="宋体" w:cs="宋体"/>
                <w:color w:val="000000"/>
                <w:sz w:val="21"/>
                <w:szCs w:val="21"/>
              </w:rPr>
            </w:pPr>
          </w:p>
          <w:p>
            <w:pPr>
              <w:spacing w:line="246" w:lineRule="atLeast"/>
              <w:ind w:firstLine="420"/>
              <w:jc w:val="both"/>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58"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属于职责范围内的，资料齐全的</w:t>
            </w:r>
            <w:r>
              <w:rPr>
                <w:rFonts w:hint="eastAsia" w:ascii="宋体" w:hAnsi="宋体" w:cs="宋体"/>
                <w:color w:val="000000"/>
                <w:sz w:val="21"/>
                <w:szCs w:val="21"/>
                <w:lang w:eastAsia="zh-CN"/>
              </w:rPr>
              <w:t>规定时限内</w:t>
            </w:r>
            <w:r>
              <w:rPr>
                <w:rFonts w:hint="eastAsia" w:ascii="宋体" w:hAnsi="宋体" w:cs="宋体"/>
                <w:color w:val="000000"/>
                <w:sz w:val="21"/>
                <w:szCs w:val="21"/>
              </w:rPr>
              <w:t>受理，向申请人发放受理通知书，提交审批股审核。资料不齐全、不正确的，资料能当场修改的，指导申请人当场修改，不能当场修改的，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both"/>
              <w:textAlignment w:val="center"/>
              <w:rPr>
                <w:rFonts w:ascii="宋体" w:cs="宋体"/>
                <w:color w:val="000000"/>
                <w:sz w:val="21"/>
                <w:szCs w:val="21"/>
              </w:rPr>
            </w:pPr>
            <w:r>
              <w:rPr>
                <w:rFonts w:hint="eastAsia" w:ascii="宋体" w:cs="宋体"/>
                <w:color w:val="000000"/>
                <w:sz w:val="21"/>
                <w:szCs w:val="21"/>
                <w:lang w:eastAsia="zh-CN"/>
              </w:rPr>
              <w:t>审查</w:t>
            </w: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0"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ind w:firstLine="420"/>
              <w:jc w:val="center"/>
              <w:rPr>
                <w:rFonts w:ascii="宋体" w:cs="宋体"/>
                <w:sz w:val="21"/>
                <w:szCs w:val="21"/>
              </w:rPr>
            </w:pPr>
          </w:p>
        </w:tc>
        <w:tc>
          <w:tcPr>
            <w:tcW w:w="6803" w:type="dxa"/>
            <w:gridSpan w:val="3"/>
            <w:vAlign w:val="center"/>
          </w:tcPr>
          <w:p>
            <w:pPr>
              <w:pStyle w:val="21"/>
              <w:spacing w:line="277" w:lineRule="atLeast"/>
              <w:jc w:val="both"/>
              <w:textAlignment w:val="center"/>
              <w:rPr>
                <w:color w:val="000000"/>
                <w:sz w:val="21"/>
              </w:rPr>
            </w:pPr>
            <w:r>
              <w:rPr>
                <w:color w:val="000000"/>
                <w:sz w:val="21"/>
              </w:rPr>
              <w:t>审</w:t>
            </w:r>
            <w:r>
              <w:rPr>
                <w:rFonts w:hint="eastAsia"/>
                <w:color w:val="000000"/>
                <w:sz w:val="21"/>
                <w:lang w:eastAsia="zh-CN"/>
              </w:rPr>
              <w:t>查</w:t>
            </w:r>
            <w:r>
              <w:rPr>
                <w:color w:val="000000"/>
                <w:sz w:val="21"/>
              </w:rPr>
              <w:t>人员结合申请人提交的全部资料，在</w:t>
            </w:r>
            <w:r>
              <w:rPr>
                <w:rFonts w:hint="eastAsia" w:ascii="宋体" w:hAnsi="宋体" w:cs="宋体"/>
                <w:color w:val="000000"/>
                <w:sz w:val="21"/>
                <w:szCs w:val="21"/>
                <w:lang w:eastAsia="zh-CN"/>
              </w:rPr>
              <w:t>规定时限内</w:t>
            </w:r>
            <w:r>
              <w:rPr>
                <w:color w:val="000000"/>
                <w:sz w:val="21"/>
              </w:rPr>
              <w:t>内做出</w:t>
            </w:r>
            <w:r>
              <w:rPr>
                <w:rFonts w:hint="eastAsia"/>
                <w:color w:val="000000"/>
                <w:sz w:val="21"/>
                <w:lang w:eastAsia="zh-CN"/>
              </w:rPr>
              <w:t>审查意见</w:t>
            </w:r>
            <w:r>
              <w:rPr>
                <w:color w:val="000000"/>
                <w:sz w:val="21"/>
              </w:rPr>
              <w:t>。报审批人员。对不符合行政许可的，出具不予行政许可意见书，说明理由。</w:t>
            </w:r>
          </w:p>
          <w:p>
            <w:pPr>
              <w:pStyle w:val="21"/>
              <w:spacing w:line="277" w:lineRule="atLeast"/>
              <w:jc w:val="both"/>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exact"/>
          <w:jc w:val="center"/>
        </w:trPr>
        <w:tc>
          <w:tcPr>
            <w:tcW w:w="1133" w:type="dxa"/>
            <w:vMerge w:val="continue"/>
            <w:vAlign w:val="center"/>
          </w:tcPr>
          <w:p>
            <w:pPr>
              <w:ind w:firstLine="420"/>
              <w:jc w:val="center"/>
              <w:rPr>
                <w:rFonts w:ascii="宋体" w:cs="宋体"/>
                <w:sz w:val="21"/>
                <w:szCs w:val="21"/>
              </w:rPr>
            </w:pPr>
          </w:p>
        </w:tc>
        <w:tc>
          <w:tcPr>
            <w:tcW w:w="1133" w:type="dxa"/>
            <w:vMerge w:val="restart"/>
            <w:vAlign w:val="center"/>
          </w:tcPr>
          <w:p>
            <w:pPr>
              <w:pStyle w:val="21"/>
              <w:spacing w:line="277" w:lineRule="atLeast"/>
              <w:jc w:val="center"/>
              <w:textAlignment w:val="center"/>
              <w:rPr>
                <w:rFonts w:hint="eastAsia" w:ascii="宋体" w:eastAsia="宋体" w:cs="宋体"/>
                <w:color w:val="000000"/>
                <w:sz w:val="21"/>
                <w:szCs w:val="21"/>
                <w:lang w:eastAsia="zh-CN"/>
              </w:rPr>
            </w:pPr>
            <w:r>
              <w:rPr>
                <w:rFonts w:hint="eastAsia" w:ascii="宋体" w:hAnsi="宋体" w:cs="宋体"/>
                <w:color w:val="000000"/>
                <w:sz w:val="21"/>
                <w:szCs w:val="21"/>
                <w:lang w:eastAsia="zh-CN"/>
              </w:rPr>
              <w:t>决定</w:t>
            </w:r>
          </w:p>
        </w:tc>
        <w:tc>
          <w:tcPr>
            <w:tcW w:w="6803" w:type="dxa"/>
            <w:gridSpan w:val="3"/>
            <w:vAlign w:val="center"/>
          </w:tcPr>
          <w:p>
            <w:pPr>
              <w:pStyle w:val="21"/>
              <w:tabs>
                <w:tab w:val="left" w:pos="914"/>
              </w:tabs>
              <w:spacing w:line="277" w:lineRule="atLeast"/>
              <w:jc w:val="both"/>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5</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4" w:hRule="exact"/>
          <w:jc w:val="center"/>
        </w:trPr>
        <w:tc>
          <w:tcPr>
            <w:tcW w:w="1133" w:type="dxa"/>
            <w:vMerge w:val="continue"/>
            <w:vAlign w:val="center"/>
          </w:tcPr>
          <w:p>
            <w:pPr>
              <w:ind w:firstLine="420"/>
              <w:jc w:val="center"/>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vAlign w:val="center"/>
          </w:tcPr>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根据审核人员、政策法制股提交的材料，符合要求的，批准予以行政许可。对不符合要求的，出具不予行政许可意见书，说明理由。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5" w:hRule="exact"/>
          <w:jc w:val="center"/>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审批监管对接</w:t>
            </w:r>
          </w:p>
        </w:tc>
        <w:tc>
          <w:tcPr>
            <w:tcW w:w="6803" w:type="dxa"/>
            <w:gridSpan w:val="3"/>
            <w:vAlign w:val="center"/>
          </w:tcPr>
          <w:p>
            <w:pPr>
              <w:pStyle w:val="21"/>
              <w:spacing w:line="277" w:lineRule="atLeast"/>
              <w:jc w:val="both"/>
              <w:textAlignment w:val="center"/>
              <w:rPr>
                <w:rFonts w:ascii="宋体" w:cs="宋体"/>
                <w:color w:val="000000"/>
                <w:sz w:val="21"/>
                <w:szCs w:val="21"/>
              </w:rPr>
            </w:pPr>
          </w:p>
          <w:p>
            <w:pPr>
              <w:pStyle w:val="21"/>
              <w:spacing w:line="277" w:lineRule="atLeast"/>
              <w:jc w:val="both"/>
              <w:textAlignment w:val="center"/>
              <w:rPr>
                <w:rFonts w:ascii="宋体" w:cs="宋体"/>
                <w:color w:val="000000"/>
                <w:sz w:val="21"/>
                <w:szCs w:val="21"/>
              </w:rPr>
            </w:pPr>
            <w:r>
              <w:rPr>
                <w:rFonts w:hint="eastAsia" w:ascii="宋体" w:hAnsi="宋体" w:cs="宋体"/>
                <w:color w:val="000000"/>
                <w:sz w:val="21"/>
                <w:szCs w:val="21"/>
              </w:rPr>
              <w:t>对已经办理的行政许可事项，审批股负责以电子邮件或纸质函形式通知监管单位，负责事中事后监管。办结后</w:t>
            </w:r>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r>
              <w:rPr>
                <w:rFonts w:hint="eastAsia" w:ascii="宋体" w:hAnsi="宋体" w:cs="宋体"/>
                <w:color w:val="000000"/>
                <w:sz w:val="21"/>
                <w:szCs w:val="21"/>
              </w:rPr>
              <w:t>内</w:t>
            </w:r>
            <w:r>
              <w:rPr>
                <w:rFonts w:ascii="宋体" w:cs="宋体"/>
                <w:color w:val="000000"/>
                <w:sz w:val="21"/>
                <w:szCs w:val="21"/>
              </w:rPr>
              <w:t>.</w:t>
            </w:r>
          </w:p>
          <w:p>
            <w:pPr>
              <w:pStyle w:val="21"/>
              <w:spacing w:line="277" w:lineRule="atLeast"/>
              <w:jc w:val="both"/>
              <w:textAlignment w:val="center"/>
              <w:rPr>
                <w:rFonts w:ascii="宋体" w:cs="宋体"/>
                <w:color w:val="000000"/>
                <w:sz w:val="21"/>
                <w:szCs w:val="21"/>
              </w:rPr>
            </w:pPr>
          </w:p>
        </w:tc>
      </w:tr>
    </w:tbl>
    <w:p>
      <w:pPr>
        <w:ind w:firstLine="40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r>
      <w:t xml:space="preserv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0F74D"/>
    <w:multiLevelType w:val="singleLevel"/>
    <w:tmpl w:val="A050F74D"/>
    <w:lvl w:ilvl="0" w:tentative="0">
      <w:start w:val="1"/>
      <w:numFmt w:val="decimal"/>
      <w:suff w:val="nothing"/>
      <w:lvlText w:val="%1、"/>
      <w:lvlJc w:val="left"/>
    </w:lvl>
  </w:abstractNum>
  <w:abstractNum w:abstractNumId="1">
    <w:nsid w:val="D41298B4"/>
    <w:multiLevelType w:val="singleLevel"/>
    <w:tmpl w:val="D41298B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5D9A"/>
    <w:rsid w:val="000D03A9"/>
    <w:rsid w:val="000E5439"/>
    <w:rsid w:val="000E6ACE"/>
    <w:rsid w:val="00100603"/>
    <w:rsid w:val="00356690"/>
    <w:rsid w:val="00364CB2"/>
    <w:rsid w:val="003F497C"/>
    <w:rsid w:val="00410F28"/>
    <w:rsid w:val="00446193"/>
    <w:rsid w:val="004955AD"/>
    <w:rsid w:val="0050763C"/>
    <w:rsid w:val="005527A3"/>
    <w:rsid w:val="0057225A"/>
    <w:rsid w:val="005F214C"/>
    <w:rsid w:val="00632162"/>
    <w:rsid w:val="006559A2"/>
    <w:rsid w:val="006B67AD"/>
    <w:rsid w:val="006F38BB"/>
    <w:rsid w:val="00805E4F"/>
    <w:rsid w:val="00890ED3"/>
    <w:rsid w:val="008A5D9A"/>
    <w:rsid w:val="008B2C00"/>
    <w:rsid w:val="008B4469"/>
    <w:rsid w:val="008D4DAF"/>
    <w:rsid w:val="008E32D1"/>
    <w:rsid w:val="00AE51C4"/>
    <w:rsid w:val="00B966C4"/>
    <w:rsid w:val="00C6199E"/>
    <w:rsid w:val="00C70475"/>
    <w:rsid w:val="00D15266"/>
    <w:rsid w:val="00DE28B8"/>
    <w:rsid w:val="00E271BB"/>
    <w:rsid w:val="00ED7922"/>
    <w:rsid w:val="00FD06DD"/>
    <w:rsid w:val="01610E8B"/>
    <w:rsid w:val="021501AA"/>
    <w:rsid w:val="049E0E33"/>
    <w:rsid w:val="07965CF5"/>
    <w:rsid w:val="0C790387"/>
    <w:rsid w:val="10A10573"/>
    <w:rsid w:val="118F495B"/>
    <w:rsid w:val="140D1208"/>
    <w:rsid w:val="15155916"/>
    <w:rsid w:val="173A2B99"/>
    <w:rsid w:val="1D0E6C34"/>
    <w:rsid w:val="1DB616A6"/>
    <w:rsid w:val="1DC5132C"/>
    <w:rsid w:val="1F5B5E4F"/>
    <w:rsid w:val="20B625F7"/>
    <w:rsid w:val="21505DA0"/>
    <w:rsid w:val="26A62E8A"/>
    <w:rsid w:val="26E155A4"/>
    <w:rsid w:val="2852067E"/>
    <w:rsid w:val="2A486B44"/>
    <w:rsid w:val="2F594CDD"/>
    <w:rsid w:val="30A10425"/>
    <w:rsid w:val="32AB516F"/>
    <w:rsid w:val="3BCD672C"/>
    <w:rsid w:val="42AC5C7C"/>
    <w:rsid w:val="442178EA"/>
    <w:rsid w:val="460C31E2"/>
    <w:rsid w:val="47C508BB"/>
    <w:rsid w:val="49113B72"/>
    <w:rsid w:val="509E54A5"/>
    <w:rsid w:val="50F20540"/>
    <w:rsid w:val="537F6508"/>
    <w:rsid w:val="540231BD"/>
    <w:rsid w:val="56292959"/>
    <w:rsid w:val="56BB623C"/>
    <w:rsid w:val="56F65BBB"/>
    <w:rsid w:val="5A404FA0"/>
    <w:rsid w:val="5D7A7691"/>
    <w:rsid w:val="5FFD7AC5"/>
    <w:rsid w:val="620974D1"/>
    <w:rsid w:val="63661861"/>
    <w:rsid w:val="64D02C17"/>
    <w:rsid w:val="65D97A94"/>
    <w:rsid w:val="722A35EE"/>
    <w:rsid w:val="74FE0384"/>
    <w:rsid w:val="79F732E5"/>
    <w:rsid w:val="7A4F191E"/>
    <w:rsid w:val="7FE41828"/>
    <w:rsid w:val="7FF1700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qFormat="1" w:uiPriority="99" w:name="HTML Acronym" w:locked="1"/>
    <w:lsdException w:uiPriority="99" w:name="HTML Address" w:locked="1"/>
    <w:lsdException w:qFormat="1" w:uiPriority="99" w:name="HTML Cite" w:locked="1"/>
    <w:lsdException w:qFormat="1" w:uiPriority="99" w:name="HTML Code" w:locked="1"/>
    <w:lsdException w:qFormat="1" w:uiPriority="99" w:name="HTML Definition" w:locked="1"/>
    <w:lsdException w:qFormat="1" w:uiPriority="99" w:name="HTML Keyboard" w:locked="1"/>
    <w:lsdException w:uiPriority="99" w:name="HTML Preformatted" w:locked="1"/>
    <w:lsdException w:qFormat="1" w:uiPriority="99" w:name="HTML Sample" w:locked="1"/>
    <w:lsdException w:qFormat="1" w:uiPriority="99" w:name="HTML Typewriter" w:locked="1"/>
    <w:lsdException w:qFormat="1"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kern w:val="0"/>
      <w:sz w:val="20"/>
      <w:szCs w:val="20"/>
      <w:lang w:val="en-US" w:eastAsia="zh-CN" w:bidi="ar-SA"/>
    </w:rPr>
  </w:style>
  <w:style w:type="character" w:default="1" w:styleId="5">
    <w:name w:val="Default Paragraph Font"/>
    <w:semiHidden/>
    <w:qFormat/>
    <w:uiPriority w:val="99"/>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9"/>
    <w:qFormat/>
    <w:uiPriority w:val="99"/>
    <w:pPr>
      <w:tabs>
        <w:tab w:val="center" w:pos="4153"/>
        <w:tab w:val="right" w:pos="8306"/>
      </w:tabs>
      <w:snapToGrid w:val="0"/>
    </w:pPr>
    <w:rPr>
      <w:sz w:val="18"/>
    </w:rPr>
  </w:style>
  <w:style w:type="paragraph" w:styleId="3">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4">
    <w:name w:val="Normal (Web)"/>
    <w:basedOn w:val="1"/>
    <w:qFormat/>
    <w:uiPriority w:val="99"/>
    <w:pPr>
      <w:spacing w:before="100" w:beforeAutospacing="1" w:after="100" w:afterAutospacing="1"/>
    </w:pPr>
    <w:rPr>
      <w:sz w:val="24"/>
    </w:rPr>
  </w:style>
  <w:style w:type="character" w:styleId="6">
    <w:name w:val="Strong"/>
    <w:basedOn w:val="5"/>
    <w:qFormat/>
    <w:uiPriority w:val="0"/>
    <w:rPr>
      <w:b/>
    </w:rPr>
  </w:style>
  <w:style w:type="character" w:styleId="7">
    <w:name w:val="FollowedHyperlink"/>
    <w:basedOn w:val="5"/>
    <w:semiHidden/>
    <w:unhideWhenUsed/>
    <w:qFormat/>
    <w:locked/>
    <w:uiPriority w:val="99"/>
    <w:rPr>
      <w:color w:val="800080"/>
      <w:u w:val="none"/>
    </w:rPr>
  </w:style>
  <w:style w:type="character" w:styleId="8">
    <w:name w:val="Emphasis"/>
    <w:basedOn w:val="5"/>
    <w:qFormat/>
    <w:uiPriority w:val="0"/>
    <w:rPr>
      <w:b/>
      <w:vertAlign w:val="baseline"/>
    </w:rPr>
  </w:style>
  <w:style w:type="character" w:styleId="9">
    <w:name w:val="HTML Definition"/>
    <w:basedOn w:val="5"/>
    <w:semiHidden/>
    <w:unhideWhenUsed/>
    <w:qFormat/>
    <w:locked/>
    <w:uiPriority w:val="99"/>
  </w:style>
  <w:style w:type="character" w:styleId="10">
    <w:name w:val="HTML Typewriter"/>
    <w:basedOn w:val="5"/>
    <w:semiHidden/>
    <w:unhideWhenUsed/>
    <w:qFormat/>
    <w:locked/>
    <w:uiPriority w:val="99"/>
    <w:rPr>
      <w:rFonts w:hint="default" w:ascii="monospace" w:hAnsi="monospace" w:eastAsia="monospace" w:cs="monospace"/>
      <w:sz w:val="20"/>
    </w:rPr>
  </w:style>
  <w:style w:type="character" w:styleId="11">
    <w:name w:val="HTML Acronym"/>
    <w:basedOn w:val="5"/>
    <w:semiHidden/>
    <w:unhideWhenUsed/>
    <w:qFormat/>
    <w:locked/>
    <w:uiPriority w:val="99"/>
  </w:style>
  <w:style w:type="character" w:styleId="12">
    <w:name w:val="HTML Variable"/>
    <w:basedOn w:val="5"/>
    <w:semiHidden/>
    <w:unhideWhenUsed/>
    <w:qFormat/>
    <w:locked/>
    <w:uiPriority w:val="99"/>
  </w:style>
  <w:style w:type="character" w:styleId="13">
    <w:name w:val="Hyperlink"/>
    <w:basedOn w:val="5"/>
    <w:qFormat/>
    <w:uiPriority w:val="99"/>
    <w:rPr>
      <w:rFonts w:cs="Times New Roman"/>
      <w:color w:val="0000FF"/>
      <w:u w:val="single"/>
    </w:rPr>
  </w:style>
  <w:style w:type="character" w:styleId="14">
    <w:name w:val="HTML Code"/>
    <w:basedOn w:val="5"/>
    <w:semiHidden/>
    <w:unhideWhenUsed/>
    <w:qFormat/>
    <w:locked/>
    <w:uiPriority w:val="99"/>
    <w:rPr>
      <w:rFonts w:hint="default" w:ascii="monospace" w:hAnsi="monospace" w:eastAsia="monospace" w:cs="monospace"/>
      <w:sz w:val="20"/>
    </w:rPr>
  </w:style>
  <w:style w:type="character" w:styleId="15">
    <w:name w:val="HTML Cite"/>
    <w:basedOn w:val="5"/>
    <w:semiHidden/>
    <w:unhideWhenUsed/>
    <w:qFormat/>
    <w:locked/>
    <w:uiPriority w:val="99"/>
  </w:style>
  <w:style w:type="character" w:styleId="16">
    <w:name w:val="HTML Keyboard"/>
    <w:basedOn w:val="5"/>
    <w:semiHidden/>
    <w:unhideWhenUsed/>
    <w:qFormat/>
    <w:locked/>
    <w:uiPriority w:val="99"/>
    <w:rPr>
      <w:rFonts w:hint="default" w:ascii="monospace" w:hAnsi="monospace" w:eastAsia="monospace" w:cs="monospace"/>
      <w:sz w:val="20"/>
      <w:bdr w:val="single" w:color="BDBEC1" w:sz="6" w:space="0"/>
      <w:shd w:val="clear" w:fill="FFFFFF"/>
    </w:rPr>
  </w:style>
  <w:style w:type="character" w:styleId="17">
    <w:name w:val="HTML Sample"/>
    <w:basedOn w:val="5"/>
    <w:semiHidden/>
    <w:unhideWhenUsed/>
    <w:qFormat/>
    <w:locked/>
    <w:uiPriority w:val="99"/>
    <w:rPr>
      <w:rFonts w:ascii="monospace" w:hAnsi="monospace" w:eastAsia="monospace" w:cs="monospace"/>
    </w:rPr>
  </w:style>
  <w:style w:type="character" w:customStyle="1" w:styleId="19">
    <w:name w:val="Footer Char"/>
    <w:basedOn w:val="5"/>
    <w:link w:val="2"/>
    <w:semiHidden/>
    <w:qFormat/>
    <w:locked/>
    <w:uiPriority w:val="99"/>
    <w:rPr>
      <w:rFonts w:cs="Times New Roman"/>
      <w:kern w:val="0"/>
      <w:sz w:val="18"/>
      <w:szCs w:val="18"/>
    </w:rPr>
  </w:style>
  <w:style w:type="character" w:customStyle="1" w:styleId="20">
    <w:name w:val="Header Char"/>
    <w:basedOn w:val="5"/>
    <w:link w:val="3"/>
    <w:semiHidden/>
    <w:qFormat/>
    <w:locked/>
    <w:uiPriority w:val="99"/>
    <w:rPr>
      <w:rFonts w:cs="Times New Roman"/>
      <w:kern w:val="0"/>
      <w:sz w:val="18"/>
      <w:szCs w:val="18"/>
    </w:rPr>
  </w:style>
  <w:style w:type="paragraph" w:customStyle="1" w:styleId="21">
    <w:name w:val="WPS Plain"/>
    <w:qFormat/>
    <w:uiPriority w:val="99"/>
    <w:rPr>
      <w:rFonts w:ascii="Times New Roman" w:hAnsi="Times New Roman" w:eastAsia="宋体" w:cs="Times New Roman"/>
      <w:kern w:val="0"/>
      <w:sz w:val="20"/>
      <w:szCs w:val="20"/>
      <w:lang w:val="en-US" w:eastAsia="zh-CN" w:bidi="ar-SA"/>
    </w:rPr>
  </w:style>
  <w:style w:type="character" w:customStyle="1" w:styleId="22">
    <w:name w:val="hover1"/>
    <w:basedOn w:val="5"/>
    <w:qFormat/>
    <w:uiPriority w:val="0"/>
    <w:rPr>
      <w:color w:val="2590EB"/>
    </w:rPr>
  </w:style>
  <w:style w:type="character" w:customStyle="1" w:styleId="23">
    <w:name w:val="hover2"/>
    <w:basedOn w:val="5"/>
    <w:qFormat/>
    <w:uiPriority w:val="0"/>
    <w:rPr>
      <w:color w:val="2590EB"/>
    </w:rPr>
  </w:style>
  <w:style w:type="character" w:customStyle="1" w:styleId="24">
    <w:name w:val="hover3"/>
    <w:basedOn w:val="5"/>
    <w:qFormat/>
    <w:uiPriority w:val="0"/>
  </w:style>
  <w:style w:type="character" w:customStyle="1" w:styleId="25">
    <w:name w:val="hover"/>
    <w:basedOn w:val="5"/>
    <w:qFormat/>
    <w:uiPriority w:val="0"/>
    <w:rPr>
      <w:color w:val="2590E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157</Words>
  <Characters>898</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zh001</dc:creator>
  <cp:lastModifiedBy>Q</cp:lastModifiedBy>
  <cp:lastPrinted>2018-07-08T08:49:00Z</cp:lastPrinted>
  <dcterms:modified xsi:type="dcterms:W3CDTF">2021-12-02T06:25:16Z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