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4"/>
        <w:gridCol w:w="1888"/>
        <w:gridCol w:w="2368"/>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56" w:hRule="atLeast"/>
        </w:trPr>
        <w:tc>
          <w:tcPr>
            <w:tcW w:w="2130" w:type="dxa"/>
            <w:gridSpan w:val="2"/>
            <w:vAlign w:val="center"/>
          </w:tcPr>
          <w:p>
            <w:pPr>
              <w:pStyle w:val="17"/>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事项名称</w:t>
            </w:r>
          </w:p>
        </w:tc>
        <w:tc>
          <w:tcPr>
            <w:tcW w:w="7732" w:type="dxa"/>
            <w:gridSpan w:val="3"/>
            <w:vAlign w:val="center"/>
          </w:tcPr>
          <w:p>
            <w:pPr>
              <w:pStyle w:val="17"/>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在草原上修建直接为草原保护和畜牧业生产服务的工程设施审批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17"/>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审批权限</w:t>
            </w:r>
          </w:p>
        </w:tc>
        <w:tc>
          <w:tcPr>
            <w:tcW w:w="7732" w:type="dxa"/>
            <w:gridSpan w:val="3"/>
            <w:vAlign w:val="center"/>
          </w:tcPr>
          <w:p>
            <w:pPr>
              <w:pStyle w:val="17"/>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区级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30" w:type="dxa"/>
            <w:gridSpan w:val="2"/>
            <w:vAlign w:val="center"/>
          </w:tcPr>
          <w:p>
            <w:pPr>
              <w:pStyle w:val="17"/>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实施依据</w:t>
            </w:r>
          </w:p>
        </w:tc>
        <w:tc>
          <w:tcPr>
            <w:tcW w:w="7732" w:type="dxa"/>
            <w:gridSpan w:val="3"/>
            <w:vAlign w:val="top"/>
          </w:tcPr>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1、《中华人民共和国草原法》（1985年6月18日第六届全国人民代表大会常务委员会第十一次会议通过，2013年6月29日第三次修正）第四十一条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2、《草原征占用审核审批管理规范》（2006年1月27日农业部令第58号发布，2016年5月30日第二次修正）第八条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3、《河北省人民代表大会常务委员会关于加强张家口承德地区草原生态建设和保护的决定》</w:t>
            </w:r>
            <w:r>
              <w:rPr>
                <w:rFonts w:hint="eastAsia" w:asciiTheme="minorEastAsia" w:hAnsiTheme="minorEastAsia" w:cstheme="minorEastAsia"/>
                <w:sz w:val="21"/>
                <w:szCs w:val="21"/>
                <w:lang w:val="en-US" w:eastAsia="zh-CN"/>
              </w:rPr>
              <w:t>（2019年7月25日河北省第十三届人民代表大会常务委员会第十一次会议通过）第二十八条。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17"/>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法定时限</w:t>
            </w:r>
          </w:p>
        </w:tc>
        <w:tc>
          <w:tcPr>
            <w:tcW w:w="1888" w:type="dxa"/>
            <w:vAlign w:val="center"/>
          </w:tcPr>
          <w:p>
            <w:pPr>
              <w:pStyle w:val="17"/>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35</w:t>
            </w:r>
            <w:r>
              <w:rPr>
                <w:rFonts w:hint="eastAsia" w:asciiTheme="minorEastAsia" w:hAnsiTheme="minorEastAsia" w:eastAsiaTheme="minorEastAsia" w:cstheme="minorEastAsia"/>
                <w:color w:val="000000"/>
                <w:sz w:val="21"/>
                <w:szCs w:val="21"/>
              </w:rPr>
              <w:t>个工作日</w:t>
            </w:r>
          </w:p>
        </w:tc>
        <w:tc>
          <w:tcPr>
            <w:tcW w:w="2368" w:type="dxa"/>
            <w:vAlign w:val="center"/>
          </w:tcPr>
          <w:p>
            <w:pPr>
              <w:pStyle w:val="17"/>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承诺时限</w:t>
            </w:r>
          </w:p>
        </w:tc>
        <w:tc>
          <w:tcPr>
            <w:tcW w:w="3476" w:type="dxa"/>
            <w:vAlign w:val="center"/>
          </w:tcPr>
          <w:p>
            <w:pPr>
              <w:pStyle w:val="17"/>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18</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审批流程</w:t>
            </w: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受理</w:t>
            </w:r>
          </w:p>
        </w:tc>
        <w:tc>
          <w:tcPr>
            <w:tcW w:w="7732" w:type="dxa"/>
            <w:gridSpan w:val="3"/>
            <w:vAlign w:val="center"/>
          </w:tcPr>
          <w:p>
            <w:pPr>
              <w:pStyle w:val="17"/>
              <w:widowControl w:val="0"/>
              <w:spacing w:line="277" w:lineRule="atLeast"/>
              <w:jc w:val="left"/>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时限：3个工作日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2"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top"/>
          </w:tcPr>
          <w:p>
            <w:pPr>
              <w:spacing w:line="360" w:lineRule="auto"/>
              <w:ind w:firstLineChars="1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申报材料：</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w:t>
            </w:r>
            <w:r>
              <w:rPr>
                <w:rFonts w:hint="eastAsia" w:asciiTheme="minorEastAsia" w:hAnsiTheme="minorEastAsia" w:cstheme="minorEastAsia"/>
                <w:sz w:val="21"/>
                <w:szCs w:val="21"/>
                <w:vertAlign w:val="baseline"/>
                <w:lang w:eastAsia="zh-CN"/>
              </w:rPr>
              <w:t>、与草原所有权者、使用者或承包经营者签订的草原补偿费和安置补助费等补偿协议</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2</w:t>
            </w:r>
            <w:r>
              <w:rPr>
                <w:rFonts w:hint="eastAsia" w:asciiTheme="minorEastAsia" w:hAnsiTheme="minorEastAsia" w:cstheme="minorEastAsia"/>
                <w:sz w:val="21"/>
                <w:szCs w:val="21"/>
                <w:vertAlign w:val="baseline"/>
                <w:lang w:eastAsia="zh-CN"/>
              </w:rPr>
              <w:t>、法定代表人和经办人居民身份证</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3</w:t>
            </w:r>
            <w:r>
              <w:rPr>
                <w:rFonts w:hint="eastAsia" w:asciiTheme="minorEastAsia" w:hAnsiTheme="minorEastAsia" w:cstheme="minorEastAsia"/>
                <w:sz w:val="21"/>
                <w:szCs w:val="21"/>
                <w:vertAlign w:val="baseline"/>
                <w:lang w:eastAsia="zh-CN"/>
              </w:rPr>
              <w:t>、草原权属说明材料</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4</w:t>
            </w:r>
            <w:r>
              <w:rPr>
                <w:rFonts w:hint="eastAsia" w:asciiTheme="minorEastAsia" w:hAnsiTheme="minorEastAsia" w:cstheme="minorEastAsia"/>
                <w:sz w:val="21"/>
                <w:szCs w:val="21"/>
                <w:vertAlign w:val="baseline"/>
                <w:lang w:eastAsia="zh-CN"/>
              </w:rPr>
              <w:t>、草原征占用申请表</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w:t>
            </w:r>
            <w:r>
              <w:rPr>
                <w:rFonts w:hint="eastAsia" w:asciiTheme="minorEastAsia" w:hAnsiTheme="minorEastAsia" w:cstheme="minorEastAsia"/>
                <w:sz w:val="21"/>
                <w:szCs w:val="21"/>
                <w:vertAlign w:val="baseline"/>
                <w:lang w:eastAsia="zh-CN"/>
              </w:rPr>
              <w:t>、征占用草原现场查验表</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6</w:t>
            </w:r>
            <w:r>
              <w:rPr>
                <w:rFonts w:hint="eastAsia" w:asciiTheme="minorEastAsia" w:hAnsiTheme="minorEastAsia" w:cstheme="minorEastAsia"/>
                <w:sz w:val="21"/>
                <w:szCs w:val="21"/>
                <w:vertAlign w:val="baseline"/>
                <w:lang w:eastAsia="zh-CN"/>
              </w:rPr>
              <w:t>、营业执照</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7</w:t>
            </w:r>
            <w:r>
              <w:rPr>
                <w:rFonts w:hint="eastAsia" w:asciiTheme="minorEastAsia" w:hAnsiTheme="minorEastAsia" w:cstheme="minorEastAsia"/>
                <w:sz w:val="21"/>
                <w:szCs w:val="21"/>
                <w:vertAlign w:val="baseline"/>
                <w:lang w:eastAsia="zh-CN"/>
              </w:rPr>
              <w:t>、项目批准文件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17"/>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属于职责范围内的，</w:t>
            </w:r>
            <w:r>
              <w:rPr>
                <w:rFonts w:hint="eastAsia" w:asciiTheme="minorEastAsia" w:hAnsiTheme="minorEastAsia" w:eastAsiaTheme="minorEastAsia" w:cstheme="minorEastAsia"/>
                <w:color w:val="000000"/>
                <w:sz w:val="21"/>
                <w:szCs w:val="21"/>
                <w:lang w:eastAsia="zh-CN"/>
              </w:rPr>
              <w:t>自收到申请之日起</w:t>
            </w:r>
            <w:r>
              <w:rPr>
                <w:rFonts w:hint="eastAsia" w:asciiTheme="minorEastAsia" w:hAnsiTheme="minorEastAsia" w:eastAsiaTheme="minorEastAsia" w:cstheme="minorEastAsia"/>
                <w:color w:val="000000"/>
                <w:sz w:val="21"/>
                <w:szCs w:val="21"/>
                <w:lang w:val="en-US" w:eastAsia="zh-CN"/>
              </w:rPr>
              <w:t>3个工作日内材料齐全的进行受理；材料不齐全的一次性告知需补齐材料；不符合条件的出具不予受理通知书</w:t>
            </w: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特殊环节</w:t>
            </w:r>
          </w:p>
        </w:tc>
        <w:tc>
          <w:tcPr>
            <w:tcW w:w="7732" w:type="dxa"/>
            <w:gridSpan w:val="3"/>
            <w:vAlign w:val="center"/>
          </w:tcPr>
          <w:p>
            <w:pPr>
              <w:pStyle w:val="17"/>
              <w:widowControl w:val="0"/>
              <w:spacing w:line="277" w:lineRule="atLeast"/>
              <w:jc w:val="both"/>
              <w:textAlignment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eastAsia="zh-CN"/>
              </w:rPr>
              <w:t>时限：</w:t>
            </w:r>
            <w:r>
              <w:rPr>
                <w:rFonts w:hint="eastAsia" w:asciiTheme="minorEastAsia" w:hAnsiTheme="minorEastAsia" w:eastAsiaTheme="minorEastAsia" w:cstheme="minorEastAsia"/>
                <w:color w:val="000000"/>
                <w:sz w:val="21"/>
                <w:szCs w:val="21"/>
                <w:lang w:val="en-US" w:eastAsia="zh-CN"/>
              </w:rPr>
              <w:t>15个工作日（不纳入计时）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lang w:eastAsia="zh-CN"/>
              </w:rPr>
            </w:pPr>
          </w:p>
        </w:tc>
        <w:tc>
          <w:tcPr>
            <w:tcW w:w="7732" w:type="dxa"/>
            <w:gridSpan w:val="3"/>
            <w:vAlign w:val="center"/>
          </w:tcPr>
          <w:p>
            <w:pPr>
              <w:pStyle w:val="17"/>
              <w:widowControl w:val="0"/>
              <w:spacing w:line="277" w:lineRule="atLeast"/>
              <w:jc w:val="both"/>
              <w:textAlignment w:val="center"/>
              <w:rPr>
                <w:rFonts w:hint="eastAsia" w:asciiTheme="minorEastAsia" w:hAnsiTheme="minorEastAsia" w:eastAsiaTheme="minorEastAsia" w:cstheme="minorEastAsia"/>
                <w:color w:val="000000"/>
                <w:sz w:val="21"/>
                <w:szCs w:val="21"/>
              </w:rPr>
            </w:pPr>
            <w:r>
              <w:rPr>
                <w:rFonts w:hint="eastAsia"/>
                <w:color w:val="000000"/>
                <w:sz w:val="21"/>
              </w:rPr>
              <w:t>法制股收到受理窗口的</w:t>
            </w:r>
            <w:r>
              <w:rPr>
                <w:color w:val="000000"/>
                <w:sz w:val="21"/>
              </w:rPr>
              <w:t>“</w:t>
            </w:r>
            <w:r>
              <w:rPr>
                <w:rFonts w:hint="eastAsia"/>
                <w:color w:val="000000"/>
                <w:sz w:val="21"/>
              </w:rPr>
              <w:t>受理意见书</w:t>
            </w:r>
            <w:r>
              <w:rPr>
                <w:color w:val="000000"/>
                <w:sz w:val="21"/>
              </w:rPr>
              <w:t>”</w:t>
            </w:r>
            <w:r>
              <w:rPr>
                <w:rFonts w:hint="eastAsia"/>
                <w:color w:val="000000"/>
                <w:sz w:val="21"/>
              </w:rPr>
              <w:t>后，在规定时限内完成现场踏勘，符合要求的向审批股出具踏勘意见书。不符合要求的限期整改。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审查</w:t>
            </w:r>
          </w:p>
        </w:tc>
        <w:tc>
          <w:tcPr>
            <w:tcW w:w="7732" w:type="dxa"/>
            <w:gridSpan w:val="3"/>
            <w:vAlign w:val="center"/>
          </w:tcPr>
          <w:p>
            <w:pPr>
              <w:pStyle w:val="17"/>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6</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17"/>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审核人员结合申请人提交的全部资料，</w:t>
            </w:r>
            <w:r>
              <w:rPr>
                <w:rFonts w:hint="eastAsia" w:asciiTheme="minorEastAsia" w:hAnsiTheme="minorEastAsia" w:eastAsiaTheme="minorEastAsia" w:cstheme="minorEastAsia"/>
                <w:color w:val="000000"/>
                <w:sz w:val="21"/>
                <w:szCs w:val="21"/>
                <w:lang w:eastAsia="zh-CN"/>
              </w:rPr>
              <w:t>对材料的合法合规性进行审查，并</w:t>
            </w:r>
            <w:r>
              <w:rPr>
                <w:rFonts w:hint="eastAsia" w:asciiTheme="minorEastAsia" w:hAnsiTheme="minorEastAsia" w:eastAsiaTheme="minorEastAsia" w:cstheme="minorEastAsia"/>
                <w:color w:val="000000"/>
                <w:sz w:val="21"/>
                <w:szCs w:val="21"/>
                <w:lang w:val="en-US" w:eastAsia="zh-CN"/>
              </w:rPr>
              <w:t>6</w:t>
            </w:r>
            <w:r>
              <w:rPr>
                <w:rFonts w:hint="eastAsia" w:asciiTheme="minorEastAsia" w:hAnsiTheme="minorEastAsia" w:eastAsiaTheme="minorEastAsia" w:cstheme="minorEastAsia"/>
                <w:color w:val="000000"/>
                <w:sz w:val="21"/>
                <w:szCs w:val="21"/>
              </w:rPr>
              <w:t>个工作日内做出审核意见。不符合</w:t>
            </w:r>
            <w:r>
              <w:rPr>
                <w:rFonts w:hint="eastAsia" w:asciiTheme="minorEastAsia" w:hAnsiTheme="minorEastAsia" w:eastAsiaTheme="minorEastAsia" w:cstheme="minorEastAsia"/>
                <w:color w:val="000000"/>
                <w:sz w:val="21"/>
                <w:szCs w:val="21"/>
                <w:lang w:eastAsia="zh-CN"/>
              </w:rPr>
              <w:t>条件</w:t>
            </w:r>
            <w:r>
              <w:rPr>
                <w:rFonts w:hint="eastAsia" w:asciiTheme="minorEastAsia" w:hAnsiTheme="minorEastAsia" w:eastAsiaTheme="minorEastAsia" w:cstheme="minorEastAsia"/>
                <w:color w:val="000000"/>
                <w:sz w:val="21"/>
                <w:szCs w:val="21"/>
              </w:rPr>
              <w:t>的，出具不予行政许可</w:t>
            </w:r>
            <w:r>
              <w:rPr>
                <w:rFonts w:hint="eastAsia" w:asciiTheme="minorEastAsia" w:hAnsiTheme="minorEastAsia" w:eastAsiaTheme="minorEastAsia" w:cstheme="minorEastAsia"/>
                <w:color w:val="000000"/>
                <w:sz w:val="21"/>
                <w:szCs w:val="21"/>
                <w:lang w:eastAsia="zh-CN"/>
              </w:rPr>
              <w:t>决定</w:t>
            </w:r>
            <w:r>
              <w:rPr>
                <w:rFonts w:hint="eastAsia" w:asciiTheme="minorEastAsia" w:hAnsiTheme="minorEastAsia" w:eastAsiaTheme="minorEastAsia" w:cstheme="minorEastAsia"/>
                <w:color w:val="000000"/>
                <w:sz w:val="21"/>
                <w:szCs w:val="21"/>
              </w:rPr>
              <w:t>书，说明理由。</w:t>
            </w:r>
            <w:r>
              <w:rPr>
                <w:rFonts w:hint="eastAsia" w:asciiTheme="minorEastAsia" w:hAnsiTheme="minorEastAsia" w:eastAsiaTheme="minorEastAsia" w:cstheme="minorEastAsia"/>
                <w:color w:val="000000"/>
                <w:sz w:val="21"/>
                <w:szCs w:val="21"/>
                <w:lang w:eastAsia="zh-CN"/>
              </w:rPr>
              <w:t>符合条件的，按程序进行。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决定</w:t>
            </w:r>
          </w:p>
        </w:tc>
        <w:tc>
          <w:tcPr>
            <w:tcW w:w="7732" w:type="dxa"/>
            <w:gridSpan w:val="3"/>
          </w:tcPr>
          <w:p>
            <w:pPr>
              <w:pStyle w:val="17"/>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9</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tcPr>
          <w:p>
            <w:pP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color w:val="000000"/>
                <w:sz w:val="21"/>
                <w:szCs w:val="21"/>
              </w:rPr>
              <w:t>对不符合要求的，作出不予通过的书面意见，说明理由。符合要求的，批准予以行政许可</w:t>
            </w:r>
            <w:r>
              <w:rPr>
                <w:rFonts w:hint="eastAsia" w:asciiTheme="minorEastAsia" w:hAnsiTheme="minorEastAsia" w:cstheme="minorEastAsia"/>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4" w:hRule="atLeast"/>
        </w:trPr>
        <w:tc>
          <w:tcPr>
            <w:tcW w:w="2130" w:type="dxa"/>
            <w:gridSpan w:val="2"/>
            <w:vAlign w:val="center"/>
          </w:tcPr>
          <w:p>
            <w:pPr>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审批监管对接</w:t>
            </w:r>
          </w:p>
        </w:tc>
        <w:tc>
          <w:tcPr>
            <w:tcW w:w="7732" w:type="dxa"/>
            <w:gridSpan w:val="3"/>
            <w:vAlign w:val="center"/>
          </w:tcPr>
          <w:p>
            <w:pPr>
              <w:jc w:val="both"/>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对已经办理的行政许可事项，审批股负责以电子邮件或纸质函形式通知监管单位，负责事中事后监管。办结后1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bookmarkStart w:id="0" w:name="_GoBack"/>
            <w:bookmarkEnd w:id="0"/>
            <w:r>
              <w:rPr>
                <w:rFonts w:hint="eastAsia" w:asciiTheme="minorEastAsia" w:hAnsiTheme="minorEastAsia" w:eastAsiaTheme="minorEastAsia" w:cstheme="minorEastAsia"/>
                <w:color w:val="000000"/>
                <w:sz w:val="21"/>
                <w:szCs w:val="21"/>
              </w:rPr>
              <w:t>内。</w:t>
            </w:r>
          </w:p>
        </w:tc>
      </w:tr>
    </w:tbl>
    <w:p/>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E749C"/>
    <w:rsid w:val="06CF6637"/>
    <w:rsid w:val="2CD975F5"/>
    <w:rsid w:val="40DE749C"/>
    <w:rsid w:val="40E05196"/>
    <w:rsid w:val="56822ABB"/>
    <w:rsid w:val="57912593"/>
    <w:rsid w:val="64325718"/>
    <w:rsid w:val="6D535020"/>
    <w:rsid w:val="77AF2D75"/>
    <w:rsid w:val="7EBF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color w:val="FFFFFF"/>
      <w:shd w:val="clear" w:fill="2590EB"/>
    </w:rPr>
  </w:style>
  <w:style w:type="character" w:styleId="4">
    <w:name w:val="FollowedHyperlink"/>
    <w:basedOn w:val="2"/>
    <w:qFormat/>
    <w:uiPriority w:val="0"/>
    <w:rPr>
      <w:color w:val="800080"/>
      <w:u w:val="none"/>
    </w:rPr>
  </w:style>
  <w:style w:type="character" w:styleId="5">
    <w:name w:val="Emphasis"/>
    <w:basedOn w:val="2"/>
    <w:qFormat/>
    <w:uiPriority w:val="0"/>
    <w:rPr>
      <w:b/>
    </w:rPr>
  </w:style>
  <w:style w:type="character" w:styleId="6">
    <w:name w:val="HTML Definition"/>
    <w:basedOn w:val="2"/>
    <w:qFormat/>
    <w:uiPriority w:val="0"/>
  </w:style>
  <w:style w:type="character" w:styleId="7">
    <w:name w:val="HTML Typewriter"/>
    <w:basedOn w:val="2"/>
    <w:qFormat/>
    <w:uiPriority w:val="0"/>
    <w:rPr>
      <w:rFonts w:ascii="monospace" w:hAnsi="monospace" w:eastAsia="monospace" w:cs="monospace"/>
      <w:sz w:val="20"/>
    </w:rPr>
  </w:style>
  <w:style w:type="character" w:styleId="8">
    <w:name w:val="HTML Acronym"/>
    <w:basedOn w:val="2"/>
    <w:qFormat/>
    <w:uiPriority w:val="0"/>
  </w:style>
  <w:style w:type="character" w:styleId="9">
    <w:name w:val="HTML Variable"/>
    <w:basedOn w:val="2"/>
    <w:qFormat/>
    <w:uiPriority w:val="0"/>
  </w:style>
  <w:style w:type="character" w:styleId="10">
    <w:name w:val="Hyperlink"/>
    <w:basedOn w:val="2"/>
    <w:qFormat/>
    <w:uiPriority w:val="0"/>
    <w:rPr>
      <w:color w:val="0000FF"/>
      <w:u w:val="none"/>
    </w:rPr>
  </w:style>
  <w:style w:type="character" w:styleId="11">
    <w:name w:val="HTML Code"/>
    <w:basedOn w:val="2"/>
    <w:qFormat/>
    <w:uiPriority w:val="0"/>
    <w:rPr>
      <w:rFonts w:hint="default" w:ascii="monospace" w:hAnsi="monospace" w:eastAsia="monospace" w:cs="monospace"/>
      <w:sz w:val="20"/>
    </w:rPr>
  </w:style>
  <w:style w:type="character" w:styleId="12">
    <w:name w:val="HTML Cite"/>
    <w:basedOn w:val="2"/>
    <w:qFormat/>
    <w:uiPriority w:val="0"/>
  </w:style>
  <w:style w:type="character" w:styleId="13">
    <w:name w:val="HTML Keyboard"/>
    <w:basedOn w:val="2"/>
    <w:qFormat/>
    <w:uiPriority w:val="0"/>
    <w:rPr>
      <w:rFonts w:hint="default" w:ascii="monospace" w:hAnsi="monospace" w:eastAsia="monospace" w:cs="monospace"/>
      <w:sz w:val="20"/>
    </w:rPr>
  </w:style>
  <w:style w:type="character" w:styleId="14">
    <w:name w:val="HTML Sample"/>
    <w:basedOn w:val="2"/>
    <w:qFormat/>
    <w:uiPriority w:val="0"/>
    <w:rPr>
      <w:rFonts w:hint="default" w:ascii="monospace" w:hAnsi="monospace" w:eastAsia="monospace" w:cs="monospace"/>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WPS Plain"/>
    <w:qFormat/>
    <w:uiPriority w:val="0"/>
    <w:rPr>
      <w:rFonts w:ascii="Times New Roman" w:hAnsi="Times New Roman" w:eastAsia="宋体" w:cs="Times New Roman"/>
      <w:lang w:val="en-US" w:eastAsia="zh-CN" w:bidi="ar-SA"/>
    </w:rPr>
  </w:style>
  <w:style w:type="character" w:customStyle="1" w:styleId="18">
    <w:name w:val="hover"/>
    <w:basedOn w:val="2"/>
    <w:qFormat/>
    <w:uiPriority w:val="0"/>
  </w:style>
  <w:style w:type="character" w:customStyle="1" w:styleId="19">
    <w:name w:val="hover1"/>
    <w:basedOn w:val="2"/>
    <w:qFormat/>
    <w:uiPriority w:val="0"/>
    <w:rPr>
      <w:color w:val="2590EB"/>
    </w:rPr>
  </w:style>
  <w:style w:type="character" w:customStyle="1" w:styleId="20">
    <w:name w:val="hover2"/>
    <w:basedOn w:val="2"/>
    <w:qFormat/>
    <w:uiPriority w:val="0"/>
    <w:rPr>
      <w:color w:val="2590EB"/>
    </w:rPr>
  </w:style>
  <w:style w:type="character" w:customStyle="1" w:styleId="21">
    <w:name w:val="hover3"/>
    <w:basedOn w:val="2"/>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2021-11-30T05:55:00Z</dcterms:created>
  <dc:creator>Q</dc:creator>
  <cp:lastModifiedBy>Q</cp:lastModifiedBy>
  <dcterms:modified xsi:type="dcterms:W3CDTF">2021-12-02T01:51:26Z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