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90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9"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事项名称</w:t>
            </w: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lang w:val="en-US" w:eastAsia="zh-CN"/>
              </w:rPr>
              <w:t>农作物种子生产经营许可证核发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9"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审批权限</w:t>
            </w: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区级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89"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实施依据</w:t>
            </w:r>
          </w:p>
        </w:tc>
        <w:tc>
          <w:tcPr>
            <w:tcW w:w="6803" w:type="dxa"/>
            <w:gridSpan w:val="3"/>
            <w:vAlign w:val="center"/>
          </w:tcPr>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362" w:afterAutospacing="0" w:line="240" w:lineRule="auto"/>
              <w:ind w:left="0" w:leftChars="0" w:right="0" w:firstLine="0" w:firstLineChars="0"/>
              <w:rPr>
                <w:rFonts w:hint="eastAsia" w:ascii="宋体" w:hAnsi="宋体" w:eastAsia="宋体" w:cs="宋体"/>
                <w:color w:val="333333"/>
                <w:sz w:val="21"/>
                <w:szCs w:val="21"/>
                <w:lang w:eastAsia="zh-CN"/>
              </w:rPr>
            </w:pPr>
            <w:bookmarkStart w:id="0" w:name="6752866-6967435-3"/>
            <w:bookmarkEnd w:id="0"/>
            <w:r>
              <w:rPr>
                <w:rFonts w:hint="eastAsia" w:ascii="宋体" w:hAnsi="宋体" w:cs="宋体"/>
                <w:b w:val="0"/>
                <w:i w:val="0"/>
                <w:caps w:val="0"/>
                <w:color w:val="333333"/>
                <w:spacing w:val="0"/>
                <w:sz w:val="21"/>
                <w:szCs w:val="21"/>
                <w:shd w:val="clear" w:fill="FFFFFF"/>
                <w:lang w:val="en-US" w:eastAsia="zh-CN"/>
              </w:rPr>
              <w:t>《中华人民共和国种子法》（2000年7月8日主席令第三十四号，2015年11月4日予以修改）第三十一条</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362" w:afterAutospacing="0" w:line="240" w:lineRule="auto"/>
              <w:ind w:leftChars="0" w:right="0" w:rightChars="0"/>
              <w:rPr>
                <w:rFonts w:hint="eastAsia" w:ascii="宋体" w:hAnsi="宋体" w:eastAsia="宋体" w:cs="宋体"/>
                <w:color w:val="333333"/>
                <w:sz w:val="21"/>
                <w:szCs w:val="21"/>
                <w:lang w:eastAsia="zh-CN"/>
              </w:rPr>
            </w:pPr>
            <w:r>
              <w:rPr>
                <w:rFonts w:hint="eastAsia" w:ascii="宋体" w:hAnsi="宋体" w:cs="宋体"/>
                <w:b w:val="0"/>
                <w:i w:val="0"/>
                <w:caps w:val="0"/>
                <w:color w:val="333333"/>
                <w:spacing w:val="0"/>
                <w:sz w:val="21"/>
                <w:szCs w:val="21"/>
                <w:shd w:val="clear" w:fill="FFFFFF"/>
                <w:lang w:val="en-US" w:eastAsia="zh-CN"/>
              </w:rPr>
              <w:t>2、</w:t>
            </w:r>
            <w:r>
              <w:rPr>
                <w:rFonts w:hint="eastAsia" w:ascii="宋体" w:hAnsi="宋体" w:eastAsia="宋体" w:cs="宋体"/>
                <w:b w:val="0"/>
                <w:i w:val="0"/>
                <w:caps w:val="0"/>
                <w:color w:val="333333"/>
                <w:spacing w:val="0"/>
                <w:sz w:val="21"/>
                <w:szCs w:val="21"/>
                <w:shd w:val="clear" w:fill="FFFFFF"/>
              </w:rPr>
              <w:t>《农作物种子生产经营许可管理办法》已经农业部2016年第6次常务会议审议通过，现予公布，自2016年8月15日起施行</w:t>
            </w:r>
            <w:r>
              <w:rPr>
                <w:rFonts w:hint="eastAsia" w:ascii="宋体" w:hAnsi="宋体" w:cs="宋体"/>
                <w:b w:val="0"/>
                <w:i w:val="0"/>
                <w:caps w:val="0"/>
                <w:color w:val="333333"/>
                <w:spacing w:val="0"/>
                <w:sz w:val="21"/>
                <w:szCs w:val="21"/>
                <w:shd w:val="clear" w:fill="FFFFFF"/>
                <w:lang w:eastAsia="zh-CN"/>
              </w:rPr>
              <w:t>，第十一条</w:t>
            </w:r>
          </w:p>
          <w:p>
            <w:pPr>
              <w:ind w:firstLine="0" w:firstLineChars="0"/>
              <w:rPr>
                <w:rFonts w:ascii="宋体" w:cs="宋体"/>
                <w:color w:val="333333"/>
                <w:sz w:val="21"/>
                <w:szCs w:val="21"/>
                <w:shd w:val="clear" w:color="auto" w:fill="FFFFFF"/>
              </w:rPr>
            </w:pPr>
          </w:p>
          <w:p>
            <w:pPr>
              <w:spacing w:line="308" w:lineRule="atLeast"/>
              <w:ind w:firstLine="0" w:firstLineChars="0"/>
              <w:rPr>
                <w:rFonts w:asci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7"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法定时限</w:t>
            </w:r>
          </w:p>
        </w:tc>
        <w:tc>
          <w:tcPr>
            <w:tcW w:w="2074" w:type="dxa"/>
            <w:vAlign w:val="center"/>
          </w:tcPr>
          <w:p>
            <w:pPr>
              <w:pStyle w:val="21"/>
              <w:spacing w:line="277" w:lineRule="atLeast"/>
              <w:ind w:firstLine="420" w:firstLineChars="200"/>
              <w:jc w:val="center"/>
              <w:textAlignment w:val="center"/>
              <w:rPr>
                <w:rFonts w:ascii="宋体" w:cs="宋体"/>
                <w:color w:val="000000"/>
                <w:sz w:val="21"/>
                <w:szCs w:val="21"/>
              </w:rPr>
            </w:pPr>
            <w:r>
              <w:rPr>
                <w:rFonts w:hint="eastAsia" w:ascii="宋体" w:hAnsi="宋体" w:cs="宋体"/>
                <w:color w:val="000000"/>
                <w:sz w:val="21"/>
                <w:szCs w:val="21"/>
                <w:lang w:val="en-US" w:eastAsia="zh-CN"/>
              </w:rPr>
              <w:t>35</w:t>
            </w:r>
            <w:r>
              <w:rPr>
                <w:rFonts w:hint="eastAsia" w:ascii="宋体" w:hAnsi="宋体" w:cs="宋体"/>
                <w:color w:val="000000"/>
                <w:sz w:val="21"/>
                <w:szCs w:val="21"/>
              </w:rPr>
              <w:t>个工作日</w:t>
            </w:r>
          </w:p>
        </w:tc>
        <w:tc>
          <w:tcPr>
            <w:tcW w:w="2355" w:type="dxa"/>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承诺时限</w:t>
            </w:r>
          </w:p>
        </w:tc>
        <w:tc>
          <w:tcPr>
            <w:tcW w:w="23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20</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742" w:hRule="exact"/>
        </w:trPr>
        <w:tc>
          <w:tcPr>
            <w:tcW w:w="1133" w:type="dxa"/>
            <w:vMerge w:val="restart"/>
            <w:vAlign w:val="center"/>
          </w:tcPr>
          <w:p>
            <w:pPr>
              <w:ind w:left="0" w:leftChars="0" w:firstLine="210" w:firstLineChars="100"/>
              <w:jc w:val="both"/>
              <w:rPr>
                <w:rFonts w:hint="eastAsia" w:ascii="宋体" w:eastAsia="宋体" w:cs="宋体"/>
                <w:sz w:val="21"/>
                <w:szCs w:val="21"/>
                <w:lang w:eastAsia="zh-CN"/>
              </w:rPr>
            </w:pPr>
            <w:r>
              <w:rPr>
                <w:rFonts w:hint="eastAsia" w:ascii="宋体" w:cs="宋体"/>
                <w:sz w:val="21"/>
                <w:szCs w:val="21"/>
                <w:lang w:eastAsia="zh-CN"/>
              </w:rPr>
              <w:t>审批流程</w:t>
            </w:r>
          </w:p>
        </w:tc>
        <w:tc>
          <w:tcPr>
            <w:tcW w:w="1133" w:type="dxa"/>
            <w:vMerge w:val="restart"/>
            <w:vAlign w:val="center"/>
          </w:tcPr>
          <w:p>
            <w:pPr>
              <w:tabs>
                <w:tab w:val="center" w:pos="562"/>
              </w:tabs>
              <w:rPr>
                <w:rFonts w:hint="eastAsia" w:ascii="宋体" w:eastAsia="宋体" w:cs="宋体"/>
                <w:sz w:val="21"/>
                <w:szCs w:val="21"/>
                <w:lang w:eastAsia="zh-CN"/>
              </w:rPr>
            </w:pPr>
            <w:r>
              <w:rPr>
                <w:rFonts w:hint="eastAsia" w:ascii="宋体" w:cs="宋体"/>
                <w:sz w:val="21"/>
                <w:szCs w:val="21"/>
                <w:lang w:eastAsia="zh-CN"/>
              </w:rPr>
              <w:t>受理</w:t>
            </w:r>
          </w:p>
        </w:tc>
        <w:tc>
          <w:tcPr>
            <w:tcW w:w="6803" w:type="dxa"/>
            <w:gridSpan w:val="3"/>
            <w:vAlign w:val="center"/>
          </w:tcPr>
          <w:p>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微软雅黑" w:hAnsi="微软雅黑" w:eastAsia="微软雅黑" w:cs="微软雅黑"/>
                <w:color w:val="auto"/>
                <w:sz w:val="19"/>
                <w:szCs w:val="19"/>
                <w:lang w:val="en-US" w:eastAsia="zh-CN"/>
              </w:rPr>
            </w:pPr>
            <w:r>
              <w:rPr>
                <w:rFonts w:hint="eastAsia" w:ascii="宋体" w:hAnsi="宋体" w:cs="宋体"/>
                <w:color w:val="000000"/>
                <w:sz w:val="21"/>
                <w:szCs w:val="21"/>
                <w:lang w:eastAsia="zh-CN"/>
              </w:rPr>
              <w:t>时限：</w:t>
            </w:r>
            <w:r>
              <w:rPr>
                <w:rFonts w:hint="eastAsia" w:ascii="宋体" w:hAnsi="宋体" w:cs="宋体"/>
                <w:color w:val="000000"/>
                <w:sz w:val="21"/>
                <w:szCs w:val="21"/>
                <w:lang w:val="en-US" w:eastAsia="zh-CN"/>
              </w:rPr>
              <w:t>5个</w:t>
            </w:r>
            <w:r>
              <w:rPr>
                <w:rFonts w:hint="eastAsia" w:ascii="微软雅黑" w:hAnsi="微软雅黑" w:eastAsia="微软雅黑" w:cs="微软雅黑"/>
                <w:color w:val="auto"/>
                <w:sz w:val="19"/>
                <w:szCs w:val="19"/>
                <w:lang w:val="en-US" w:eastAsia="zh-CN"/>
              </w:rPr>
              <w:t>工作日</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申报材料：</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sz w:val="18"/>
                <w:szCs w:val="18"/>
                <w:lang w:val="en-US" w:eastAsia="zh-CN"/>
              </w:rPr>
              <w:t>1</w:t>
            </w:r>
            <w:r>
              <w:rPr>
                <w:rFonts w:hint="eastAsia" w:asciiTheme="minorEastAsia" w:hAnsiTheme="minorEastAsia" w:eastAsiaTheme="minorEastAsia" w:cstheme="minorEastAsia"/>
                <w:color w:val="auto"/>
                <w:sz w:val="18"/>
                <w:szCs w:val="18"/>
                <w:lang w:val="en-US" w:eastAsia="zh-CN"/>
              </w:rPr>
              <w:t>、种子生产经营许可证申请表</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2、单位性质、股权结构等基本情况，公司章程、营业执照复印件，设立分支机构、委托生产种子、委托代销种子以及以购销方式销售种子等情况说明</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3、种子生产、加工贮藏、检验专业技术人员的基本情况及其企业缴纳的社保证明复印件，企业法定代表人和高级管理人员名单及其种业从业简历</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4、种子检验室、加工厂房、仓库和其他设施的自有产权或自有资产的证明材料；办公场所自有产权证明复印件或租赁合同；种子检验、加工等设备清单和购置发票复印件；相关设施设备的情况说明及实景照片</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5、品种审定证书复印件；生产经营授权品种种子的，提交植物新品种权证书复印件及品种权人的书面同意证明</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6、委托种子生产合同复印件或自行组织种子生产的情况说明和证明材料</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7、种子生产地点检疫证明</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8、</w:t>
            </w:r>
            <w:r>
              <w:rPr>
                <w:rFonts w:hint="eastAsia" w:asciiTheme="minorEastAsia" w:hAnsiTheme="minorEastAsia" w:eastAsiaTheme="minorEastAsia" w:cstheme="minorEastAsia"/>
                <w:color w:val="auto"/>
                <w:sz w:val="18"/>
                <w:szCs w:val="18"/>
              </w:rPr>
              <w:t>种子生产的隔离和培育条件、书面承诺</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9、</w:t>
            </w:r>
            <w:r>
              <w:rPr>
                <w:rFonts w:hint="eastAsia" w:asciiTheme="minorEastAsia" w:hAnsiTheme="minorEastAsia" w:eastAsiaTheme="minorEastAsia" w:cstheme="minorEastAsia"/>
                <w:color w:val="auto"/>
                <w:sz w:val="18"/>
                <w:szCs w:val="18"/>
              </w:rPr>
              <w:t>自有科研育种基地证明或租用科研育种基地的合同复印件（申请领取选育生产经营相结合、有效区域为全国的种子生产经营许可证，还应当提交）</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Style w:val="26"/>
                <w:rFonts w:hint="eastAsia" w:asciiTheme="minorEastAsia" w:hAnsiTheme="minorEastAsia" w:eastAsiaTheme="minorEastAsia" w:cstheme="minorEastAsia"/>
                <w:color w:val="auto"/>
                <w:sz w:val="18"/>
                <w:szCs w:val="18"/>
                <w:shd w:val="clear" w:fill="F7F7F7"/>
                <w:lang w:val="en-US" w:eastAsia="zh-CN" w:bidi="ar"/>
              </w:rPr>
            </w:pPr>
            <w:r>
              <w:rPr>
                <w:rFonts w:hint="eastAsia" w:asciiTheme="minorEastAsia" w:hAnsiTheme="minorEastAsia" w:eastAsiaTheme="minorEastAsia" w:cstheme="minorEastAsia"/>
                <w:color w:val="auto"/>
                <w:sz w:val="18"/>
                <w:szCs w:val="18"/>
                <w:lang w:val="en-US" w:eastAsia="zh-CN"/>
              </w:rPr>
              <w:t>10、</w:t>
            </w:r>
            <w:r>
              <w:rPr>
                <w:rFonts w:hint="eastAsia" w:asciiTheme="minorEastAsia" w:hAnsiTheme="minorEastAsia" w:eastAsiaTheme="minorEastAsia" w:cstheme="minorEastAsia"/>
                <w:color w:val="auto"/>
                <w:sz w:val="18"/>
                <w:szCs w:val="18"/>
              </w:rPr>
              <w:t>品种试验测试网络和测试点情况说明，以及相应的播种、收获、烘干等设备设施的自有产权证明复印件及实景照片（申请领取选育生产经营相结合、有效区域</w:t>
            </w:r>
            <w:r>
              <w:rPr>
                <w:rStyle w:val="26"/>
                <w:rFonts w:hint="eastAsia" w:asciiTheme="minorEastAsia" w:hAnsiTheme="minorEastAsia" w:eastAsiaTheme="minorEastAsia" w:cstheme="minorEastAsia"/>
                <w:color w:val="auto"/>
                <w:sz w:val="18"/>
                <w:szCs w:val="18"/>
                <w:shd w:val="clear" w:fill="F7F7F7"/>
                <w:lang w:val="en-US" w:eastAsia="zh-CN" w:bidi="ar"/>
              </w:rPr>
              <w:t>为全国的种子生产经营许可证，还应当提交）</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11、育种机构、育种材料、科研活动等情况说明和证明材料，育种人员基本情况（申请领取选育生产经营相结合、有效区域为全国的种子生产经营许可证，还应当提交）12、近三年种子生产地点、面积和基地联系人等情况说明和证明材料（申请领取选育生产经营相结合、有效区域为全国的种子生产经营许可证，还应当提交）</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kern w:val="0"/>
                <w:sz w:val="18"/>
                <w:szCs w:val="18"/>
                <w:shd w:val="clear" w:fill="F7F7F7"/>
                <w:lang w:val="en-US" w:eastAsia="zh-CN" w:bidi="ar"/>
              </w:rPr>
            </w:pPr>
            <w:r>
              <w:rPr>
                <w:rFonts w:hint="eastAsia" w:asciiTheme="minorEastAsia" w:hAnsiTheme="minorEastAsia" w:eastAsiaTheme="minorEastAsia" w:cstheme="minorEastAsia"/>
                <w:color w:val="auto"/>
                <w:kern w:val="0"/>
                <w:sz w:val="18"/>
                <w:szCs w:val="18"/>
                <w:shd w:val="clear" w:fill="F7F7F7"/>
                <w:lang w:val="en-US" w:eastAsia="zh-CN" w:bidi="ar"/>
              </w:rPr>
              <w:t>13、种子经营量、经营额及其市场份额的情况说明和证明材料（申请领取选育生产经营相结合、有效区域为全国的种子生产经营许可证，还应当提交）</w:t>
            </w:r>
          </w:p>
          <w:p>
            <w:pPr>
              <w:keepNext w:val="0"/>
              <w:keepLines w:val="0"/>
              <w:pageBreakBefore w:val="0"/>
              <w:kinsoku/>
              <w:wordWrap/>
              <w:overflowPunct/>
              <w:topLinePunct w:val="0"/>
              <w:autoSpaceDE/>
              <w:autoSpaceDN/>
              <w:bidi w:val="0"/>
              <w:adjustRightInd/>
              <w:snapToGrid/>
              <w:spacing w:line="440" w:lineRule="exact"/>
              <w:ind w:firstLine="0" w:firstLineChars="0"/>
              <w:jc w:val="both"/>
              <w:textAlignment w:val="auto"/>
              <w:outlineLvl w:val="9"/>
              <w:rPr>
                <w:rFonts w:hint="eastAsia" w:asciiTheme="minorEastAsia" w:hAnsiTheme="minorEastAsia" w:eastAsiaTheme="minorEastAsia" w:cstheme="minorEastAsia"/>
                <w:color w:val="3D4B64"/>
                <w:kern w:val="0"/>
                <w:sz w:val="19"/>
                <w:szCs w:val="19"/>
                <w:shd w:val="clear" w:fill="F7F7F7"/>
                <w:lang w:val="en-US" w:eastAsia="zh-CN" w:bidi="ar"/>
              </w:rPr>
            </w:pPr>
            <w:r>
              <w:rPr>
                <w:rFonts w:hint="eastAsia" w:asciiTheme="minorEastAsia" w:hAnsiTheme="minorEastAsia" w:eastAsiaTheme="minorEastAsia" w:cstheme="minorEastAsia"/>
                <w:color w:val="auto"/>
                <w:kern w:val="0"/>
                <w:sz w:val="19"/>
                <w:szCs w:val="19"/>
                <w:shd w:val="clear" w:fill="F7F7F7"/>
                <w:lang w:val="en-US" w:eastAsia="zh-CN" w:bidi="ar"/>
              </w:rPr>
              <w:t>14、销售网络和售后服务体系的建设情况</w:t>
            </w:r>
          </w:p>
          <w:p>
            <w:pPr>
              <w:spacing w:line="246" w:lineRule="atLeast"/>
              <w:ind w:firstLine="420"/>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28" w:hRule="exact"/>
        </w:trPr>
        <w:tc>
          <w:tcPr>
            <w:tcW w:w="1133" w:type="dxa"/>
            <w:vMerge w:val="continue"/>
            <w:vAlign w:val="center"/>
          </w:tcPr>
          <w:p>
            <w:pPr>
              <w:ind w:firstLine="420"/>
              <w:rPr>
                <w:rFonts w:ascii="宋体" w:cs="宋体"/>
                <w:sz w:val="21"/>
                <w:szCs w:val="21"/>
              </w:rPr>
            </w:pPr>
          </w:p>
        </w:tc>
        <w:tc>
          <w:tcPr>
            <w:tcW w:w="1133" w:type="dxa"/>
            <w:vMerge w:val="continue"/>
            <w:vAlign w:val="center"/>
          </w:tcPr>
          <w:p>
            <w:pPr>
              <w:ind w:firstLine="420"/>
              <w:rPr>
                <w:rFonts w:ascii="宋体" w:cs="宋体"/>
                <w:sz w:val="21"/>
                <w:szCs w:val="21"/>
              </w:rPr>
            </w:pP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属于职责范围内的，资料齐全的当场受理，向申请人发放受理通知书，提交审批股审核。资料不齐全、不正确的，资料能当场修改的，指导申请人当场修改，不能当场修改的，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9" w:hRule="exact"/>
        </w:trPr>
        <w:tc>
          <w:tcPr>
            <w:tcW w:w="1133" w:type="dxa"/>
            <w:vMerge w:val="continue"/>
            <w:vAlign w:val="center"/>
          </w:tcPr>
          <w:p>
            <w:pPr>
              <w:ind w:firstLine="420"/>
              <w:rPr>
                <w:rFonts w:ascii="宋体" w:cs="宋体"/>
                <w:sz w:val="21"/>
                <w:szCs w:val="21"/>
              </w:rPr>
            </w:pPr>
          </w:p>
        </w:tc>
        <w:tc>
          <w:tcPr>
            <w:tcW w:w="1133" w:type="dxa"/>
            <w:vMerge w:val="restart"/>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审查（含现场核查）</w:t>
            </w: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时限：</w:t>
            </w:r>
            <w:r>
              <w:rPr>
                <w:rFonts w:ascii="宋体" w:hAnsi="宋体" w:cs="宋体"/>
                <w:color w:val="000000"/>
                <w:sz w:val="21"/>
                <w:szCs w:val="21"/>
              </w:rPr>
              <w:t xml:space="preserve"> </w:t>
            </w:r>
            <w:r>
              <w:rPr>
                <w:rFonts w:hint="eastAsia" w:ascii="宋体" w:hAnsi="宋体" w:cs="宋体"/>
                <w:color w:val="000000"/>
                <w:sz w:val="21"/>
                <w:szCs w:val="21"/>
                <w:lang w:val="en-US" w:eastAsia="zh-CN"/>
              </w:rPr>
              <w:t>12</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0" w:hRule="exact"/>
        </w:trPr>
        <w:tc>
          <w:tcPr>
            <w:tcW w:w="1133" w:type="dxa"/>
            <w:vMerge w:val="continue"/>
            <w:vAlign w:val="center"/>
          </w:tcPr>
          <w:p>
            <w:pPr>
              <w:ind w:firstLine="420"/>
              <w:rPr>
                <w:rFonts w:ascii="宋体" w:cs="宋体"/>
                <w:sz w:val="21"/>
                <w:szCs w:val="21"/>
              </w:rPr>
            </w:pPr>
          </w:p>
        </w:tc>
        <w:tc>
          <w:tcPr>
            <w:tcW w:w="1133" w:type="dxa"/>
            <w:vMerge w:val="continue"/>
            <w:vAlign w:val="center"/>
          </w:tcPr>
          <w:p>
            <w:pPr>
              <w:ind w:firstLine="420"/>
              <w:rPr>
                <w:rFonts w:ascii="宋体" w:cs="宋体"/>
                <w:sz w:val="21"/>
                <w:szCs w:val="21"/>
              </w:rPr>
            </w:pP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审</w:t>
            </w:r>
            <w:r>
              <w:rPr>
                <w:rFonts w:hint="eastAsia" w:ascii="宋体" w:hAnsi="宋体" w:cs="宋体"/>
                <w:color w:val="000000"/>
                <w:sz w:val="21"/>
                <w:szCs w:val="21"/>
                <w:lang w:eastAsia="zh-CN"/>
              </w:rPr>
              <w:t>查</w:t>
            </w:r>
            <w:r>
              <w:rPr>
                <w:rFonts w:hint="eastAsia" w:ascii="宋体" w:hAnsi="宋体" w:cs="宋体"/>
                <w:color w:val="000000"/>
                <w:sz w:val="21"/>
                <w:szCs w:val="21"/>
              </w:rPr>
              <w:t>人员结合申请人提交的全部资料，在</w:t>
            </w:r>
            <w:r>
              <w:rPr>
                <w:rFonts w:ascii="宋体" w:hAnsi="宋体" w:cs="宋体"/>
                <w:color w:val="000000"/>
                <w:sz w:val="21"/>
                <w:szCs w:val="21"/>
              </w:rPr>
              <w:t xml:space="preserve"> </w:t>
            </w:r>
            <w:r>
              <w:rPr>
                <w:rFonts w:hint="eastAsia" w:ascii="宋体" w:hAnsi="宋体" w:cs="宋体"/>
                <w:color w:val="000000"/>
                <w:sz w:val="21"/>
                <w:szCs w:val="21"/>
                <w:lang w:val="en-US" w:eastAsia="zh-CN"/>
              </w:rPr>
              <w:t>12</w:t>
            </w:r>
            <w:r>
              <w:rPr>
                <w:rFonts w:hint="eastAsia" w:ascii="宋体" w:hAnsi="宋体" w:cs="宋体"/>
                <w:color w:val="000000"/>
                <w:sz w:val="21"/>
                <w:szCs w:val="21"/>
              </w:rPr>
              <w:t>个工作日内做出</w:t>
            </w:r>
            <w:r>
              <w:rPr>
                <w:rFonts w:hint="eastAsia" w:ascii="宋体" w:hAnsi="宋体" w:cs="宋体"/>
                <w:color w:val="000000"/>
                <w:sz w:val="21"/>
                <w:szCs w:val="21"/>
                <w:lang w:eastAsia="zh-CN"/>
              </w:rPr>
              <w:t>审查意见</w:t>
            </w:r>
            <w:r>
              <w:rPr>
                <w:rFonts w:hint="eastAsia" w:ascii="宋体" w:hAnsi="宋体" w:cs="宋体"/>
                <w:color w:val="000000"/>
                <w:sz w:val="21"/>
                <w:szCs w:val="21"/>
              </w:rPr>
              <w:t>。报审批人员。对不符合行政许可的，出具不予行政许可意见书，说明理由。</w:t>
            </w:r>
          </w:p>
          <w:p>
            <w:pPr>
              <w:pStyle w:val="21"/>
              <w:spacing w:line="277" w:lineRule="atLeast"/>
              <w:textAlignment w:val="center"/>
              <w:rPr>
                <w:rFonts w:ascii="宋体" w:cs="宋体"/>
                <w:color w:val="000000"/>
                <w:sz w:val="21"/>
                <w:szCs w:val="21"/>
              </w:rPr>
            </w:pPr>
          </w:p>
          <w:p>
            <w:pPr>
              <w:pStyle w:val="21"/>
              <w:spacing w:line="277" w:lineRule="atLeast"/>
              <w:textAlignment w:val="center"/>
              <w:rPr>
                <w:rFonts w:ascii="宋体" w:cs="宋体"/>
                <w:color w:val="000000"/>
                <w:sz w:val="21"/>
                <w:szCs w:val="21"/>
              </w:rPr>
            </w:pPr>
          </w:p>
          <w:p>
            <w:pPr>
              <w:pStyle w:val="21"/>
              <w:spacing w:line="277" w:lineRule="atLeast"/>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1" w:hRule="exact"/>
        </w:trPr>
        <w:tc>
          <w:tcPr>
            <w:tcW w:w="1133" w:type="dxa"/>
            <w:vMerge w:val="continue"/>
            <w:vAlign w:val="center"/>
          </w:tcPr>
          <w:p>
            <w:pPr>
              <w:ind w:firstLine="420"/>
              <w:rPr>
                <w:rFonts w:ascii="宋体" w:cs="宋体"/>
                <w:sz w:val="21"/>
                <w:szCs w:val="21"/>
              </w:rPr>
            </w:pPr>
          </w:p>
        </w:tc>
        <w:tc>
          <w:tcPr>
            <w:tcW w:w="1133" w:type="dxa"/>
            <w:vMerge w:val="restart"/>
            <w:vAlign w:val="center"/>
          </w:tcPr>
          <w:p>
            <w:pPr>
              <w:pStyle w:val="21"/>
              <w:spacing w:line="277" w:lineRule="atLeast"/>
              <w:jc w:val="center"/>
              <w:textAlignment w:val="center"/>
              <w:rPr>
                <w:rFonts w:hint="eastAsia" w:ascii="宋体" w:eastAsia="宋体" w:cs="宋体"/>
                <w:color w:val="000000"/>
                <w:sz w:val="21"/>
                <w:szCs w:val="21"/>
                <w:lang w:eastAsia="zh-CN"/>
              </w:rPr>
            </w:pPr>
            <w:r>
              <w:rPr>
                <w:rFonts w:hint="eastAsia" w:ascii="宋体" w:hAnsi="宋体" w:cs="宋体"/>
                <w:color w:val="000000"/>
                <w:sz w:val="21"/>
                <w:szCs w:val="21"/>
                <w:lang w:eastAsia="zh-CN"/>
              </w:rPr>
              <w:t>决定</w:t>
            </w:r>
          </w:p>
        </w:tc>
        <w:tc>
          <w:tcPr>
            <w:tcW w:w="6803" w:type="dxa"/>
            <w:gridSpan w:val="3"/>
            <w:tcBorders>
              <w:bottom w:val="single" w:color="auto" w:sz="4" w:space="0"/>
            </w:tcBorders>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3</w:t>
            </w:r>
            <w:r>
              <w:rPr>
                <w:rFonts w:hint="eastAsia" w:ascii="宋体" w:hAnsi="宋体" w:cs="宋体"/>
                <w:color w:val="000000"/>
                <w:sz w:val="21"/>
                <w:szCs w:val="21"/>
              </w:rPr>
              <w:t>个工作日</w:t>
            </w:r>
          </w:p>
          <w:p>
            <w:pPr>
              <w:pStyle w:val="21"/>
              <w:spacing w:line="277" w:lineRule="atLeast"/>
              <w:textAlignment w:val="center"/>
              <w:rPr>
                <w:rFonts w:ascii="宋体" w:cs="宋体"/>
                <w:color w:val="000000"/>
                <w:sz w:val="21"/>
                <w:szCs w:val="21"/>
              </w:rPr>
            </w:pPr>
          </w:p>
          <w:p>
            <w:pPr>
              <w:pStyle w:val="21"/>
              <w:spacing w:line="277" w:lineRule="atLeast"/>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8" w:hRule="exact"/>
        </w:trPr>
        <w:tc>
          <w:tcPr>
            <w:tcW w:w="1133" w:type="dxa"/>
            <w:vMerge w:val="continue"/>
            <w:vAlign w:val="center"/>
          </w:tcPr>
          <w:p>
            <w:pPr>
              <w:ind w:firstLine="420"/>
              <w:rPr>
                <w:rFonts w:ascii="宋体" w:cs="宋体"/>
                <w:sz w:val="21"/>
                <w:szCs w:val="21"/>
              </w:rPr>
            </w:pPr>
          </w:p>
        </w:tc>
        <w:tc>
          <w:tcPr>
            <w:tcW w:w="1133" w:type="dxa"/>
            <w:vMerge w:val="continue"/>
            <w:vAlign w:val="center"/>
          </w:tcPr>
          <w:p>
            <w:pPr>
              <w:pStyle w:val="21"/>
              <w:spacing w:line="277" w:lineRule="atLeast"/>
              <w:jc w:val="center"/>
              <w:textAlignment w:val="center"/>
              <w:rPr>
                <w:rFonts w:ascii="宋体" w:cs="宋体"/>
                <w:color w:val="000000"/>
                <w:sz w:val="21"/>
                <w:szCs w:val="21"/>
              </w:rPr>
            </w:pPr>
          </w:p>
        </w:tc>
        <w:tc>
          <w:tcPr>
            <w:tcW w:w="6803" w:type="dxa"/>
            <w:gridSpan w:val="3"/>
            <w:tcBorders>
              <w:top w:val="single" w:color="auto" w:sz="4" w:space="0"/>
            </w:tcBorders>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根据审</w:t>
            </w:r>
            <w:r>
              <w:rPr>
                <w:rFonts w:hint="eastAsia" w:ascii="宋体" w:hAnsi="宋体" w:cs="宋体"/>
                <w:color w:val="000000"/>
                <w:sz w:val="21"/>
                <w:szCs w:val="21"/>
                <w:lang w:eastAsia="zh-CN"/>
              </w:rPr>
              <w:t>查</w:t>
            </w:r>
            <w:r>
              <w:rPr>
                <w:rFonts w:hint="eastAsia" w:ascii="宋体" w:hAnsi="宋体" w:cs="宋体"/>
                <w:color w:val="000000"/>
                <w:sz w:val="21"/>
                <w:szCs w:val="21"/>
              </w:rPr>
              <w:t>人员、政策法制股提交的材料，符合要求的，批准予以行政许可。对不符合要求的，出具不予行政许可意见书，说明理由。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35"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审批监管对接</w:t>
            </w:r>
          </w:p>
        </w:tc>
        <w:tc>
          <w:tcPr>
            <w:tcW w:w="6803" w:type="dxa"/>
            <w:gridSpan w:val="3"/>
            <w:vAlign w:val="center"/>
          </w:tcPr>
          <w:p>
            <w:pPr>
              <w:pStyle w:val="21"/>
              <w:spacing w:line="277" w:lineRule="atLeast"/>
              <w:textAlignment w:val="center"/>
              <w:rPr>
                <w:rFonts w:ascii="宋体" w:cs="宋体"/>
                <w:color w:val="000000"/>
                <w:sz w:val="21"/>
                <w:szCs w:val="21"/>
              </w:rPr>
            </w:pPr>
          </w:p>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对已经办理的行政许可事项，审批股负责以电子邮件或纸质函形式通知监管单位，负责事中事后监管。办结后</w:t>
            </w:r>
            <w:r>
              <w:rPr>
                <w:rFonts w:hint="eastAsia" w:asciiTheme="minorEastAsia" w:hAnsiTheme="minorEastAsia" w:eastAsiaTheme="minorEastAsia" w:cstheme="minorEastAsia"/>
                <w:color w:val="000000"/>
                <w:sz w:val="21"/>
                <w:szCs w:val="21"/>
              </w:rPr>
              <w:t>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r>
              <w:rPr>
                <w:rFonts w:hint="eastAsia" w:ascii="宋体" w:hAnsi="宋体" w:cs="宋体"/>
                <w:color w:val="000000"/>
                <w:sz w:val="21"/>
                <w:szCs w:val="21"/>
              </w:rPr>
              <w:t>内</w:t>
            </w:r>
            <w:r>
              <w:rPr>
                <w:rFonts w:ascii="宋体" w:cs="宋体"/>
                <w:color w:val="000000"/>
                <w:sz w:val="21"/>
                <w:szCs w:val="21"/>
              </w:rPr>
              <w:t>.</w:t>
            </w:r>
          </w:p>
          <w:p>
            <w:pPr>
              <w:pStyle w:val="21"/>
              <w:spacing w:line="277" w:lineRule="atLeast"/>
              <w:textAlignment w:val="center"/>
              <w:rPr>
                <w:rFonts w:ascii="宋体" w:cs="宋体"/>
                <w:color w:val="000000"/>
                <w:sz w:val="21"/>
                <w:szCs w:val="21"/>
              </w:rPr>
            </w:pPr>
          </w:p>
        </w:tc>
      </w:tr>
    </w:tbl>
    <w:p>
      <w:pPr>
        <w:ind w:firstLine="400"/>
        <w:sectPr>
          <w:headerReference r:id="rId3" w:type="default"/>
          <w:footerReference r:id="rId4" w:type="default"/>
          <w:pgSz w:w="11906" w:h="16838"/>
          <w:pgMar w:top="1440" w:right="1800" w:bottom="1440" w:left="1800" w:header="851" w:footer="992" w:gutter="0"/>
          <w:cols w:space="425" w:num="1"/>
          <w:docGrid w:type="lines" w:linePitch="312" w:charSpace="0"/>
        </w:sectPr>
      </w:pPr>
    </w:p>
    <w:tbl>
      <w:tblPr>
        <w:tblStyle w:val="18"/>
        <w:tblW w:w="90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33"/>
        <w:gridCol w:w="2074"/>
        <w:gridCol w:w="2355"/>
        <w:gridCol w:w="2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9"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事项名称</w:t>
            </w:r>
          </w:p>
        </w:tc>
        <w:tc>
          <w:tcPr>
            <w:tcW w:w="6803" w:type="dxa"/>
            <w:gridSpan w:val="3"/>
            <w:vAlign w:val="center"/>
          </w:tcPr>
          <w:p>
            <w:pPr>
              <w:pStyle w:val="21"/>
              <w:spacing w:line="277" w:lineRule="atLeast"/>
              <w:textAlignment w:val="center"/>
              <w:rPr>
                <w:rFonts w:hint="eastAsia" w:ascii="宋体" w:eastAsia="宋体" w:cs="宋体"/>
                <w:color w:val="000000"/>
                <w:sz w:val="21"/>
                <w:szCs w:val="21"/>
                <w:lang w:val="en-US" w:eastAsia="zh-CN"/>
              </w:rPr>
            </w:pPr>
            <w:r>
              <w:rPr>
                <w:rFonts w:hint="eastAsia" w:ascii="宋体" w:hAnsi="宋体" w:cs="宋体"/>
                <w:color w:val="000000"/>
                <w:sz w:val="21"/>
                <w:szCs w:val="21"/>
                <w:lang w:val="en-US" w:eastAsia="zh-CN"/>
              </w:rPr>
              <w:t>农作物种子生产经营许可证核发(变更）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9"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审批权限</w:t>
            </w: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区级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29"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实施依据</w:t>
            </w:r>
          </w:p>
        </w:tc>
        <w:tc>
          <w:tcPr>
            <w:tcW w:w="6803" w:type="dxa"/>
            <w:gridSpan w:val="3"/>
            <w:vAlign w:val="center"/>
          </w:tcPr>
          <w:p>
            <w:pPr>
              <w:ind w:left="0" w:leftChars="0" w:firstLine="0" w:firstLineChars="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1、《中华人民共和国种子法》（2000年7月8日主席令第三十四号，2015年11月4日予以修改）第三十一条</w:t>
            </w:r>
          </w:p>
          <w:p>
            <w:pPr>
              <w:ind w:left="0" w:leftChars="0" w:firstLine="0" w:firstLineChars="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《农作物种子生产经营许可管理办法》</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农业部2016年第6次常务会议审议通过，现予公布，自2016年8月15日起施行</w:t>
            </w:r>
            <w:r>
              <w:rPr>
                <w:rFonts w:hint="eastAsia" w:asciiTheme="minorEastAsia" w:hAnsiTheme="minorEastAsia" w:eastAsiaTheme="minorEastAsia" w:cstheme="minorEastAsia"/>
                <w:sz w:val="21"/>
                <w:szCs w:val="21"/>
                <w:lang w:eastAsia="zh-CN"/>
              </w:rPr>
              <w:t>）第十一条</w:t>
            </w:r>
          </w:p>
          <w:p>
            <w:pPr>
              <w:ind w:firstLine="0" w:firstLineChars="0"/>
              <w:rPr>
                <w:rFonts w:ascii="宋体" w:cs="宋体"/>
                <w:color w:val="333333"/>
                <w:sz w:val="21"/>
                <w:szCs w:val="21"/>
                <w:shd w:val="clear" w:color="auto" w:fill="FFFFFF"/>
              </w:rPr>
            </w:pPr>
          </w:p>
          <w:p>
            <w:pPr>
              <w:spacing w:line="308" w:lineRule="atLeast"/>
              <w:ind w:firstLine="0" w:firstLineChars="0"/>
              <w:rPr>
                <w:rFonts w:asci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2"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法定时限</w:t>
            </w:r>
          </w:p>
        </w:tc>
        <w:tc>
          <w:tcPr>
            <w:tcW w:w="2074" w:type="dxa"/>
            <w:vAlign w:val="center"/>
          </w:tcPr>
          <w:p>
            <w:pPr>
              <w:pStyle w:val="21"/>
              <w:spacing w:line="277" w:lineRule="atLeast"/>
              <w:ind w:firstLine="420" w:firstLineChars="200"/>
              <w:jc w:val="center"/>
              <w:textAlignment w:val="center"/>
              <w:rPr>
                <w:rFonts w:ascii="宋体" w:cs="宋体"/>
                <w:color w:val="000000"/>
                <w:sz w:val="21"/>
                <w:szCs w:val="21"/>
              </w:rPr>
            </w:pPr>
            <w:r>
              <w:rPr>
                <w:rFonts w:hint="eastAsia" w:ascii="宋体" w:hAnsi="宋体" w:cs="宋体"/>
                <w:color w:val="000000"/>
                <w:sz w:val="21"/>
                <w:szCs w:val="21"/>
                <w:lang w:val="en-US" w:eastAsia="zh-CN"/>
              </w:rPr>
              <w:t>35</w:t>
            </w:r>
            <w:r>
              <w:rPr>
                <w:rFonts w:hint="eastAsia" w:ascii="宋体" w:hAnsi="宋体" w:cs="宋体"/>
                <w:color w:val="000000"/>
                <w:sz w:val="21"/>
                <w:szCs w:val="21"/>
              </w:rPr>
              <w:t>个工作日</w:t>
            </w:r>
          </w:p>
        </w:tc>
        <w:tc>
          <w:tcPr>
            <w:tcW w:w="2355" w:type="dxa"/>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承诺时限</w:t>
            </w:r>
          </w:p>
        </w:tc>
        <w:tc>
          <w:tcPr>
            <w:tcW w:w="2374" w:type="dxa"/>
            <w:vAlign w:val="center"/>
          </w:tcPr>
          <w:p>
            <w:pPr>
              <w:pStyle w:val="21"/>
              <w:spacing w:line="277" w:lineRule="atLeast"/>
              <w:ind w:firstLine="420" w:firstLineChars="200"/>
              <w:jc w:val="both"/>
              <w:textAlignment w:val="center"/>
              <w:rPr>
                <w:rFonts w:ascii="宋体" w:cs="宋体"/>
                <w:color w:val="000000"/>
                <w:sz w:val="21"/>
                <w:szCs w:val="21"/>
              </w:rPr>
            </w:pPr>
            <w:r>
              <w:rPr>
                <w:rFonts w:hint="eastAsia" w:ascii="宋体" w:hAnsi="宋体" w:cs="宋体"/>
                <w:color w:val="000000"/>
                <w:sz w:val="21"/>
                <w:szCs w:val="21"/>
                <w:lang w:val="en-US" w:eastAsia="zh-CN"/>
              </w:rPr>
              <w:t>20</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2" w:hRule="exact"/>
        </w:trPr>
        <w:tc>
          <w:tcPr>
            <w:tcW w:w="1133" w:type="dxa"/>
            <w:vMerge w:val="restart"/>
            <w:tcBorders>
              <w:right w:val="single" w:color="auto" w:sz="4" w:space="0"/>
            </w:tcBorders>
            <w:vAlign w:val="center"/>
          </w:tcPr>
          <w:p>
            <w:pPr>
              <w:ind w:left="0" w:leftChars="0" w:firstLine="210" w:firstLineChars="100"/>
              <w:jc w:val="both"/>
              <w:rPr>
                <w:rFonts w:hint="eastAsia" w:ascii="宋体" w:eastAsia="宋体" w:cs="宋体"/>
                <w:sz w:val="21"/>
                <w:szCs w:val="21"/>
                <w:lang w:eastAsia="zh-CN"/>
              </w:rPr>
            </w:pPr>
            <w:r>
              <w:rPr>
                <w:rFonts w:hint="eastAsia" w:ascii="宋体" w:cs="宋体"/>
                <w:sz w:val="21"/>
                <w:szCs w:val="21"/>
                <w:lang w:eastAsia="zh-CN"/>
              </w:rPr>
              <w:t>审批流程</w:t>
            </w:r>
          </w:p>
        </w:tc>
        <w:tc>
          <w:tcPr>
            <w:tcW w:w="1133" w:type="dxa"/>
            <w:vMerge w:val="restart"/>
            <w:tcBorders>
              <w:left w:val="single" w:color="auto" w:sz="4" w:space="0"/>
            </w:tcBorders>
            <w:vAlign w:val="center"/>
          </w:tcPr>
          <w:p>
            <w:pPr>
              <w:tabs>
                <w:tab w:val="center" w:pos="562"/>
              </w:tabs>
              <w:rPr>
                <w:rFonts w:hint="eastAsia" w:ascii="宋体" w:eastAsia="宋体" w:cs="宋体"/>
                <w:sz w:val="21"/>
                <w:szCs w:val="21"/>
                <w:lang w:eastAsia="zh-CN"/>
              </w:rPr>
            </w:pPr>
            <w:r>
              <w:rPr>
                <w:rFonts w:hint="eastAsia" w:ascii="宋体" w:cs="宋体"/>
                <w:sz w:val="21"/>
                <w:szCs w:val="21"/>
                <w:lang w:eastAsia="zh-CN"/>
              </w:rPr>
              <w:t>受理</w:t>
            </w:r>
          </w:p>
        </w:tc>
        <w:tc>
          <w:tcPr>
            <w:tcW w:w="6803" w:type="dxa"/>
            <w:gridSpan w:val="3"/>
            <w:vAlign w:val="center"/>
          </w:tcPr>
          <w:p>
            <w:pPr>
              <w:pStyle w:val="21"/>
              <w:spacing w:line="277" w:lineRule="atLeast"/>
              <w:jc w:val="both"/>
              <w:textAlignment w:val="center"/>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时限：5个工作日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332" w:hRule="exact"/>
        </w:trPr>
        <w:tc>
          <w:tcPr>
            <w:tcW w:w="1133" w:type="dxa"/>
            <w:vMerge w:val="continue"/>
            <w:tcBorders>
              <w:right w:val="single" w:color="auto" w:sz="4" w:space="0"/>
            </w:tcBorders>
            <w:vAlign w:val="center"/>
          </w:tcPr>
          <w:p>
            <w:pPr>
              <w:ind w:left="0" w:leftChars="0" w:firstLine="210" w:firstLineChars="100"/>
              <w:jc w:val="both"/>
              <w:rPr>
                <w:rFonts w:hint="eastAsia" w:ascii="宋体" w:eastAsia="宋体" w:cs="宋体"/>
                <w:sz w:val="21"/>
                <w:szCs w:val="21"/>
                <w:lang w:eastAsia="zh-CN"/>
              </w:rPr>
            </w:pPr>
          </w:p>
        </w:tc>
        <w:tc>
          <w:tcPr>
            <w:tcW w:w="1133" w:type="dxa"/>
            <w:vMerge w:val="continue"/>
            <w:tcBorders>
              <w:left w:val="single" w:color="auto" w:sz="4" w:space="0"/>
            </w:tcBorders>
            <w:vAlign w:val="center"/>
          </w:tcPr>
          <w:p>
            <w:pPr>
              <w:tabs>
                <w:tab w:val="center" w:pos="562"/>
              </w:tabs>
              <w:rPr>
                <w:rFonts w:hint="eastAsia" w:ascii="宋体" w:eastAsia="宋体" w:cs="宋体"/>
                <w:sz w:val="21"/>
                <w:szCs w:val="21"/>
                <w:lang w:eastAsia="zh-CN"/>
              </w:rPr>
            </w:pPr>
          </w:p>
        </w:tc>
        <w:tc>
          <w:tcPr>
            <w:tcW w:w="6803" w:type="dxa"/>
            <w:gridSpan w:val="3"/>
            <w:vAlign w:val="center"/>
          </w:tcPr>
          <w:p>
            <w:pPr>
              <w:keepNext w:val="0"/>
              <w:keepLines w:val="0"/>
              <w:pageBreakBefore w:val="0"/>
              <w:widowControl w:val="0"/>
              <w:kinsoku/>
              <w:wordWrap/>
              <w:overflowPunct/>
              <w:topLinePunct w:val="0"/>
              <w:autoSpaceDE/>
              <w:autoSpaceDN/>
              <w:bidi w:val="0"/>
              <w:adjustRightInd/>
              <w:snapToGrid/>
              <w:spacing w:line="380" w:lineRule="exact"/>
              <w:ind w:firstLine="0" w:firstLine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申报材料：</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color w:val="auto"/>
                <w:sz w:val="21"/>
                <w:szCs w:val="21"/>
                <w:lang w:val="en-US" w:eastAsia="zh-CN"/>
              </w:rPr>
              <w:t>、种子生产经营许可证申请表</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变更情况说明</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内资企业基本信息登记表</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企业营业执照</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有效期内的所有生产经营许可证</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办公场所自有产权证明材料明复印件（包括租赁合同）及办公场所照片</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自有品种证明材料（品种审定证书复印件、品种权证书复印件、独家授权书复印件）</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8、</w:t>
            </w:r>
            <w:r>
              <w:rPr>
                <w:rFonts w:hint="eastAsia" w:asciiTheme="minorEastAsia" w:hAnsiTheme="minorEastAsia" w:eastAsiaTheme="minorEastAsia" w:cstheme="minorEastAsia"/>
                <w:color w:val="auto"/>
                <w:sz w:val="21"/>
                <w:szCs w:val="21"/>
              </w:rPr>
              <w:t>种子生产、加工贮藏、检验专业技术人员的基本情况</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9、</w:t>
            </w:r>
            <w:r>
              <w:rPr>
                <w:rFonts w:hint="eastAsia" w:asciiTheme="minorEastAsia" w:hAnsiTheme="minorEastAsia" w:eastAsiaTheme="minorEastAsia" w:cstheme="minorEastAsia"/>
                <w:color w:val="auto"/>
                <w:sz w:val="21"/>
                <w:szCs w:val="21"/>
              </w:rPr>
              <w:t>种子检验室、加工厂房、仓库的自有产权或自有资产的说明材料；种子检验、加工设备清单和购置发票复印件；及设施设备的情况说明和实景照片</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10、</w:t>
            </w:r>
            <w:r>
              <w:rPr>
                <w:rFonts w:hint="eastAsia" w:asciiTheme="minorEastAsia" w:hAnsiTheme="minorEastAsia" w:eastAsiaTheme="minorEastAsia" w:cstheme="minorEastAsia"/>
                <w:color w:val="auto"/>
                <w:sz w:val="21"/>
                <w:szCs w:val="21"/>
              </w:rPr>
              <w:t>品种审定证书复印件；生产经营授权品种种子的，提交植物新品种权证书复印件及品种权人的书面同意证明</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w:t>
            </w:r>
            <w:r>
              <w:rPr>
                <w:rFonts w:hint="eastAsia" w:asciiTheme="minorEastAsia" w:hAnsiTheme="minorEastAsia" w:eastAsiaTheme="minorEastAsia" w:cstheme="minorEastAsia"/>
                <w:color w:val="auto"/>
                <w:sz w:val="21"/>
                <w:szCs w:val="21"/>
              </w:rPr>
              <w:t>委托种子生产合同复印件或自行组织种子生产的情况说明和证明材料</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种子生产地点检疫情况说明</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13、</w:t>
            </w:r>
            <w:r>
              <w:rPr>
                <w:rFonts w:hint="eastAsia" w:asciiTheme="minorEastAsia" w:hAnsiTheme="minorEastAsia" w:eastAsiaTheme="minorEastAsia" w:cstheme="minorEastAsia"/>
                <w:color w:val="auto"/>
                <w:sz w:val="21"/>
                <w:szCs w:val="21"/>
              </w:rPr>
              <w:t>种子生产的隔离和培育条件</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14、</w:t>
            </w:r>
            <w:r>
              <w:rPr>
                <w:rFonts w:hint="eastAsia" w:asciiTheme="minorEastAsia" w:hAnsiTheme="minorEastAsia" w:eastAsiaTheme="minorEastAsia" w:cstheme="minorEastAsia"/>
                <w:color w:val="auto"/>
                <w:sz w:val="21"/>
                <w:szCs w:val="21"/>
              </w:rPr>
              <w:t>书面承诺（副证变更还要有：申请生产品种列表）</w:t>
            </w: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微软雅黑" w:hAnsi="微软雅黑" w:eastAsia="微软雅黑" w:cs="微软雅黑"/>
                <w:color w:val="3D4B64"/>
                <w:sz w:val="19"/>
                <w:szCs w:val="19"/>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微软雅黑" w:hAnsi="微软雅黑" w:eastAsia="微软雅黑" w:cs="微软雅黑"/>
                <w:color w:val="3D4B64"/>
                <w:sz w:val="19"/>
                <w:szCs w:val="19"/>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firstLine="0" w:firstLineChars="0"/>
              <w:jc w:val="both"/>
              <w:textAlignment w:val="auto"/>
              <w:outlineLvl w:val="9"/>
              <w:rPr>
                <w:rFonts w:hint="eastAsia" w:ascii="微软雅黑" w:hAnsi="微软雅黑" w:eastAsia="微软雅黑" w:cs="微软雅黑"/>
                <w:color w:val="3D4B64"/>
                <w:sz w:val="19"/>
                <w:szCs w:val="19"/>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hint="eastAsia" w:ascii="微软雅黑" w:hAnsi="微软雅黑" w:eastAsia="微软雅黑" w:cs="微软雅黑"/>
                <w:color w:val="3D4B64"/>
                <w:kern w:val="0"/>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Style w:val="26"/>
                <w:rFonts w:hint="eastAsia" w:ascii="微软雅黑" w:hAnsi="微软雅黑" w:eastAsia="微软雅黑" w:cs="微软雅黑"/>
                <w:color w:val="3D4B64"/>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Fonts w:ascii="微软雅黑" w:hAnsi="微软雅黑" w:eastAsia="微软雅黑" w:cs="微软雅黑"/>
                <w:color w:val="3D4B64"/>
                <w:sz w:val="19"/>
                <w:szCs w:val="19"/>
              </w:rPr>
            </w:pPr>
            <w:r>
              <w:rPr>
                <w:rFonts w:hint="eastAsia" w:ascii="微软雅黑" w:hAnsi="微软雅黑" w:eastAsia="微软雅黑" w:cs="微软雅黑"/>
                <w:color w:val="3D4B64"/>
                <w:kern w:val="0"/>
                <w:sz w:val="19"/>
                <w:szCs w:val="19"/>
                <w:shd w:val="clear" w:fill="F7F7F7"/>
                <w:lang w:val="en-US" w:eastAsia="zh-CN" w:bidi="ar"/>
              </w:rPr>
              <w:t>近三年种子生产地点、面积和基地联系人等情况说明和证明材料（申请领取选育生产经营相结合、有效区域为全国的种子生产经营许可证，还应当提交）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Style w:val="26"/>
                <w:rFonts w:hint="eastAsia" w:ascii="微软雅黑" w:hAnsi="微软雅黑" w:eastAsia="微软雅黑" w:cs="微软雅黑"/>
                <w:color w:val="3D4B64"/>
                <w:sz w:val="19"/>
                <w:szCs w:val="19"/>
                <w:shd w:val="clear" w:fill="F7F7F7"/>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spacing w:before="150" w:beforeAutospacing="0" w:after="150" w:afterAutospacing="0" w:line="390" w:lineRule="atLeast"/>
              <w:ind w:left="0" w:right="0"/>
              <w:jc w:val="left"/>
              <w:rPr>
                <w:rStyle w:val="26"/>
                <w:rFonts w:hint="eastAsia" w:ascii="微软雅黑" w:hAnsi="微软雅黑" w:eastAsia="微软雅黑" w:cs="微软雅黑"/>
                <w:color w:val="3D4B64"/>
                <w:sz w:val="19"/>
                <w:szCs w:val="19"/>
                <w:shd w:val="clear" w:fill="F7F7F7"/>
                <w:lang w:val="en-US" w:eastAsia="zh-CN" w:bidi="ar"/>
              </w:rPr>
            </w:pPr>
          </w:p>
          <w:p>
            <w:pPr>
              <w:spacing w:line="240" w:lineRule="auto"/>
              <w:ind w:firstLine="0" w:firstLineChars="0"/>
              <w:jc w:val="both"/>
              <w:rPr>
                <w:rFonts w:hint="eastAsia" w:ascii="微软雅黑" w:hAnsi="微软雅黑" w:eastAsia="微软雅黑" w:cs="微软雅黑"/>
                <w:color w:val="3D4B64"/>
                <w:sz w:val="19"/>
                <w:szCs w:val="19"/>
                <w:lang w:val="en-US" w:eastAsia="zh-CN"/>
              </w:rPr>
            </w:pPr>
          </w:p>
          <w:p>
            <w:pPr>
              <w:spacing w:line="240" w:lineRule="auto"/>
              <w:ind w:firstLine="0" w:firstLineChars="0"/>
              <w:jc w:val="both"/>
              <w:rPr>
                <w:rFonts w:ascii="宋体" w:cs="宋体"/>
                <w:sz w:val="21"/>
                <w:szCs w:val="21"/>
              </w:rPr>
            </w:pPr>
          </w:p>
          <w:p>
            <w:pPr>
              <w:spacing w:line="489" w:lineRule="atLeast"/>
              <w:ind w:firstLine="0" w:firstLineChars="0"/>
              <w:rPr>
                <w:rFonts w:ascii="宋体" w:cs="宋体"/>
                <w:sz w:val="21"/>
                <w:szCs w:val="21"/>
              </w:rPr>
            </w:pPr>
          </w:p>
          <w:p>
            <w:pPr>
              <w:spacing w:line="246" w:lineRule="atLeast"/>
              <w:ind w:firstLine="420"/>
              <w:rPr>
                <w:rFonts w:ascii="宋体" w:cs="宋体"/>
                <w:color w:val="000000"/>
                <w:sz w:val="21"/>
                <w:szCs w:val="21"/>
              </w:rPr>
            </w:pPr>
          </w:p>
          <w:p>
            <w:pPr>
              <w:spacing w:line="246" w:lineRule="atLeast"/>
              <w:ind w:firstLine="420"/>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78" w:hRule="exact"/>
        </w:trPr>
        <w:tc>
          <w:tcPr>
            <w:tcW w:w="1133" w:type="dxa"/>
            <w:vMerge w:val="continue"/>
            <w:tcBorders>
              <w:right w:val="single" w:color="auto" w:sz="4" w:space="0"/>
            </w:tcBorders>
            <w:vAlign w:val="center"/>
          </w:tcPr>
          <w:p>
            <w:pPr>
              <w:ind w:firstLine="420"/>
              <w:rPr>
                <w:rFonts w:ascii="宋体" w:cs="宋体"/>
                <w:sz w:val="21"/>
                <w:szCs w:val="21"/>
              </w:rPr>
            </w:pPr>
          </w:p>
        </w:tc>
        <w:tc>
          <w:tcPr>
            <w:tcW w:w="1133" w:type="dxa"/>
            <w:vMerge w:val="continue"/>
            <w:tcBorders>
              <w:left w:val="single" w:color="auto" w:sz="4" w:space="0"/>
            </w:tcBorders>
            <w:vAlign w:val="center"/>
          </w:tcPr>
          <w:p>
            <w:pPr>
              <w:ind w:firstLine="420"/>
              <w:rPr>
                <w:rFonts w:ascii="宋体" w:cs="宋体"/>
                <w:sz w:val="21"/>
                <w:szCs w:val="21"/>
              </w:rPr>
            </w:pP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属于职责范围内的，资料齐全的</w:t>
            </w:r>
            <w:r>
              <w:rPr>
                <w:rFonts w:hint="eastAsia" w:ascii="宋体" w:hAnsi="宋体" w:cs="宋体"/>
                <w:color w:val="000000"/>
                <w:sz w:val="21"/>
                <w:szCs w:val="21"/>
                <w:lang w:eastAsia="zh-CN"/>
              </w:rPr>
              <w:t>在规定时限内</w:t>
            </w:r>
            <w:r>
              <w:rPr>
                <w:rFonts w:hint="eastAsia" w:ascii="宋体" w:hAnsi="宋体" w:cs="宋体"/>
                <w:color w:val="000000"/>
                <w:sz w:val="21"/>
                <w:szCs w:val="21"/>
              </w:rPr>
              <w:t>受理，向申请人发放受理通知书，提交审批股审核。资料不齐全、不正确的，资料能当场修改的，指导申请人当场修改，不能当场修改的，向申请人发放补正通知书。不属于本窗口业务范围或该申请不需要取得行政许可的，不予受理，并文字告知不予受理的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9" w:hRule="exact"/>
        </w:trPr>
        <w:tc>
          <w:tcPr>
            <w:tcW w:w="1133" w:type="dxa"/>
            <w:vMerge w:val="continue"/>
            <w:tcBorders>
              <w:right w:val="single" w:color="auto" w:sz="4" w:space="0"/>
            </w:tcBorders>
            <w:vAlign w:val="center"/>
          </w:tcPr>
          <w:p>
            <w:pPr>
              <w:ind w:firstLine="420"/>
              <w:rPr>
                <w:rFonts w:ascii="宋体" w:cs="宋体"/>
                <w:sz w:val="21"/>
                <w:szCs w:val="21"/>
              </w:rPr>
            </w:pPr>
          </w:p>
        </w:tc>
        <w:tc>
          <w:tcPr>
            <w:tcW w:w="1133" w:type="dxa"/>
            <w:vMerge w:val="restart"/>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审查</w:t>
            </w: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时限：</w:t>
            </w:r>
            <w:r>
              <w:rPr>
                <w:rFonts w:ascii="宋体" w:hAnsi="宋体" w:cs="宋体"/>
                <w:color w:val="000000"/>
                <w:sz w:val="21"/>
                <w:szCs w:val="21"/>
              </w:rPr>
              <w:t xml:space="preserve"> </w:t>
            </w:r>
            <w:r>
              <w:rPr>
                <w:rFonts w:hint="eastAsia" w:ascii="宋体" w:hAnsi="宋体" w:cs="宋体"/>
                <w:color w:val="000000"/>
                <w:sz w:val="21"/>
                <w:szCs w:val="21"/>
                <w:lang w:val="en-US" w:eastAsia="zh-CN"/>
              </w:rPr>
              <w:t>12</w:t>
            </w:r>
            <w:r>
              <w:rPr>
                <w:rFonts w:hint="eastAsia" w:ascii="宋体" w:hAnsi="宋体" w:cs="宋体"/>
                <w:color w:val="000000"/>
                <w:sz w:val="21"/>
                <w:szCs w:val="21"/>
              </w:rPr>
              <w:t>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0" w:hRule="exact"/>
        </w:trPr>
        <w:tc>
          <w:tcPr>
            <w:tcW w:w="1133" w:type="dxa"/>
            <w:vMerge w:val="continue"/>
            <w:tcBorders>
              <w:right w:val="single" w:color="auto" w:sz="4" w:space="0"/>
            </w:tcBorders>
            <w:vAlign w:val="center"/>
          </w:tcPr>
          <w:p>
            <w:pPr>
              <w:ind w:firstLine="420"/>
              <w:rPr>
                <w:rFonts w:ascii="宋体" w:cs="宋体"/>
                <w:sz w:val="21"/>
                <w:szCs w:val="21"/>
              </w:rPr>
            </w:pPr>
          </w:p>
        </w:tc>
        <w:tc>
          <w:tcPr>
            <w:tcW w:w="1133" w:type="dxa"/>
            <w:vMerge w:val="continue"/>
            <w:vAlign w:val="center"/>
          </w:tcPr>
          <w:p>
            <w:pPr>
              <w:ind w:firstLine="420"/>
              <w:rPr>
                <w:rFonts w:ascii="宋体" w:cs="宋体"/>
                <w:sz w:val="21"/>
                <w:szCs w:val="21"/>
              </w:rPr>
            </w:pPr>
          </w:p>
        </w:tc>
        <w:tc>
          <w:tcPr>
            <w:tcW w:w="6803" w:type="dxa"/>
            <w:gridSpan w:val="3"/>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审</w:t>
            </w:r>
            <w:r>
              <w:rPr>
                <w:rFonts w:hint="eastAsia" w:ascii="宋体" w:hAnsi="宋体" w:cs="宋体"/>
                <w:color w:val="000000"/>
                <w:sz w:val="21"/>
                <w:szCs w:val="21"/>
                <w:lang w:eastAsia="zh-CN"/>
              </w:rPr>
              <w:t>查</w:t>
            </w:r>
            <w:r>
              <w:rPr>
                <w:rFonts w:hint="eastAsia" w:ascii="宋体" w:hAnsi="宋体" w:cs="宋体"/>
                <w:color w:val="000000"/>
                <w:sz w:val="21"/>
                <w:szCs w:val="21"/>
              </w:rPr>
              <w:t>人员结合申请人提交的全部资料，在</w:t>
            </w:r>
            <w:r>
              <w:rPr>
                <w:rFonts w:ascii="宋体" w:hAnsi="宋体" w:cs="宋体"/>
                <w:color w:val="000000"/>
                <w:sz w:val="21"/>
                <w:szCs w:val="21"/>
              </w:rPr>
              <w:t xml:space="preserve"> </w:t>
            </w:r>
            <w:r>
              <w:rPr>
                <w:rFonts w:hint="eastAsia" w:ascii="宋体" w:hAnsi="宋体" w:cs="宋体"/>
                <w:color w:val="000000"/>
                <w:sz w:val="21"/>
                <w:szCs w:val="21"/>
                <w:lang w:val="en-US" w:eastAsia="zh-CN"/>
              </w:rPr>
              <w:t>12</w:t>
            </w:r>
            <w:r>
              <w:rPr>
                <w:rFonts w:hint="eastAsia" w:ascii="宋体" w:hAnsi="宋体" w:cs="宋体"/>
                <w:color w:val="000000"/>
                <w:sz w:val="21"/>
                <w:szCs w:val="21"/>
              </w:rPr>
              <w:t>个工作日内做出</w:t>
            </w:r>
            <w:r>
              <w:rPr>
                <w:rFonts w:hint="eastAsia" w:ascii="宋体" w:hAnsi="宋体" w:cs="宋体"/>
                <w:color w:val="000000"/>
                <w:sz w:val="21"/>
                <w:szCs w:val="21"/>
                <w:lang w:eastAsia="zh-CN"/>
              </w:rPr>
              <w:t>审查意见</w:t>
            </w:r>
            <w:r>
              <w:rPr>
                <w:rFonts w:hint="eastAsia" w:ascii="宋体" w:hAnsi="宋体" w:cs="宋体"/>
                <w:color w:val="000000"/>
                <w:sz w:val="21"/>
                <w:szCs w:val="21"/>
              </w:rPr>
              <w:t>。报审批人员。对不符合行政许可的，出具不予行政许可意见书，说明理由。</w:t>
            </w:r>
          </w:p>
          <w:p>
            <w:pPr>
              <w:pStyle w:val="21"/>
              <w:spacing w:line="277" w:lineRule="atLeast"/>
              <w:textAlignment w:val="center"/>
              <w:rPr>
                <w:rFonts w:ascii="宋体" w:cs="宋体"/>
                <w:color w:val="000000"/>
                <w:sz w:val="21"/>
                <w:szCs w:val="21"/>
              </w:rPr>
            </w:pPr>
          </w:p>
          <w:p>
            <w:pPr>
              <w:pStyle w:val="21"/>
              <w:spacing w:line="277" w:lineRule="atLeast"/>
              <w:textAlignment w:val="center"/>
              <w:rPr>
                <w:rFonts w:ascii="宋体" w:cs="宋体"/>
                <w:color w:val="000000"/>
                <w:sz w:val="21"/>
                <w:szCs w:val="21"/>
              </w:rPr>
            </w:pPr>
          </w:p>
          <w:p>
            <w:pPr>
              <w:pStyle w:val="21"/>
              <w:spacing w:line="277" w:lineRule="atLeast"/>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1" w:hRule="exact"/>
        </w:trPr>
        <w:tc>
          <w:tcPr>
            <w:tcW w:w="1133" w:type="dxa"/>
            <w:vMerge w:val="continue"/>
            <w:tcBorders>
              <w:right w:val="single" w:color="auto" w:sz="4" w:space="0"/>
            </w:tcBorders>
            <w:vAlign w:val="center"/>
          </w:tcPr>
          <w:p>
            <w:pPr>
              <w:ind w:firstLine="420"/>
              <w:rPr>
                <w:rFonts w:ascii="宋体" w:cs="宋体"/>
                <w:sz w:val="21"/>
                <w:szCs w:val="21"/>
              </w:rPr>
            </w:pPr>
          </w:p>
        </w:tc>
        <w:tc>
          <w:tcPr>
            <w:tcW w:w="1133" w:type="dxa"/>
            <w:vMerge w:val="restart"/>
            <w:vAlign w:val="center"/>
          </w:tcPr>
          <w:p>
            <w:pPr>
              <w:pStyle w:val="21"/>
              <w:spacing w:line="277" w:lineRule="atLeast"/>
              <w:jc w:val="center"/>
              <w:textAlignment w:val="center"/>
              <w:rPr>
                <w:rFonts w:hint="eastAsia" w:ascii="宋体" w:eastAsia="宋体" w:cs="宋体"/>
                <w:color w:val="000000"/>
                <w:sz w:val="21"/>
                <w:szCs w:val="21"/>
                <w:lang w:eastAsia="zh-CN"/>
              </w:rPr>
            </w:pPr>
            <w:r>
              <w:rPr>
                <w:rFonts w:hint="eastAsia" w:ascii="宋体" w:hAnsi="宋体" w:cs="宋体"/>
                <w:color w:val="000000"/>
                <w:sz w:val="21"/>
                <w:szCs w:val="21"/>
                <w:lang w:eastAsia="zh-CN"/>
              </w:rPr>
              <w:t>决定</w:t>
            </w:r>
          </w:p>
        </w:tc>
        <w:tc>
          <w:tcPr>
            <w:tcW w:w="6803" w:type="dxa"/>
            <w:gridSpan w:val="3"/>
            <w:tcBorders>
              <w:bottom w:val="single" w:color="auto" w:sz="4" w:space="0"/>
            </w:tcBorders>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时限：</w:t>
            </w:r>
            <w:r>
              <w:rPr>
                <w:rFonts w:hint="eastAsia" w:ascii="宋体" w:hAnsi="宋体" w:cs="宋体"/>
                <w:color w:val="000000"/>
                <w:sz w:val="21"/>
                <w:szCs w:val="21"/>
                <w:lang w:val="en-US" w:eastAsia="zh-CN"/>
              </w:rPr>
              <w:t>3</w:t>
            </w:r>
            <w:r>
              <w:rPr>
                <w:rFonts w:hint="eastAsia" w:ascii="宋体" w:hAnsi="宋体" w:cs="宋体"/>
                <w:color w:val="000000"/>
                <w:sz w:val="21"/>
                <w:szCs w:val="21"/>
              </w:rPr>
              <w:t>个工作日</w:t>
            </w:r>
          </w:p>
          <w:p>
            <w:pPr>
              <w:pStyle w:val="21"/>
              <w:spacing w:line="277" w:lineRule="atLeast"/>
              <w:textAlignment w:val="center"/>
              <w:rPr>
                <w:rFonts w:ascii="宋体" w:cs="宋体"/>
                <w:color w:val="000000"/>
                <w:sz w:val="21"/>
                <w:szCs w:val="21"/>
              </w:rPr>
            </w:pPr>
          </w:p>
          <w:p>
            <w:pPr>
              <w:pStyle w:val="21"/>
              <w:spacing w:line="277" w:lineRule="atLeast"/>
              <w:textAlignment w:val="center"/>
              <w:rPr>
                <w:rFonts w:ascii="宋体" w:cs="宋体"/>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8" w:hRule="exact"/>
        </w:trPr>
        <w:tc>
          <w:tcPr>
            <w:tcW w:w="1133" w:type="dxa"/>
            <w:vMerge w:val="continue"/>
            <w:tcBorders>
              <w:right w:val="single" w:color="auto" w:sz="4" w:space="0"/>
            </w:tcBorders>
            <w:vAlign w:val="center"/>
          </w:tcPr>
          <w:p>
            <w:pPr>
              <w:ind w:firstLine="420"/>
              <w:rPr>
                <w:rFonts w:ascii="宋体" w:cs="宋体"/>
                <w:sz w:val="21"/>
                <w:szCs w:val="21"/>
              </w:rPr>
            </w:pPr>
          </w:p>
        </w:tc>
        <w:tc>
          <w:tcPr>
            <w:tcW w:w="1133" w:type="dxa"/>
            <w:vMerge w:val="continue"/>
            <w:vAlign w:val="center"/>
          </w:tcPr>
          <w:p>
            <w:pPr>
              <w:pStyle w:val="21"/>
              <w:spacing w:line="277" w:lineRule="atLeast"/>
              <w:jc w:val="center"/>
              <w:textAlignment w:val="center"/>
              <w:rPr>
                <w:rFonts w:ascii="宋体" w:cs="宋体"/>
                <w:color w:val="000000"/>
                <w:sz w:val="21"/>
                <w:szCs w:val="21"/>
              </w:rPr>
            </w:pPr>
          </w:p>
        </w:tc>
        <w:tc>
          <w:tcPr>
            <w:tcW w:w="6803" w:type="dxa"/>
            <w:gridSpan w:val="3"/>
            <w:tcBorders>
              <w:top w:val="single" w:color="auto" w:sz="4" w:space="0"/>
            </w:tcBorders>
            <w:vAlign w:val="center"/>
          </w:tcPr>
          <w:p>
            <w:pPr>
              <w:pStyle w:val="21"/>
              <w:spacing w:line="277" w:lineRule="atLeast"/>
              <w:textAlignment w:val="center"/>
              <w:rPr>
                <w:rFonts w:ascii="宋体" w:cs="宋体"/>
                <w:color w:val="000000"/>
                <w:sz w:val="21"/>
                <w:szCs w:val="21"/>
              </w:rPr>
            </w:pPr>
            <w:r>
              <w:rPr>
                <w:rFonts w:hint="eastAsia" w:ascii="宋体" w:hAnsi="宋体" w:cs="宋体"/>
                <w:color w:val="000000"/>
                <w:sz w:val="21"/>
                <w:szCs w:val="21"/>
              </w:rPr>
              <w:t>根据审</w:t>
            </w:r>
            <w:r>
              <w:rPr>
                <w:rFonts w:hint="eastAsia" w:ascii="宋体" w:hAnsi="宋体" w:cs="宋体"/>
                <w:color w:val="000000"/>
                <w:sz w:val="21"/>
                <w:szCs w:val="21"/>
                <w:lang w:eastAsia="zh-CN"/>
              </w:rPr>
              <w:t>查</w:t>
            </w:r>
            <w:r>
              <w:rPr>
                <w:rFonts w:hint="eastAsia" w:ascii="宋体" w:hAnsi="宋体" w:cs="宋体"/>
                <w:color w:val="000000"/>
                <w:sz w:val="21"/>
                <w:szCs w:val="21"/>
              </w:rPr>
              <w:t>人员提交的材料，符合要求的，批准予以行政许可。对不符合要求的，出具不予行政许可意见书，说明理由。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0" w:hRule="exact"/>
        </w:trPr>
        <w:tc>
          <w:tcPr>
            <w:tcW w:w="2266" w:type="dxa"/>
            <w:gridSpan w:val="2"/>
            <w:vAlign w:val="center"/>
          </w:tcPr>
          <w:p>
            <w:pPr>
              <w:pStyle w:val="21"/>
              <w:spacing w:line="277" w:lineRule="atLeast"/>
              <w:jc w:val="center"/>
              <w:textAlignment w:val="center"/>
              <w:rPr>
                <w:rFonts w:ascii="宋体" w:cs="宋体"/>
                <w:color w:val="000000"/>
                <w:sz w:val="21"/>
                <w:szCs w:val="21"/>
              </w:rPr>
            </w:pPr>
            <w:r>
              <w:rPr>
                <w:rFonts w:hint="eastAsia" w:ascii="宋体" w:hAnsi="宋体" w:cs="宋体"/>
                <w:color w:val="000000"/>
                <w:sz w:val="21"/>
                <w:szCs w:val="21"/>
              </w:rPr>
              <w:t>审批监管对接</w:t>
            </w:r>
          </w:p>
        </w:tc>
        <w:tc>
          <w:tcPr>
            <w:tcW w:w="6803" w:type="dxa"/>
            <w:gridSpan w:val="3"/>
            <w:vAlign w:val="center"/>
          </w:tcPr>
          <w:p>
            <w:pPr>
              <w:pStyle w:val="21"/>
              <w:spacing w:line="277" w:lineRule="atLeast"/>
              <w:textAlignment w:val="center"/>
              <w:rPr>
                <w:rFonts w:hint="eastAsia" w:ascii="宋体" w:eastAsia="宋体" w:cs="宋体"/>
                <w:color w:val="000000"/>
                <w:sz w:val="21"/>
                <w:szCs w:val="21"/>
                <w:lang w:eastAsia="zh-CN"/>
              </w:rPr>
            </w:pPr>
            <w:r>
              <w:rPr>
                <w:rFonts w:hint="eastAsia" w:ascii="宋体" w:hAnsi="宋体" w:cs="宋体"/>
                <w:color w:val="000000"/>
                <w:sz w:val="21"/>
                <w:szCs w:val="21"/>
              </w:rPr>
              <w:t>对已经办理的行政许可事项，审批股负责以电子邮件或纸质函形式通知监管单位，负责事中事后监管。办结后</w:t>
            </w:r>
            <w:r>
              <w:rPr>
                <w:rFonts w:hint="eastAsia" w:asciiTheme="minorEastAsia" w:hAnsiTheme="minorEastAsia" w:eastAsiaTheme="minorEastAsia" w:cstheme="minorEastAsia"/>
                <w:color w:val="000000"/>
                <w:sz w:val="21"/>
                <w:szCs w:val="21"/>
              </w:rPr>
              <w:t>1</w:t>
            </w:r>
            <w:r>
              <w:rPr>
                <w:rFonts w:hint="eastAsia" w:asciiTheme="minorEastAsia" w:hAnsi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w:t>
            </w:r>
            <w:r>
              <w:rPr>
                <w:rFonts w:hint="eastAsia" w:ascii="宋体" w:hAnsi="宋体" w:cs="宋体"/>
                <w:color w:val="000000"/>
                <w:sz w:val="21"/>
                <w:szCs w:val="21"/>
              </w:rPr>
              <w:t>内</w:t>
            </w:r>
            <w:r>
              <w:rPr>
                <w:rFonts w:hint="eastAsia" w:ascii="宋体" w:hAnsi="宋体" w:cs="宋体"/>
                <w:color w:val="000000"/>
                <w:sz w:val="21"/>
                <w:szCs w:val="21"/>
                <w:lang w:eastAsia="zh-CN"/>
              </w:rPr>
              <w:t>。</w:t>
            </w:r>
          </w:p>
          <w:p>
            <w:pPr>
              <w:pStyle w:val="21"/>
              <w:spacing w:line="277" w:lineRule="atLeast"/>
              <w:textAlignment w:val="center"/>
              <w:rPr>
                <w:rFonts w:ascii="宋体" w:cs="宋体"/>
                <w:color w:val="000000"/>
                <w:sz w:val="21"/>
                <w:szCs w:val="21"/>
              </w:rPr>
            </w:pPr>
          </w:p>
        </w:tc>
      </w:tr>
    </w:tbl>
    <w:p>
      <w:pPr>
        <w:ind w:firstLine="400"/>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rPr>
        <w:rFonts w:hint="eastAsia" w:eastAsia="宋体"/>
        <w:lang w:val="en-US" w:eastAsia="zh-CN"/>
      </w:rPr>
    </w:pPr>
    <w:r>
      <w:t xml:space="preserve">                                            </w:t>
    </w:r>
    <w:r>
      <w:rPr>
        <w:rFonts w:hint="eastAsia"/>
        <w:lang w:val="en-US" w:eastAsia="zh-CN"/>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F3404A"/>
    <w:multiLevelType w:val="singleLevel"/>
    <w:tmpl w:val="B5F3404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5D9A"/>
    <w:rsid w:val="00101043"/>
    <w:rsid w:val="00225E43"/>
    <w:rsid w:val="00410F28"/>
    <w:rsid w:val="005F214C"/>
    <w:rsid w:val="006934C9"/>
    <w:rsid w:val="00890ED3"/>
    <w:rsid w:val="008A5D9A"/>
    <w:rsid w:val="008F3A37"/>
    <w:rsid w:val="00C66E52"/>
    <w:rsid w:val="00CA35E7"/>
    <w:rsid w:val="00D15266"/>
    <w:rsid w:val="00ED7922"/>
    <w:rsid w:val="00EF6366"/>
    <w:rsid w:val="00FC08BA"/>
    <w:rsid w:val="021501AA"/>
    <w:rsid w:val="02965047"/>
    <w:rsid w:val="047B46C1"/>
    <w:rsid w:val="05661634"/>
    <w:rsid w:val="0A1C3423"/>
    <w:rsid w:val="10A27ECA"/>
    <w:rsid w:val="10DF0380"/>
    <w:rsid w:val="118F495B"/>
    <w:rsid w:val="15155916"/>
    <w:rsid w:val="1518699A"/>
    <w:rsid w:val="173A2B99"/>
    <w:rsid w:val="1DB616A6"/>
    <w:rsid w:val="1DC5132C"/>
    <w:rsid w:val="1E29564A"/>
    <w:rsid w:val="20B625F7"/>
    <w:rsid w:val="21505DA0"/>
    <w:rsid w:val="2506300D"/>
    <w:rsid w:val="26E155A4"/>
    <w:rsid w:val="2852067E"/>
    <w:rsid w:val="2CBC49E9"/>
    <w:rsid w:val="2F594CDD"/>
    <w:rsid w:val="305A095A"/>
    <w:rsid w:val="30A10425"/>
    <w:rsid w:val="35BD759B"/>
    <w:rsid w:val="361E14FC"/>
    <w:rsid w:val="36693B02"/>
    <w:rsid w:val="366B1B86"/>
    <w:rsid w:val="3BCD672C"/>
    <w:rsid w:val="509E54A5"/>
    <w:rsid w:val="50F20540"/>
    <w:rsid w:val="53275724"/>
    <w:rsid w:val="53B70E3B"/>
    <w:rsid w:val="540231BD"/>
    <w:rsid w:val="56292959"/>
    <w:rsid w:val="57562FBE"/>
    <w:rsid w:val="5A404FA0"/>
    <w:rsid w:val="64D02C17"/>
    <w:rsid w:val="653660E9"/>
    <w:rsid w:val="66455A90"/>
    <w:rsid w:val="6D836614"/>
    <w:rsid w:val="722A35EE"/>
    <w:rsid w:val="722C0129"/>
    <w:rsid w:val="72314306"/>
    <w:rsid w:val="79F732E5"/>
    <w:rsid w:val="7A3D6B21"/>
    <w:rsid w:val="7A4F191E"/>
    <w:rsid w:val="7FF1700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qFormat="1" w:uiPriority="99" w:name="HTML Acronym"/>
    <w:lsdException w:uiPriority="99" w:name="HTML Address"/>
    <w:lsdException w:uiPriority="99" w:name="HTML Cite"/>
    <w:lsdException w:uiPriority="99" w:name="HTML Code"/>
    <w:lsdException w:qFormat="1" w:uiPriority="99" w:name="HTML Definition"/>
    <w:lsdException w:uiPriority="99" w:name="HTML Keyboard"/>
    <w:lsdException w:uiPriority="99" w:name="HTML Preformatted"/>
    <w:lsdException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kern w:val="0"/>
      <w:sz w:val="20"/>
      <w:szCs w:val="20"/>
      <w:lang w:val="en-US" w:eastAsia="zh-CN" w:bidi="ar-SA"/>
    </w:rPr>
  </w:style>
  <w:style w:type="character" w:default="1" w:styleId="5">
    <w:name w:val="Default Paragraph Font"/>
    <w:semiHidden/>
    <w:qFormat/>
    <w:uiPriority w:val="99"/>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9"/>
    <w:qFormat/>
    <w:uiPriority w:val="99"/>
    <w:pPr>
      <w:tabs>
        <w:tab w:val="center" w:pos="4153"/>
        <w:tab w:val="right" w:pos="8306"/>
      </w:tabs>
      <w:snapToGrid w:val="0"/>
    </w:pPr>
    <w:rPr>
      <w:sz w:val="18"/>
    </w:rPr>
  </w:style>
  <w:style w:type="paragraph" w:styleId="3">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4">
    <w:name w:val="Normal (Web)"/>
    <w:basedOn w:val="1"/>
    <w:qFormat/>
    <w:uiPriority w:val="99"/>
    <w:pPr>
      <w:spacing w:before="100" w:beforeAutospacing="1" w:after="100" w:afterAutospacing="1"/>
    </w:pPr>
    <w:rPr>
      <w:sz w:val="24"/>
    </w:rPr>
  </w:style>
  <w:style w:type="character" w:styleId="6">
    <w:name w:val="Strong"/>
    <w:basedOn w:val="5"/>
    <w:qFormat/>
    <w:locked/>
    <w:uiPriority w:val="0"/>
    <w:rPr>
      <w:b/>
    </w:rPr>
  </w:style>
  <w:style w:type="character" w:styleId="7">
    <w:name w:val="FollowedHyperlink"/>
    <w:basedOn w:val="5"/>
    <w:semiHidden/>
    <w:unhideWhenUsed/>
    <w:qFormat/>
    <w:uiPriority w:val="99"/>
    <w:rPr>
      <w:color w:val="800080"/>
      <w:u w:val="none"/>
    </w:rPr>
  </w:style>
  <w:style w:type="character" w:styleId="8">
    <w:name w:val="Emphasis"/>
    <w:basedOn w:val="5"/>
    <w:qFormat/>
    <w:locked/>
    <w:uiPriority w:val="0"/>
    <w:rPr>
      <w:b/>
    </w:rPr>
  </w:style>
  <w:style w:type="character" w:styleId="9">
    <w:name w:val="HTML Definition"/>
    <w:basedOn w:val="5"/>
    <w:semiHidden/>
    <w:unhideWhenUsed/>
    <w:qFormat/>
    <w:uiPriority w:val="99"/>
  </w:style>
  <w:style w:type="character" w:styleId="10">
    <w:name w:val="HTML Typewriter"/>
    <w:basedOn w:val="5"/>
    <w:semiHidden/>
    <w:unhideWhenUsed/>
    <w:qFormat/>
    <w:uiPriority w:val="99"/>
    <w:rPr>
      <w:rFonts w:ascii="monospace" w:hAnsi="monospace" w:eastAsia="monospace" w:cs="monospace"/>
      <w:sz w:val="20"/>
    </w:rPr>
  </w:style>
  <w:style w:type="character" w:styleId="11">
    <w:name w:val="HTML Acronym"/>
    <w:basedOn w:val="5"/>
    <w:semiHidden/>
    <w:unhideWhenUsed/>
    <w:qFormat/>
    <w:uiPriority w:val="99"/>
  </w:style>
  <w:style w:type="character" w:styleId="12">
    <w:name w:val="HTML Variable"/>
    <w:basedOn w:val="5"/>
    <w:semiHidden/>
    <w:unhideWhenUsed/>
    <w:qFormat/>
    <w:uiPriority w:val="99"/>
  </w:style>
  <w:style w:type="character" w:styleId="13">
    <w:name w:val="Hyperlink"/>
    <w:basedOn w:val="5"/>
    <w:qFormat/>
    <w:uiPriority w:val="99"/>
    <w:rPr>
      <w:rFonts w:cs="Times New Roman"/>
      <w:color w:val="0000FF"/>
      <w:u w:val="single"/>
    </w:rPr>
  </w:style>
  <w:style w:type="character" w:styleId="14">
    <w:name w:val="HTML Code"/>
    <w:basedOn w:val="5"/>
    <w:semiHidden/>
    <w:unhideWhenUsed/>
    <w:uiPriority w:val="99"/>
    <w:rPr>
      <w:rFonts w:hint="default" w:ascii="monospace" w:hAnsi="monospace" w:eastAsia="monospace" w:cs="monospace"/>
      <w:sz w:val="20"/>
    </w:rPr>
  </w:style>
  <w:style w:type="character" w:styleId="15">
    <w:name w:val="HTML Cite"/>
    <w:basedOn w:val="5"/>
    <w:semiHidden/>
    <w:unhideWhenUsed/>
    <w:uiPriority w:val="99"/>
  </w:style>
  <w:style w:type="character" w:styleId="16">
    <w:name w:val="HTML Keyboard"/>
    <w:basedOn w:val="5"/>
    <w:semiHidden/>
    <w:unhideWhenUsed/>
    <w:uiPriority w:val="99"/>
    <w:rPr>
      <w:rFonts w:hint="default" w:ascii="monospace" w:hAnsi="monospace" w:eastAsia="monospace" w:cs="monospace"/>
      <w:sz w:val="20"/>
    </w:rPr>
  </w:style>
  <w:style w:type="character" w:styleId="17">
    <w:name w:val="HTML Sample"/>
    <w:basedOn w:val="5"/>
    <w:semiHidden/>
    <w:unhideWhenUsed/>
    <w:uiPriority w:val="99"/>
    <w:rPr>
      <w:rFonts w:hint="default" w:ascii="monospace" w:hAnsi="monospace" w:eastAsia="monospace" w:cs="monospace"/>
    </w:rPr>
  </w:style>
  <w:style w:type="character" w:customStyle="1" w:styleId="19">
    <w:name w:val="Footer Char"/>
    <w:basedOn w:val="5"/>
    <w:link w:val="2"/>
    <w:semiHidden/>
    <w:qFormat/>
    <w:locked/>
    <w:uiPriority w:val="99"/>
    <w:rPr>
      <w:rFonts w:cs="Times New Roman"/>
      <w:kern w:val="0"/>
      <w:sz w:val="18"/>
      <w:szCs w:val="18"/>
    </w:rPr>
  </w:style>
  <w:style w:type="character" w:customStyle="1" w:styleId="20">
    <w:name w:val="Header Char"/>
    <w:basedOn w:val="5"/>
    <w:link w:val="3"/>
    <w:semiHidden/>
    <w:qFormat/>
    <w:locked/>
    <w:uiPriority w:val="99"/>
    <w:rPr>
      <w:rFonts w:cs="Times New Roman"/>
      <w:kern w:val="0"/>
      <w:sz w:val="18"/>
      <w:szCs w:val="18"/>
    </w:rPr>
  </w:style>
  <w:style w:type="paragraph" w:customStyle="1" w:styleId="21">
    <w:name w:val="WPS Plain"/>
    <w:qFormat/>
    <w:uiPriority w:val="99"/>
    <w:rPr>
      <w:rFonts w:ascii="Times New Roman" w:hAnsi="Times New Roman" w:eastAsia="宋体" w:cs="Times New Roman"/>
      <w:kern w:val="0"/>
      <w:sz w:val="20"/>
      <w:szCs w:val="20"/>
      <w:lang w:val="en-US" w:eastAsia="zh-CN" w:bidi="ar-SA"/>
    </w:rPr>
  </w:style>
  <w:style w:type="character" w:customStyle="1" w:styleId="22">
    <w:name w:val="hover"/>
    <w:basedOn w:val="5"/>
    <w:qFormat/>
    <w:uiPriority w:val="0"/>
    <w:rPr>
      <w:color w:val="2590EB"/>
    </w:rPr>
  </w:style>
  <w:style w:type="character" w:customStyle="1" w:styleId="23">
    <w:name w:val="hover1"/>
    <w:basedOn w:val="5"/>
    <w:uiPriority w:val="0"/>
    <w:rPr>
      <w:color w:val="2590EB"/>
    </w:rPr>
  </w:style>
  <w:style w:type="character" w:customStyle="1" w:styleId="24">
    <w:name w:val="hover2"/>
    <w:basedOn w:val="5"/>
    <w:qFormat/>
    <w:uiPriority w:val="0"/>
  </w:style>
  <w:style w:type="character" w:customStyle="1" w:styleId="25">
    <w:name w:val="hover3"/>
    <w:basedOn w:val="5"/>
    <w:uiPriority w:val="0"/>
  </w:style>
  <w:style w:type="character" w:customStyle="1" w:styleId="26">
    <w:name w:val="mini-outputtext1"/>
    <w:basedOn w:val="5"/>
    <w:qFormat/>
    <w:uiPriority w:val="0"/>
  </w:style>
  <w:style w:type="character" w:customStyle="1" w:styleId="27">
    <w:name w:val="hover4"/>
    <w:basedOn w:val="5"/>
    <w:uiPriority w:val="0"/>
    <w:rPr>
      <w:color w:val="2590EB"/>
    </w:rPr>
  </w:style>
  <w:style w:type="character" w:customStyle="1" w:styleId="28">
    <w:name w:val="hover5"/>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175</Words>
  <Characters>1000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zh001</dc:creator>
  <cp:lastModifiedBy>Q</cp:lastModifiedBy>
  <cp:lastPrinted>2018-07-08T01:04:00Z</cp:lastPrinted>
  <dcterms:modified xsi:type="dcterms:W3CDTF">2021-12-02T06:22:12Z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