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8"/>
        <w:tblW w:w="9069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133"/>
        <w:gridCol w:w="2074"/>
        <w:gridCol w:w="2355"/>
        <w:gridCol w:w="23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  <w:jc w:val="center"/>
        </w:trPr>
        <w:tc>
          <w:tcPr>
            <w:tcW w:w="2266" w:type="dxa"/>
            <w:gridSpan w:val="2"/>
            <w:vAlign w:val="center"/>
          </w:tcPr>
          <w:p>
            <w:pPr>
              <w:pStyle w:val="21"/>
              <w:spacing w:line="277" w:lineRule="atLeast"/>
              <w:jc w:val="center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事项名称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pStyle w:val="21"/>
              <w:spacing w:line="277" w:lineRule="atLeast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动物防疫条件合格证核发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exact"/>
          <w:jc w:val="center"/>
        </w:trPr>
        <w:tc>
          <w:tcPr>
            <w:tcW w:w="2266" w:type="dxa"/>
            <w:gridSpan w:val="2"/>
            <w:vAlign w:val="center"/>
          </w:tcPr>
          <w:p>
            <w:pPr>
              <w:pStyle w:val="21"/>
              <w:spacing w:line="277" w:lineRule="atLeast"/>
              <w:jc w:val="center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审批权限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pStyle w:val="21"/>
              <w:spacing w:line="277" w:lineRule="atLeast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区级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0" w:hRule="exact"/>
          <w:jc w:val="center"/>
        </w:trPr>
        <w:tc>
          <w:tcPr>
            <w:tcW w:w="2266" w:type="dxa"/>
            <w:gridSpan w:val="2"/>
            <w:vAlign w:val="center"/>
          </w:tcPr>
          <w:p>
            <w:pPr>
              <w:pStyle w:val="21"/>
              <w:spacing w:line="277" w:lineRule="atLeast"/>
              <w:jc w:val="center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实施依据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ind w:firstLine="0" w:firstLineChars="0"/>
              <w:rPr>
                <w:rFonts w:ascii="宋体" w:cs="宋体"/>
                <w:sz w:val="21"/>
                <w:szCs w:val="21"/>
              </w:rPr>
            </w:pPr>
            <w:r>
              <w:rPr>
                <w:rFonts w:ascii="宋体" w:hAnsi="宋体" w:cs="宋体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sz w:val="21"/>
                <w:szCs w:val="21"/>
              </w:rPr>
              <w:t>、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《中华人民共和国动物防疫法》（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1997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年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月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日主席令第八十七号，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2015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年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月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24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日予以修改）第十九、二十条</w:t>
            </w:r>
          </w:p>
          <w:p>
            <w:pPr>
              <w:pStyle w:val="4"/>
              <w:widowControl/>
              <w:shd w:val="clear" w:color="auto" w:fill="FFFFFF"/>
              <w:spacing w:before="0" w:beforeAutospacing="0" w:after="225" w:afterAutospacing="0" w:line="360" w:lineRule="atLeast"/>
              <w:ind w:firstLine="0" w:firstLineChars="0"/>
              <w:rPr>
                <w:rFonts w:ascii="宋体" w:cs="宋体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 w:val="21"/>
                <w:szCs w:val="21"/>
              </w:rPr>
              <w:t>2</w:t>
            </w:r>
            <w:r>
              <w:rPr>
                <w:rFonts w:hint="eastAsia" w:ascii="宋体" w:hAnsi="宋体" w:cs="宋体"/>
                <w:sz w:val="21"/>
                <w:szCs w:val="21"/>
              </w:rPr>
              <w:t>、</w:t>
            </w:r>
            <w:r>
              <w:rPr>
                <w:rFonts w:hint="eastAsia" w:ascii="宋体" w:hAnsi="宋体" w:cs="宋体"/>
                <w:color w:val="333333"/>
                <w:sz w:val="21"/>
                <w:szCs w:val="21"/>
                <w:shd w:val="clear" w:color="auto" w:fill="FFFFFF"/>
              </w:rPr>
              <w:t>《</w:t>
            </w:r>
            <w:r>
              <w:fldChar w:fldCharType="begin"/>
            </w:r>
            <w:r>
              <w:instrText xml:space="preserve"> HYPERLINK "https://baike.so.com/doc/3293264-3469141.html" \t "https://baike.so.com/doc/_blank" </w:instrText>
            </w:r>
            <w:r>
              <w:fldChar w:fldCharType="separate"/>
            </w:r>
            <w:r>
              <w:rPr>
                <w:rStyle w:val="13"/>
                <w:rFonts w:hint="eastAsia" w:ascii="宋体" w:hAnsi="宋体" w:cs="宋体"/>
                <w:color w:val="auto"/>
                <w:sz w:val="21"/>
                <w:szCs w:val="21"/>
                <w:u w:val="none"/>
                <w:shd w:val="clear" w:color="auto" w:fill="FFFFFF"/>
              </w:rPr>
              <w:t>动物防疫条件审查办法</w:t>
            </w:r>
            <w:r>
              <w:rPr>
                <w:rStyle w:val="13"/>
                <w:rFonts w:hint="eastAsia" w:ascii="宋体" w:hAnsi="宋体" w:cs="宋体"/>
                <w:color w:val="auto"/>
                <w:sz w:val="21"/>
                <w:szCs w:val="21"/>
                <w:u w:val="none"/>
                <w:shd w:val="clear" w:color="auto" w:fill="FFFFFF"/>
              </w:rPr>
              <w:fldChar w:fldCharType="end"/>
            </w:r>
            <w:r>
              <w:rPr>
                <w:rFonts w:hint="eastAsia" w:ascii="宋体" w:hAnsi="宋体" w:cs="宋体"/>
                <w:sz w:val="21"/>
                <w:szCs w:val="21"/>
                <w:shd w:val="clear" w:color="auto" w:fill="FFFFFF"/>
              </w:rPr>
              <w:t>》</w:t>
            </w:r>
            <w:bookmarkStart w:id="0" w:name="6752866-6967435-3"/>
            <w:bookmarkEnd w:id="0"/>
            <w:r>
              <w:rPr>
                <w:rFonts w:hint="eastAsia" w:ascii="宋体" w:hAnsi="宋体" w:cs="宋体"/>
                <w:color w:val="333333"/>
                <w:sz w:val="21"/>
                <w:szCs w:val="21"/>
                <w:shd w:val="clear" w:color="auto" w:fill="FFFFFF"/>
              </w:rPr>
              <w:t>第五、六、七、八、九、十、二十七条</w:t>
            </w:r>
          </w:p>
          <w:p>
            <w:pPr>
              <w:spacing w:line="308" w:lineRule="atLeast"/>
              <w:ind w:firstLine="0" w:firstLineChars="0"/>
              <w:rPr>
                <w:rFonts w:asci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exact"/>
          <w:jc w:val="center"/>
        </w:trPr>
        <w:tc>
          <w:tcPr>
            <w:tcW w:w="2266" w:type="dxa"/>
            <w:gridSpan w:val="2"/>
            <w:vAlign w:val="center"/>
          </w:tcPr>
          <w:p>
            <w:pPr>
              <w:pStyle w:val="21"/>
              <w:spacing w:line="277" w:lineRule="atLeast"/>
              <w:jc w:val="center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法定时限</w:t>
            </w:r>
          </w:p>
        </w:tc>
        <w:tc>
          <w:tcPr>
            <w:tcW w:w="2074" w:type="dxa"/>
            <w:vAlign w:val="center"/>
          </w:tcPr>
          <w:p>
            <w:pPr>
              <w:pStyle w:val="21"/>
              <w:spacing w:line="277" w:lineRule="atLeast"/>
              <w:ind w:firstLine="420" w:firstLineChars="200"/>
              <w:jc w:val="center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/>
                <w:color w:val="000000"/>
                <w:sz w:val="21"/>
                <w:szCs w:val="21"/>
              </w:rPr>
              <w:t>20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个工作日</w:t>
            </w:r>
          </w:p>
        </w:tc>
        <w:tc>
          <w:tcPr>
            <w:tcW w:w="2355" w:type="dxa"/>
            <w:vAlign w:val="center"/>
          </w:tcPr>
          <w:p>
            <w:pPr>
              <w:pStyle w:val="21"/>
              <w:spacing w:line="277" w:lineRule="atLeast"/>
              <w:jc w:val="center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承诺时限</w:t>
            </w:r>
          </w:p>
        </w:tc>
        <w:tc>
          <w:tcPr>
            <w:tcW w:w="2374" w:type="dxa"/>
            <w:vAlign w:val="center"/>
          </w:tcPr>
          <w:p>
            <w:pPr>
              <w:pStyle w:val="21"/>
              <w:spacing w:line="277" w:lineRule="atLeast"/>
              <w:ind w:firstLine="420" w:firstLineChars="200"/>
              <w:jc w:val="both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3" w:hRule="exact"/>
          <w:jc w:val="center"/>
        </w:trPr>
        <w:tc>
          <w:tcPr>
            <w:tcW w:w="1133" w:type="dxa"/>
            <w:vMerge w:val="restart"/>
            <w:vAlign w:val="center"/>
          </w:tcPr>
          <w:p>
            <w:pPr>
              <w:ind w:left="0" w:leftChars="0" w:firstLine="210" w:firstLineChars="100"/>
              <w:jc w:val="both"/>
              <w:rPr>
                <w:rFonts w:hint="eastAsia" w:asci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eastAsia="zh-CN"/>
              </w:rPr>
              <w:t>审批流程</w:t>
            </w:r>
          </w:p>
        </w:tc>
        <w:tc>
          <w:tcPr>
            <w:tcW w:w="1133" w:type="dxa"/>
            <w:vMerge w:val="restart"/>
            <w:vAlign w:val="center"/>
          </w:tcPr>
          <w:p>
            <w:pPr>
              <w:tabs>
                <w:tab w:val="center" w:pos="562"/>
              </w:tabs>
              <w:rPr>
                <w:rFonts w:hint="eastAsia" w:asci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sz w:val="21"/>
                <w:szCs w:val="21"/>
                <w:lang w:eastAsia="zh-CN"/>
              </w:rPr>
              <w:t>受理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spacing w:line="246" w:lineRule="atLeast"/>
              <w:ind w:left="0" w:leftChars="0" w:firstLine="0" w:firstLineChars="0"/>
              <w:rPr>
                <w:rFonts w:hint="eastAsia" w:ascii="宋体" w:eastAsia="宋体" w:cs="宋体"/>
                <w:color w:val="000000"/>
                <w:sz w:val="21"/>
                <w:szCs w:val="21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ascii="宋体" w:cs="宋体"/>
                <w:color w:val="000000"/>
                <w:sz w:val="21"/>
                <w:szCs w:val="21"/>
                <w:lang w:eastAsia="zh-CN"/>
              </w:rPr>
              <w:t>时限：</w:t>
            </w:r>
            <w:r>
              <w:rPr>
                <w:rFonts w:hint="eastAsia" w:ascii="宋体" w:cs="宋体"/>
                <w:color w:val="000000"/>
                <w:sz w:val="21"/>
                <w:szCs w:val="21"/>
                <w:lang w:val="en-US" w:eastAsia="zh-CN"/>
              </w:rPr>
              <w:t>4个工作日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3" w:hRule="exac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ind w:left="0" w:leftChars="0" w:firstLine="210" w:firstLineChars="100"/>
              <w:jc w:val="both"/>
              <w:rPr>
                <w:rFonts w:hint="eastAsia" w:asci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1133" w:type="dxa"/>
            <w:vMerge w:val="continue"/>
            <w:vAlign w:val="center"/>
          </w:tcPr>
          <w:p>
            <w:pPr>
              <w:tabs>
                <w:tab w:val="center" w:pos="562"/>
              </w:tabs>
              <w:rPr>
                <w:rFonts w:hint="eastAsia" w:ascii="宋体" w:eastAsia="宋体" w:cs="宋体"/>
                <w:sz w:val="21"/>
                <w:szCs w:val="21"/>
                <w:lang w:eastAsia="zh-CN"/>
              </w:rPr>
            </w:pPr>
          </w:p>
        </w:tc>
        <w:tc>
          <w:tcPr>
            <w:tcW w:w="6803" w:type="dxa"/>
            <w:gridSpan w:val="3"/>
            <w:vAlign w:val="center"/>
          </w:tcPr>
          <w:p>
            <w:pPr>
              <w:spacing w:line="246" w:lineRule="atLeast"/>
              <w:ind w:firstLine="0" w:firstLineChars="0"/>
              <w:jc w:val="both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申报材料：</w:t>
            </w:r>
          </w:p>
          <w:p>
            <w:pPr>
              <w:numPr>
                <w:ilvl w:val="0"/>
                <w:numId w:val="0"/>
              </w:numPr>
              <w:spacing w:line="246" w:lineRule="atLeast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、《动物防疫条件审查申请表》</w:t>
            </w:r>
          </w:p>
          <w:p>
            <w:pPr>
              <w:numPr>
                <w:ilvl w:val="0"/>
                <w:numId w:val="0"/>
              </w:numPr>
              <w:spacing w:line="246" w:lineRule="atLeast"/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2、场所地理位置图、各功能区布局平面图</w:t>
            </w:r>
          </w:p>
          <w:p>
            <w:pPr>
              <w:spacing w:line="489" w:lineRule="atLeast"/>
              <w:ind w:firstLineChars="1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3、设施设备清单</w:t>
            </w:r>
          </w:p>
          <w:p>
            <w:pPr>
              <w:spacing w:line="489" w:lineRule="atLeast"/>
              <w:ind w:firstLineChars="1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4、管理制度文本</w:t>
            </w:r>
          </w:p>
          <w:p>
            <w:pPr>
              <w:spacing w:line="489" w:lineRule="atLeast"/>
              <w:ind w:firstLineChars="10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-SA"/>
              </w:rPr>
              <w:t>5、工作人员分工情况表</w:t>
            </w:r>
          </w:p>
          <w:p>
            <w:pPr>
              <w:spacing w:line="489" w:lineRule="atLeast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spacing w:line="489" w:lineRule="atLeast"/>
              <w:ind w:firstLineChars="10"/>
              <w:rPr>
                <w:rFonts w:ascii="宋体" w:cs="宋体"/>
                <w:sz w:val="21"/>
                <w:szCs w:val="21"/>
              </w:rPr>
            </w:pPr>
          </w:p>
          <w:p>
            <w:pPr>
              <w:spacing w:line="489" w:lineRule="atLeast"/>
              <w:ind w:firstLine="0" w:firstLineChars="0"/>
              <w:rPr>
                <w:rFonts w:ascii="宋体" w:cs="宋体"/>
                <w:sz w:val="21"/>
                <w:szCs w:val="21"/>
              </w:rPr>
            </w:pPr>
          </w:p>
          <w:p>
            <w:pPr>
              <w:spacing w:line="246" w:lineRule="atLeast"/>
              <w:ind w:firstLine="420"/>
              <w:rPr>
                <w:rFonts w:ascii="宋体" w:cs="宋体"/>
                <w:color w:val="000000"/>
                <w:sz w:val="21"/>
                <w:szCs w:val="21"/>
              </w:rPr>
            </w:pPr>
          </w:p>
          <w:p>
            <w:pPr>
              <w:spacing w:line="246" w:lineRule="atLeast"/>
              <w:ind w:firstLine="420"/>
              <w:rPr>
                <w:rFonts w:asci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8" w:hRule="exac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ind w:firstLine="420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vAlign w:val="center"/>
          </w:tcPr>
          <w:p>
            <w:pPr>
              <w:ind w:firstLine="420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vAlign w:val="center"/>
          </w:tcPr>
          <w:p>
            <w:pPr>
              <w:pStyle w:val="21"/>
              <w:spacing w:line="277" w:lineRule="atLeast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属于职责范围内的，资料齐全</w:t>
            </w:r>
            <w:r>
              <w:rPr>
                <w:rFonts w:hint="eastAsia"/>
                <w:color w:val="000000"/>
                <w:sz w:val="21"/>
                <w:lang w:eastAsia="zh-CN"/>
              </w:rPr>
              <w:t>在规定时限内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受理，向申请人发放受理通知书，提交审批股审核。资料不齐全、不正确的，资料能当场修改的，指导申请人当场修改，不能当场修改的，向申请人发放补正通知书。不属于本窗口业务范围或该申请不需要取得行政许可的，不予受理，并文字告知不予受理的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ind w:firstLine="420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vAlign w:val="center"/>
          </w:tcPr>
          <w:p>
            <w:pPr>
              <w:pStyle w:val="21"/>
              <w:spacing w:line="277" w:lineRule="atLeas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查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pStyle w:val="21"/>
              <w:spacing w:line="277" w:lineRule="atLeast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时限：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9" w:hRule="exac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ind w:firstLine="420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vAlign w:val="center"/>
          </w:tcPr>
          <w:p>
            <w:pPr>
              <w:ind w:firstLine="420" w:firstLineChars="200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vAlign w:val="center"/>
          </w:tcPr>
          <w:p>
            <w:pPr>
              <w:pStyle w:val="21"/>
              <w:spacing w:line="277" w:lineRule="atLeast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审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查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人员结合申请人提交的全部资料，在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个工作日内做出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审查意见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。报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决定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人员。对不符合行政许可的，出具不予行政许可意见书，说明理由。</w:t>
            </w:r>
          </w:p>
          <w:p>
            <w:pPr>
              <w:pStyle w:val="21"/>
              <w:spacing w:line="277" w:lineRule="atLeast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</w:p>
          <w:p>
            <w:pPr>
              <w:pStyle w:val="21"/>
              <w:spacing w:line="277" w:lineRule="atLeast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</w:p>
          <w:p>
            <w:pPr>
              <w:pStyle w:val="21"/>
              <w:spacing w:line="277" w:lineRule="atLeast"/>
              <w:textAlignment w:val="center"/>
              <w:rPr>
                <w:rFonts w:hint="eastAsia" w:ascii="宋体" w:hAns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exac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ind w:firstLine="420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vAlign w:val="center"/>
          </w:tcPr>
          <w:p>
            <w:pPr>
              <w:pStyle w:val="21"/>
              <w:spacing w:line="277" w:lineRule="atLeast"/>
              <w:jc w:val="center"/>
              <w:textAlignment w:val="center"/>
              <w:rPr>
                <w:rFonts w:hint="eastAsia" w:asci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特殊环节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pStyle w:val="21"/>
              <w:spacing w:line="277" w:lineRule="atLeast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时限：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9" w:hRule="exac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ind w:firstLine="420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vAlign w:val="center"/>
          </w:tcPr>
          <w:p>
            <w:pPr>
              <w:pStyle w:val="21"/>
              <w:spacing w:line="277" w:lineRule="atLeast"/>
              <w:jc w:val="center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vAlign w:val="center"/>
          </w:tcPr>
          <w:p>
            <w:pPr>
              <w:pStyle w:val="21"/>
              <w:spacing w:line="277" w:lineRule="atLeast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</w:rPr>
              <w:t>法制股收到受理窗口的</w:t>
            </w:r>
            <w:r>
              <w:rPr>
                <w:color w:val="000000"/>
                <w:sz w:val="21"/>
              </w:rPr>
              <w:t>“</w:t>
            </w:r>
            <w:r>
              <w:rPr>
                <w:rFonts w:hint="eastAsia"/>
                <w:color w:val="000000"/>
                <w:sz w:val="21"/>
              </w:rPr>
              <w:t>受理意见书</w:t>
            </w:r>
            <w:r>
              <w:rPr>
                <w:color w:val="000000"/>
                <w:sz w:val="21"/>
              </w:rPr>
              <w:t>”</w:t>
            </w:r>
            <w:r>
              <w:rPr>
                <w:rFonts w:hint="eastAsia"/>
                <w:color w:val="000000"/>
                <w:sz w:val="21"/>
              </w:rPr>
              <w:t>后，在规定时限内完成现场踏勘，符合要求的向审批股出具踏勘意见书。不符合要求的限期整改。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1" w:hRule="exac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ind w:firstLine="420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restart"/>
            <w:vAlign w:val="center"/>
          </w:tcPr>
          <w:p>
            <w:pPr>
              <w:pStyle w:val="21"/>
              <w:spacing w:line="277" w:lineRule="atLeast"/>
              <w:jc w:val="center"/>
              <w:textAlignment w:val="center"/>
              <w:rPr>
                <w:rFonts w:hint="eastAsia" w:asci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决定</w:t>
            </w:r>
          </w:p>
        </w:tc>
        <w:tc>
          <w:tcPr>
            <w:tcW w:w="6803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pStyle w:val="21"/>
              <w:spacing w:line="277" w:lineRule="atLeast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时限：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个工作日</w:t>
            </w:r>
          </w:p>
          <w:p>
            <w:pPr>
              <w:pStyle w:val="21"/>
              <w:spacing w:line="277" w:lineRule="atLeast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</w:p>
          <w:p>
            <w:pPr>
              <w:pStyle w:val="21"/>
              <w:spacing w:line="277" w:lineRule="atLeast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exact"/>
          <w:jc w:val="center"/>
        </w:trPr>
        <w:tc>
          <w:tcPr>
            <w:tcW w:w="1133" w:type="dxa"/>
            <w:vMerge w:val="continue"/>
            <w:vAlign w:val="center"/>
          </w:tcPr>
          <w:p>
            <w:pPr>
              <w:ind w:firstLine="420"/>
              <w:rPr>
                <w:rFonts w:ascii="宋体" w:cs="宋体"/>
                <w:sz w:val="21"/>
                <w:szCs w:val="21"/>
              </w:rPr>
            </w:pPr>
          </w:p>
        </w:tc>
        <w:tc>
          <w:tcPr>
            <w:tcW w:w="1133" w:type="dxa"/>
            <w:vMerge w:val="continue"/>
            <w:vAlign w:val="center"/>
          </w:tcPr>
          <w:p>
            <w:pPr>
              <w:pStyle w:val="21"/>
              <w:spacing w:line="277" w:lineRule="atLeast"/>
              <w:jc w:val="center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</w:p>
        </w:tc>
        <w:tc>
          <w:tcPr>
            <w:tcW w:w="6803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pStyle w:val="21"/>
              <w:spacing w:line="277" w:lineRule="atLeast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根据审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eastAsia="zh-CN"/>
              </w:rPr>
              <w:t>查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人员、政策法制股提交的材料，符合要求的，批准予以行政许可。对不符合要求的，出具不予行政许可意见书，说明理由。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exact"/>
          <w:jc w:val="center"/>
        </w:trPr>
        <w:tc>
          <w:tcPr>
            <w:tcW w:w="2266" w:type="dxa"/>
            <w:gridSpan w:val="2"/>
            <w:vAlign w:val="center"/>
          </w:tcPr>
          <w:p>
            <w:pPr>
              <w:pStyle w:val="21"/>
              <w:spacing w:line="277" w:lineRule="atLeast"/>
              <w:jc w:val="center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审批监管对接</w:t>
            </w:r>
          </w:p>
        </w:tc>
        <w:tc>
          <w:tcPr>
            <w:tcW w:w="6803" w:type="dxa"/>
            <w:gridSpan w:val="3"/>
            <w:vAlign w:val="center"/>
          </w:tcPr>
          <w:p>
            <w:pPr>
              <w:pStyle w:val="21"/>
              <w:spacing w:line="277" w:lineRule="atLeast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</w:p>
          <w:p>
            <w:pPr>
              <w:pStyle w:val="21"/>
              <w:spacing w:line="277" w:lineRule="atLeast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对已经办理的行政许可事项，审批股负责以电子邮件或纸质函形式通知监管单位，负责事中事后监管。办结后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个工作日内</w:t>
            </w:r>
            <w:r>
              <w:rPr>
                <w:rFonts w:ascii="宋体" w:cs="宋体"/>
                <w:color w:val="000000"/>
                <w:sz w:val="21"/>
                <w:szCs w:val="21"/>
              </w:rPr>
              <w:t>.</w:t>
            </w:r>
          </w:p>
          <w:p>
            <w:pPr>
              <w:pStyle w:val="21"/>
              <w:spacing w:line="277" w:lineRule="atLeast"/>
              <w:textAlignment w:val="center"/>
              <w:rPr>
                <w:rFonts w:ascii="宋体" w:cs="宋体"/>
                <w:color w:val="000000"/>
                <w:sz w:val="21"/>
                <w:szCs w:val="21"/>
              </w:rPr>
            </w:pPr>
          </w:p>
        </w:tc>
      </w:tr>
    </w:tbl>
    <w:p>
      <w:pPr>
        <w:ind w:firstLine="400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  <w:rPr>
        <w:rFonts w:hint="eastAsia" w:eastAsia="宋体"/>
        <w:lang w:val="en-US" w:eastAsia="zh-CN"/>
      </w:rPr>
    </w:pPr>
    <w:r>
      <w:t xml:space="preserve">                                            </w:t>
    </w:r>
    <w:r>
      <w:rPr>
        <w:rFonts w:hint="eastAsia"/>
        <w:lang w:val="en-US" w:eastAsia="zh-CN"/>
      </w:rPr>
      <w:t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5D9A"/>
    <w:rsid w:val="00101043"/>
    <w:rsid w:val="00225E43"/>
    <w:rsid w:val="00410F28"/>
    <w:rsid w:val="005F214C"/>
    <w:rsid w:val="006934C9"/>
    <w:rsid w:val="00890ED3"/>
    <w:rsid w:val="008A5D9A"/>
    <w:rsid w:val="008F3A37"/>
    <w:rsid w:val="00C66E52"/>
    <w:rsid w:val="00CA35E7"/>
    <w:rsid w:val="00D15266"/>
    <w:rsid w:val="00ED7922"/>
    <w:rsid w:val="00EF6366"/>
    <w:rsid w:val="00FC08BA"/>
    <w:rsid w:val="021501AA"/>
    <w:rsid w:val="05661634"/>
    <w:rsid w:val="0A1C3423"/>
    <w:rsid w:val="10DF0380"/>
    <w:rsid w:val="118F495B"/>
    <w:rsid w:val="14814A9F"/>
    <w:rsid w:val="15155916"/>
    <w:rsid w:val="1518699A"/>
    <w:rsid w:val="16A31BC4"/>
    <w:rsid w:val="173A2B99"/>
    <w:rsid w:val="1DB616A6"/>
    <w:rsid w:val="1DC5132C"/>
    <w:rsid w:val="1E29564A"/>
    <w:rsid w:val="1EF25165"/>
    <w:rsid w:val="20B625F7"/>
    <w:rsid w:val="21505DA0"/>
    <w:rsid w:val="248B1989"/>
    <w:rsid w:val="26E155A4"/>
    <w:rsid w:val="2852067E"/>
    <w:rsid w:val="2CBC49E9"/>
    <w:rsid w:val="2F594CDD"/>
    <w:rsid w:val="30A10425"/>
    <w:rsid w:val="35BD759B"/>
    <w:rsid w:val="366B1B86"/>
    <w:rsid w:val="3BCD672C"/>
    <w:rsid w:val="509E54A5"/>
    <w:rsid w:val="50F20540"/>
    <w:rsid w:val="53B70E3B"/>
    <w:rsid w:val="540231BD"/>
    <w:rsid w:val="56292959"/>
    <w:rsid w:val="5A404FA0"/>
    <w:rsid w:val="5C8A25FF"/>
    <w:rsid w:val="61EE57D4"/>
    <w:rsid w:val="64D02C17"/>
    <w:rsid w:val="6D836614"/>
    <w:rsid w:val="722A35EE"/>
    <w:rsid w:val="79F732E5"/>
    <w:rsid w:val="7A3D6B21"/>
    <w:rsid w:val="7A4F191E"/>
    <w:rsid w:val="7BB31BF2"/>
    <w:rsid w:val="7FF1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qFormat="1"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qFormat="1" w:uiPriority="99" w:name="HTML Keyboard"/>
    <w:lsdException w:uiPriority="99" w:name="HTML Preformatted"/>
    <w:lsdException w:qFormat="1" w:uiPriority="99" w:name="HTML Sample"/>
    <w:lsdException w:qFormat="1" w:uiPriority="99" w:name="HTML Typewriter"/>
    <w:lsdException w:qFormat="1"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1" w:firstLineChars="200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9"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header"/>
    <w:basedOn w:val="1"/>
    <w:link w:val="20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</w:pPr>
    <w:rPr>
      <w:sz w:val="24"/>
    </w:rPr>
  </w:style>
  <w:style w:type="character" w:styleId="6">
    <w:name w:val="Strong"/>
    <w:basedOn w:val="5"/>
    <w:qFormat/>
    <w:locked/>
    <w:uiPriority w:val="0"/>
    <w:rPr>
      <w:b/>
    </w:rPr>
  </w:style>
  <w:style w:type="character" w:styleId="7">
    <w:name w:val="FollowedHyperlink"/>
    <w:basedOn w:val="5"/>
    <w:semiHidden/>
    <w:unhideWhenUsed/>
    <w:qFormat/>
    <w:uiPriority w:val="99"/>
    <w:rPr>
      <w:color w:val="800080"/>
      <w:u w:val="none"/>
    </w:rPr>
  </w:style>
  <w:style w:type="character" w:styleId="8">
    <w:name w:val="Emphasis"/>
    <w:basedOn w:val="5"/>
    <w:qFormat/>
    <w:locked/>
    <w:uiPriority w:val="0"/>
    <w:rPr>
      <w:b/>
    </w:rPr>
  </w:style>
  <w:style w:type="character" w:styleId="9">
    <w:name w:val="HTML Definition"/>
    <w:basedOn w:val="5"/>
    <w:semiHidden/>
    <w:unhideWhenUsed/>
    <w:uiPriority w:val="99"/>
  </w:style>
  <w:style w:type="character" w:styleId="10">
    <w:name w:val="HTML Typewriter"/>
    <w:basedOn w:val="5"/>
    <w:semiHidden/>
    <w:unhideWhenUsed/>
    <w:qFormat/>
    <w:uiPriority w:val="99"/>
    <w:rPr>
      <w:rFonts w:ascii="monospace" w:hAnsi="monospace" w:eastAsia="monospace" w:cs="monospace"/>
      <w:sz w:val="20"/>
    </w:rPr>
  </w:style>
  <w:style w:type="character" w:styleId="11">
    <w:name w:val="HTML Acronym"/>
    <w:basedOn w:val="5"/>
    <w:semiHidden/>
    <w:unhideWhenUsed/>
    <w:qFormat/>
    <w:uiPriority w:val="99"/>
  </w:style>
  <w:style w:type="character" w:styleId="12">
    <w:name w:val="HTML Variable"/>
    <w:basedOn w:val="5"/>
    <w:semiHidden/>
    <w:unhideWhenUsed/>
    <w:qFormat/>
    <w:uiPriority w:val="99"/>
  </w:style>
  <w:style w:type="character" w:styleId="13">
    <w:name w:val="Hyperlink"/>
    <w:basedOn w:val="5"/>
    <w:qFormat/>
    <w:uiPriority w:val="99"/>
    <w:rPr>
      <w:rFonts w:cs="Times New Roman"/>
      <w:color w:val="0000FF"/>
      <w:u w:val="single"/>
    </w:rPr>
  </w:style>
  <w:style w:type="character" w:styleId="14">
    <w:name w:val="HTML Code"/>
    <w:basedOn w:val="5"/>
    <w:semiHidden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5">
    <w:name w:val="HTML Cite"/>
    <w:basedOn w:val="5"/>
    <w:semiHidden/>
    <w:unhideWhenUsed/>
    <w:uiPriority w:val="99"/>
  </w:style>
  <w:style w:type="character" w:styleId="16">
    <w:name w:val="HTML Keyboard"/>
    <w:basedOn w:val="5"/>
    <w:semiHidden/>
    <w:unhideWhenUsed/>
    <w:qFormat/>
    <w:uiPriority w:val="99"/>
    <w:rPr>
      <w:rFonts w:hint="default" w:ascii="monospace" w:hAnsi="monospace" w:eastAsia="monospace" w:cs="monospace"/>
      <w:sz w:val="20"/>
    </w:rPr>
  </w:style>
  <w:style w:type="character" w:styleId="17">
    <w:name w:val="HTML Sample"/>
    <w:basedOn w:val="5"/>
    <w:semiHidden/>
    <w:unhideWhenUsed/>
    <w:qFormat/>
    <w:uiPriority w:val="99"/>
    <w:rPr>
      <w:rFonts w:hint="default" w:ascii="monospace" w:hAnsi="monospace" w:eastAsia="monospace" w:cs="monospace"/>
    </w:rPr>
  </w:style>
  <w:style w:type="character" w:customStyle="1" w:styleId="19">
    <w:name w:val="Footer Char"/>
    <w:basedOn w:val="5"/>
    <w:link w:val="2"/>
    <w:semiHidden/>
    <w:qFormat/>
    <w:locked/>
    <w:uiPriority w:val="99"/>
    <w:rPr>
      <w:rFonts w:cs="Times New Roman"/>
      <w:kern w:val="0"/>
      <w:sz w:val="18"/>
      <w:szCs w:val="18"/>
    </w:rPr>
  </w:style>
  <w:style w:type="character" w:customStyle="1" w:styleId="20">
    <w:name w:val="Header Char"/>
    <w:basedOn w:val="5"/>
    <w:link w:val="3"/>
    <w:semiHidden/>
    <w:qFormat/>
    <w:locked/>
    <w:uiPriority w:val="99"/>
    <w:rPr>
      <w:rFonts w:cs="Times New Roman"/>
      <w:kern w:val="0"/>
      <w:sz w:val="18"/>
      <w:szCs w:val="18"/>
    </w:rPr>
  </w:style>
  <w:style w:type="paragraph" w:customStyle="1" w:styleId="21">
    <w:name w:val="WPS Plain"/>
    <w:qFormat/>
    <w:uiPriority w:val="99"/>
    <w:rPr>
      <w:rFonts w:ascii="Times New Roman" w:hAnsi="Times New Roman" w:eastAsia="宋体" w:cs="Times New Roman"/>
      <w:kern w:val="0"/>
      <w:sz w:val="20"/>
      <w:szCs w:val="20"/>
      <w:lang w:val="en-US" w:eastAsia="zh-CN" w:bidi="ar-SA"/>
    </w:rPr>
  </w:style>
  <w:style w:type="character" w:customStyle="1" w:styleId="22">
    <w:name w:val="hover1"/>
    <w:basedOn w:val="5"/>
    <w:qFormat/>
    <w:uiPriority w:val="0"/>
    <w:rPr>
      <w:color w:val="2590EB"/>
    </w:rPr>
  </w:style>
  <w:style w:type="character" w:customStyle="1" w:styleId="23">
    <w:name w:val="hover2"/>
    <w:basedOn w:val="5"/>
    <w:uiPriority w:val="0"/>
    <w:rPr>
      <w:color w:val="2590EB"/>
    </w:rPr>
  </w:style>
  <w:style w:type="character" w:customStyle="1" w:styleId="24">
    <w:name w:val="hover3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175</Words>
  <Characters>1000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zh001</dc:creator>
  <cp:lastModifiedBy>Q</cp:lastModifiedBy>
  <cp:lastPrinted>2018-07-08T01:04:00Z</cp:lastPrinted>
  <dcterms:modified xsi:type="dcterms:W3CDTF">2021-12-02T05:54:44Z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