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4"/>
        <w:gridCol w:w="1888"/>
        <w:gridCol w:w="2368"/>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bidi="ar-SA"/>
              </w:rPr>
              <w:t>事项名称</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color w:val="000000"/>
                <w:sz w:val="24"/>
              </w:rPr>
              <w:t>在危及人防工程安全范围内埋设管道、修建地面工程审批及人防工程改造、拆除审批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审批权限</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lang w:val="en-US" w:eastAsia="zh-CN" w:bidi="ar-SA"/>
              </w:rPr>
              <w:t>区级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实施依据</w:t>
            </w:r>
          </w:p>
        </w:tc>
        <w:tc>
          <w:tcPr>
            <w:tcW w:w="7732" w:type="dxa"/>
            <w:gridSpan w:val="3"/>
            <w:vAlign w:val="top"/>
          </w:tcPr>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1、《中华人民共和国人民防空法》（主席令第18号）第二十八条</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2、《河北省人民防空工程维护与使用管理条例》（河北省第十届人民代表大会常务委员会公告第56号）</w:t>
            </w:r>
            <w:r>
              <w:rPr>
                <w:rFonts w:hint="eastAsia" w:asciiTheme="minorEastAsia" w:hAnsiTheme="minorEastAsia" w:cstheme="minorEastAsia"/>
                <w:sz w:val="21"/>
                <w:szCs w:val="21"/>
                <w:lang w:val="en-US" w:eastAsia="zh-CN"/>
              </w:rPr>
              <w:t>第十四条、第十五条、第十六条</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3、《河北省人民政府办公厅关于规范全省工程建设项目审批流程推行标准化审批文本的通知》</w:t>
            </w:r>
            <w:r>
              <w:rPr>
                <w:rFonts w:hint="eastAsia" w:asciiTheme="minorEastAsia" w:hAnsiTheme="minorEastAsia" w:cstheme="minorEastAsia"/>
                <w:sz w:val="21"/>
                <w:szCs w:val="21"/>
                <w:lang w:val="en-US" w:eastAsia="zh-CN"/>
              </w:rPr>
              <w:t>（冀政办字〔2020〕107号）““在危及人防工程安全范围内埋设管道、修建地面工程审批及人防工程改造、拆除审批”，行使层级为“市级、县级”。</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4、《河北省人民政府办公厅关于印发依法实施行政许可项目的通知》（冀政办〔2009〕23号）“人防工程拆除审批”，下放后的实施机关:设区市、县级人民防空主管部门；“在危及人防工程安全范围内埋设管道、修建地面工程审批”，下放后的实施机关:设区市人民防空主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gridSpan w:val="2"/>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法定时限</w:t>
            </w:r>
          </w:p>
        </w:tc>
        <w:tc>
          <w:tcPr>
            <w:tcW w:w="1888"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35</w:t>
            </w:r>
            <w:r>
              <w:rPr>
                <w:rFonts w:hint="eastAsia" w:asciiTheme="minorEastAsia" w:hAnsiTheme="minorEastAsia" w:eastAsiaTheme="minorEastAsia" w:cstheme="minorEastAsia"/>
                <w:color w:val="000000"/>
                <w:sz w:val="21"/>
                <w:szCs w:val="21"/>
              </w:rPr>
              <w:t>个工作日</w:t>
            </w:r>
          </w:p>
        </w:tc>
        <w:tc>
          <w:tcPr>
            <w:tcW w:w="2368"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承诺时限</w:t>
            </w:r>
          </w:p>
        </w:tc>
        <w:tc>
          <w:tcPr>
            <w:tcW w:w="3476" w:type="dxa"/>
            <w:vAlign w:val="center"/>
          </w:tcPr>
          <w:p>
            <w:pPr>
              <w:pStyle w:val="5"/>
              <w:widowControl w:val="0"/>
              <w:spacing w:line="277" w:lineRule="atLeast"/>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3</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审批流程</w:t>
            </w: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受理</w:t>
            </w:r>
          </w:p>
        </w:tc>
        <w:tc>
          <w:tcPr>
            <w:tcW w:w="7732" w:type="dxa"/>
            <w:gridSpan w:val="3"/>
            <w:vAlign w:val="center"/>
          </w:tcPr>
          <w:p>
            <w:pPr>
              <w:pStyle w:val="5"/>
              <w:widowControl w:val="0"/>
              <w:spacing w:line="277" w:lineRule="atLeast"/>
              <w:jc w:val="left"/>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lang w:val="en-US" w:eastAsia="zh-CN"/>
              </w:rPr>
              <w:t>时限：1个工作日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7"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top"/>
          </w:tcPr>
          <w:p>
            <w:pPr>
              <w:spacing w:line="360" w:lineRule="auto"/>
              <w:ind w:firstLineChars="1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申报材料：</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1</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行政许可申请书</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2</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法定代表人和委托代理人身份证、委托书</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3</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基本情况登记表</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4</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建设项目规划总平面图</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5</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设计单位出具的经专家论证地下管线、建筑项目对该人防工程影响报告及处理方案（在危及人防工程安全范围内埋设管道、修建地面工程审批提供）</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6</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有测绘资质机构出具的地下管线、建筑物基础与该人防工程关系图（在危及人防工程安全范围内埋设管道、修建地面工程审批提供）</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7</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人防工程改造方案、施工图及审查报告（人防工程改造项目提供）</w:t>
            </w:r>
          </w:p>
          <w:p>
            <w:pPr>
              <w:keepNext w:val="0"/>
              <w:keepLines w:val="0"/>
              <w:pageBreakBefore w:val="0"/>
              <w:widowControl w:val="0"/>
              <w:kinsoku/>
              <w:wordWrap/>
              <w:overflowPunct/>
              <w:topLinePunct w:val="0"/>
              <w:autoSpaceDE/>
              <w:autoSpaceDN/>
              <w:bidi w:val="0"/>
              <w:adjustRightInd/>
              <w:snapToGrid/>
              <w:spacing w:line="312" w:lineRule="auto"/>
              <w:ind w:left="0" w:leftChars="0" w:firstLine="0" w:firstLineChars="0"/>
              <w:textAlignment w:val="auto"/>
              <w:outlineLvl w:val="9"/>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8</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相关批准文件或者修筑工程设施必要性的说明。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属于职责范围内的，</w:t>
            </w:r>
            <w:r>
              <w:rPr>
                <w:rFonts w:hint="eastAsia" w:asciiTheme="minorEastAsia" w:hAnsiTheme="minorEastAsia" w:eastAsiaTheme="minorEastAsia" w:cstheme="minorEastAsia"/>
                <w:color w:val="000000"/>
                <w:sz w:val="21"/>
                <w:szCs w:val="21"/>
                <w:lang w:eastAsia="zh-CN"/>
              </w:rPr>
              <w:t>自收到申请之日起</w:t>
            </w:r>
            <w:r>
              <w:rPr>
                <w:rFonts w:hint="eastAsia" w:asciiTheme="minorEastAsia" w:hAnsiTheme="minorEastAsia" w:eastAsiaTheme="minorEastAsia" w:cstheme="minorEastAsia"/>
                <w:color w:val="000000"/>
                <w:sz w:val="21"/>
                <w:szCs w:val="21"/>
                <w:lang w:val="en-US" w:eastAsia="zh-CN"/>
              </w:rPr>
              <w:t>1个工作日内材料齐全的进行受理；材料不齐全的一次性告知需补齐材料；不符合条件的出具不予受理通知书</w:t>
            </w:r>
            <w:r>
              <w:rPr>
                <w:rFonts w:hint="eastAsia" w:asciiTheme="minorEastAsia" w:hAnsiTheme="minorEastAsia" w:eastAsiaTheme="minorEastAsia" w:cstheme="minorEastAsia"/>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审查</w:t>
            </w: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 xml:space="preserve">时限： </w:t>
            </w:r>
            <w:r>
              <w:rPr>
                <w:rFonts w:hint="eastAsia" w:asciiTheme="minorEastAsia" w:hAnsiTheme="minorEastAsia" w:eastAsiaTheme="minorEastAsia" w:cstheme="minorEastAsia"/>
                <w:color w:val="000000"/>
                <w:sz w:val="21"/>
                <w:szCs w:val="21"/>
                <w:lang w:val="en-US" w:eastAsia="zh-CN"/>
              </w:rPr>
              <w:t>1</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0" w:hRule="atLeast"/>
        </w:trPr>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vAlign w:val="center"/>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审核人员结合申请人提交的全部资料，</w:t>
            </w:r>
            <w:r>
              <w:rPr>
                <w:rFonts w:hint="eastAsia" w:asciiTheme="minorEastAsia" w:hAnsiTheme="minorEastAsia" w:eastAsiaTheme="minorEastAsia" w:cstheme="minorEastAsia"/>
                <w:color w:val="000000"/>
                <w:sz w:val="21"/>
                <w:szCs w:val="21"/>
                <w:lang w:eastAsia="zh-CN"/>
              </w:rPr>
              <w:t>对材料的合法合规性进行审查，并</w:t>
            </w:r>
            <w:r>
              <w:rPr>
                <w:rFonts w:hint="eastAsia" w:asciiTheme="minorEastAsia" w:hAnsiTheme="minorEastAsia" w:eastAsiaTheme="minorEastAsia" w:cstheme="minorEastAsia"/>
                <w:color w:val="000000"/>
                <w:sz w:val="21"/>
                <w:szCs w:val="21"/>
                <w:lang w:val="en-US" w:eastAsia="zh-CN"/>
              </w:rPr>
              <w:t>1</w:t>
            </w:r>
            <w:r>
              <w:rPr>
                <w:rFonts w:hint="eastAsia" w:asciiTheme="minorEastAsia" w:hAnsiTheme="minorEastAsia" w:eastAsiaTheme="minorEastAsia" w:cstheme="minorEastAsia"/>
                <w:color w:val="000000"/>
                <w:sz w:val="21"/>
                <w:szCs w:val="21"/>
              </w:rPr>
              <w:t>个工作日内做出审核意见。不符合</w:t>
            </w:r>
            <w:r>
              <w:rPr>
                <w:rFonts w:hint="eastAsia" w:asciiTheme="minorEastAsia" w:hAnsiTheme="minorEastAsia" w:eastAsiaTheme="minorEastAsia" w:cstheme="minorEastAsia"/>
                <w:color w:val="000000"/>
                <w:sz w:val="21"/>
                <w:szCs w:val="21"/>
                <w:lang w:eastAsia="zh-CN"/>
              </w:rPr>
              <w:t>条件</w:t>
            </w:r>
            <w:r>
              <w:rPr>
                <w:rFonts w:hint="eastAsia" w:asciiTheme="minorEastAsia" w:hAnsiTheme="minorEastAsia" w:eastAsiaTheme="minorEastAsia" w:cstheme="minorEastAsia"/>
                <w:color w:val="000000"/>
                <w:sz w:val="21"/>
                <w:szCs w:val="21"/>
              </w:rPr>
              <w:t>的，出具不予行政许可</w:t>
            </w:r>
            <w:r>
              <w:rPr>
                <w:rFonts w:hint="eastAsia" w:asciiTheme="minorEastAsia" w:hAnsiTheme="minorEastAsia" w:eastAsiaTheme="minorEastAsia" w:cstheme="minorEastAsia"/>
                <w:color w:val="000000"/>
                <w:sz w:val="21"/>
                <w:szCs w:val="21"/>
                <w:lang w:eastAsia="zh-CN"/>
              </w:rPr>
              <w:t>决定</w:t>
            </w:r>
            <w:r>
              <w:rPr>
                <w:rFonts w:hint="eastAsia" w:asciiTheme="minorEastAsia" w:hAnsiTheme="minorEastAsia" w:eastAsiaTheme="minorEastAsia" w:cstheme="minorEastAsia"/>
                <w:color w:val="000000"/>
                <w:sz w:val="21"/>
                <w:szCs w:val="21"/>
              </w:rPr>
              <w:t>书，说明理由。</w:t>
            </w:r>
            <w:r>
              <w:rPr>
                <w:rFonts w:hint="eastAsia" w:asciiTheme="minorEastAsia" w:hAnsiTheme="minorEastAsia" w:eastAsiaTheme="minorEastAsia" w:cstheme="minorEastAsia"/>
                <w:color w:val="000000"/>
                <w:sz w:val="21"/>
                <w:szCs w:val="21"/>
                <w:lang w:eastAsia="zh-CN"/>
              </w:rPr>
              <w:t>符合条件的，按程序进行。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restart"/>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决定</w:t>
            </w:r>
          </w:p>
        </w:tc>
        <w:tc>
          <w:tcPr>
            <w:tcW w:w="7732" w:type="dxa"/>
            <w:gridSpan w:val="3"/>
          </w:tcPr>
          <w:p>
            <w:pPr>
              <w:pStyle w:val="5"/>
              <w:widowControl w:val="0"/>
              <w:spacing w:line="277" w:lineRule="atLeast"/>
              <w:jc w:val="both"/>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 xml:space="preserve">时限： </w:t>
            </w:r>
            <w:r>
              <w:rPr>
                <w:rFonts w:hint="eastAsia" w:asciiTheme="minorEastAsia" w:hAnsiTheme="minorEastAsia" w:eastAsiaTheme="minorEastAsia" w:cstheme="minorEastAsia"/>
                <w:color w:val="000000"/>
                <w:sz w:val="21"/>
                <w:szCs w:val="21"/>
                <w:lang w:val="en-US" w:eastAsia="zh-CN"/>
              </w:rPr>
              <w:t>1</w:t>
            </w:r>
            <w:r>
              <w:rPr>
                <w:rFonts w:hint="eastAsia" w:asciiTheme="minorEastAsia" w:hAnsiTheme="minorEastAsia" w:eastAsiaTheme="minorEastAsia" w:cstheme="minorEastAsia"/>
                <w:color w:val="000000"/>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1064" w:type="dxa"/>
            <w:vMerge w:val="continue"/>
            <w:vAlign w:val="center"/>
          </w:tcPr>
          <w:p>
            <w:pPr>
              <w:jc w:val="center"/>
              <w:rPr>
                <w:rFonts w:hint="eastAsia" w:asciiTheme="minorEastAsia" w:hAnsiTheme="minorEastAsia" w:eastAsiaTheme="minorEastAsia" w:cstheme="minorEastAsia"/>
                <w:sz w:val="21"/>
                <w:szCs w:val="21"/>
                <w:vertAlign w:val="baseline"/>
              </w:rPr>
            </w:pPr>
          </w:p>
        </w:tc>
        <w:tc>
          <w:tcPr>
            <w:tcW w:w="7732" w:type="dxa"/>
            <w:gridSpan w:val="3"/>
          </w:tcPr>
          <w:p>
            <w:pP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color w:val="000000"/>
                <w:sz w:val="21"/>
                <w:szCs w:val="21"/>
              </w:rPr>
              <w:t>对不符合要求的，作出不予通过的书面意见，说明理由。符合要求的，批准予以行政许可</w:t>
            </w:r>
            <w:r>
              <w:rPr>
                <w:rFonts w:hint="eastAsia" w:asciiTheme="minorEastAsia" w:hAnsiTheme="minorEastAsia" w:cstheme="minorEastAsia"/>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4" w:hRule="atLeast"/>
        </w:trPr>
        <w:tc>
          <w:tcPr>
            <w:tcW w:w="2130" w:type="dxa"/>
            <w:gridSpan w:val="2"/>
            <w:vAlign w:val="center"/>
          </w:tcPr>
          <w:p>
            <w:pPr>
              <w:jc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审批监管对接</w:t>
            </w:r>
          </w:p>
        </w:tc>
        <w:tc>
          <w:tcPr>
            <w:tcW w:w="7732" w:type="dxa"/>
            <w:gridSpan w:val="3"/>
            <w:vAlign w:val="center"/>
          </w:tcPr>
          <w:p>
            <w:pPr>
              <w:jc w:val="both"/>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color w:val="000000"/>
                <w:sz w:val="21"/>
                <w:szCs w:val="21"/>
              </w:rPr>
              <w:t>对已经办理的行政许可事项，审批股负责以电子邮件或纸质函形式通知监管单位，负责事中事后监管。办结后1</w:t>
            </w:r>
            <w:r>
              <w:rPr>
                <w:rFonts w:hint="eastAsia" w:asciiTheme="minorEastAsia" w:hAnsiTheme="minorEastAsia" w:eastAsiaTheme="minorEastAsia" w:cstheme="minorEastAsia"/>
                <w:color w:val="000000"/>
                <w:sz w:val="21"/>
                <w:szCs w:val="21"/>
                <w:lang w:eastAsia="zh-CN"/>
              </w:rPr>
              <w:t>个工作</w:t>
            </w:r>
            <w:r>
              <w:rPr>
                <w:rFonts w:hint="eastAsia" w:asciiTheme="minorEastAsia" w:hAnsiTheme="minorEastAsia" w:eastAsiaTheme="minorEastAsia" w:cstheme="minorEastAsia"/>
                <w:color w:val="000000"/>
                <w:sz w:val="21"/>
                <w:szCs w:val="21"/>
              </w:rPr>
              <w:t>日内。</w:t>
            </w:r>
            <w:bookmarkStart w:id="0" w:name="_GoBack"/>
            <w:bookmarkEnd w:id="0"/>
          </w:p>
        </w:tc>
      </w:tr>
    </w:tbl>
    <w:p/>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E749C"/>
    <w:rsid w:val="2CD975F5"/>
    <w:rsid w:val="40DE749C"/>
    <w:rsid w:val="40E05196"/>
    <w:rsid w:val="56822ABB"/>
    <w:rsid w:val="64325718"/>
    <w:rsid w:val="6D535020"/>
    <w:rsid w:val="7EBF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WPS Plain"/>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17</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2021-11-30T05:55:00Z</dcterms:created>
  <dc:creator>Q</dc:creator>
  <cp:lastModifiedBy>Q</cp:lastModifiedBy>
  <dcterms:modified xsi:type="dcterms:W3CDTF">2021-11-30T06:29:33Z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