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exact"/>
          <w:jc w:val="center"/>
        </w:trPr>
        <w:tc>
          <w:tcPr>
            <w:tcW w:w="2266" w:type="dxa"/>
            <w:gridSpan w:val="2"/>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cs="宋体"/>
                <w:b w:val="0"/>
                <w:i w:val="0"/>
                <w:strike w:val="0"/>
                <w:color w:val="000000"/>
                <w:spacing w:val="0"/>
                <w:w w:val="100"/>
                <w:sz w:val="21"/>
                <w:szCs w:val="21"/>
                <w:lang w:val="en-US" w:eastAsia="zh-CN"/>
              </w:rPr>
              <w:t>`</w:t>
            </w:r>
            <w:r>
              <w:rPr>
                <w:rFonts w:hint="eastAsia" w:ascii="宋体" w:hAnsi="宋体" w:eastAsia="宋体" w:cs="宋体"/>
                <w:b w:val="0"/>
                <w:i w:val="0"/>
                <w:strike w:val="0"/>
                <w:color w:val="000000"/>
                <w:spacing w:val="0"/>
                <w:w w:val="100"/>
                <w:sz w:val="21"/>
                <w:szCs w:val="21"/>
              </w:rPr>
              <w:t>事项名称</w:t>
            </w: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color w:val="333333"/>
                <w:sz w:val="21"/>
                <w:szCs w:val="21"/>
                <w:lang w:eastAsia="zh-CN"/>
              </w:rPr>
              <w:t>商品房预售许可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2266" w:type="dxa"/>
            <w:gridSpan w:val="2"/>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审批权限</w:t>
            </w: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区级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5" w:hRule="exact"/>
          <w:jc w:val="center"/>
        </w:trPr>
        <w:tc>
          <w:tcPr>
            <w:tcW w:w="2266" w:type="dxa"/>
            <w:gridSpan w:val="2"/>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实施依据</w:t>
            </w:r>
          </w:p>
        </w:tc>
        <w:tc>
          <w:tcPr>
            <w:tcW w:w="6803" w:type="dxa"/>
            <w:gridSpan w:val="3"/>
            <w:tcBorders>
              <w:tl2br w:val="nil"/>
              <w:tr2bl w:val="nil"/>
            </w:tcBorders>
            <w:vAlign w:val="center"/>
          </w:tcPr>
          <w:p>
            <w:pPr>
              <w:widowControl w:val="0"/>
              <w:numPr>
                <w:ilvl w:val="0"/>
                <w:numId w:val="1"/>
              </w:numPr>
              <w:spacing w:line="308" w:lineRule="atLeast"/>
              <w:ind w:left="0" w:leftChars="0" w:firstLine="0" w:firstLineChars="0"/>
              <w:jc w:val="left"/>
              <w:rPr>
                <w:rFonts w:hint="eastAsia" w:ascii="宋体" w:hAnsi="宋体" w:cs="宋体"/>
                <w:sz w:val="21"/>
                <w:szCs w:val="21"/>
                <w:lang w:val="en-US" w:eastAsia="zh-CN"/>
              </w:rPr>
            </w:pPr>
            <w:r>
              <w:rPr>
                <w:rFonts w:hint="eastAsia" w:ascii="宋体" w:hAnsi="宋体" w:cs="宋体"/>
                <w:sz w:val="21"/>
                <w:szCs w:val="21"/>
                <w:lang w:eastAsia="zh-CN"/>
              </w:rPr>
              <w:t>《</w:t>
            </w:r>
            <w:r>
              <w:rPr>
                <w:rFonts w:hint="eastAsia" w:ascii="宋体" w:hAnsi="宋体" w:eastAsia="宋体" w:cs="宋体"/>
                <w:sz w:val="21"/>
                <w:szCs w:val="21"/>
              </w:rPr>
              <w:t>中华人民共和国城市房地产管理法》</w:t>
            </w:r>
            <w:r>
              <w:rPr>
                <w:rFonts w:hint="eastAsia" w:ascii="宋体" w:hAnsi="宋体" w:cs="宋体"/>
                <w:sz w:val="21"/>
                <w:szCs w:val="21"/>
                <w:lang w:eastAsia="zh-CN"/>
              </w:rPr>
              <w:t>第四十四条</w:t>
            </w:r>
          </w:p>
          <w:p>
            <w:pPr>
              <w:widowControl w:val="0"/>
              <w:numPr>
                <w:ilvl w:val="0"/>
                <w:numId w:val="1"/>
              </w:numPr>
              <w:spacing w:line="308" w:lineRule="atLeast"/>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color w:val="000000"/>
                <w:sz w:val="21"/>
                <w:szCs w:val="21"/>
                <w:lang w:eastAsia="zh-CN"/>
              </w:rPr>
              <w:t>城市房地产开发经营管理条例》</w:t>
            </w:r>
            <w:r>
              <w:rPr>
                <w:rFonts w:hint="eastAsia" w:ascii="宋体" w:hAnsi="宋体" w:eastAsia="宋体" w:cs="宋体"/>
                <w:color w:val="000000"/>
                <w:sz w:val="21"/>
                <w:szCs w:val="21"/>
                <w:lang w:val="en-US" w:eastAsia="zh-CN"/>
              </w:rPr>
              <w:t>(2010年12月29日修改）第二十</w:t>
            </w:r>
            <w:r>
              <w:rPr>
                <w:rFonts w:hint="eastAsia" w:ascii="宋体" w:hAnsi="宋体" w:cs="宋体"/>
                <w:color w:val="000000"/>
                <w:sz w:val="21"/>
                <w:szCs w:val="21"/>
                <w:lang w:val="en-US" w:eastAsia="zh-CN"/>
              </w:rPr>
              <w:t>三条</w:t>
            </w:r>
          </w:p>
          <w:p>
            <w:pPr>
              <w:widowControl w:val="0"/>
              <w:numPr>
                <w:ilvl w:val="0"/>
                <w:numId w:val="1"/>
              </w:numPr>
              <w:spacing w:line="308" w:lineRule="atLeast"/>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rPr>
              <w:t>《城市商品房预售管理办法》</w:t>
            </w:r>
            <w:r>
              <w:rPr>
                <w:rFonts w:hint="eastAsia" w:ascii="宋体" w:hAnsi="宋体" w:cs="宋体"/>
                <w:sz w:val="21"/>
                <w:szCs w:val="21"/>
                <w:lang w:eastAsia="zh-CN"/>
              </w:rPr>
              <w:t>（</w:t>
            </w:r>
            <w:r>
              <w:rPr>
                <w:rFonts w:hint="eastAsia" w:ascii="宋体" w:hAnsi="宋体" w:cs="宋体"/>
                <w:sz w:val="21"/>
                <w:szCs w:val="21"/>
                <w:lang w:val="en-US" w:eastAsia="zh-CN"/>
              </w:rPr>
              <w:t>2004年7月20日修改）第七条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exact"/>
          <w:jc w:val="center"/>
        </w:trPr>
        <w:tc>
          <w:tcPr>
            <w:tcW w:w="2266" w:type="dxa"/>
            <w:gridSpan w:val="2"/>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lang w:val="en-US" w:eastAsia="zh-CN"/>
              </w:rPr>
              <w:t>法定时限</w:t>
            </w:r>
          </w:p>
        </w:tc>
        <w:tc>
          <w:tcPr>
            <w:tcW w:w="2074" w:type="dxa"/>
            <w:tcBorders>
              <w:tl2br w:val="nil"/>
              <w:tr2bl w:val="nil"/>
            </w:tcBorders>
            <w:vAlign w:val="center"/>
          </w:tcPr>
          <w:p>
            <w:pPr>
              <w:pStyle w:val="19"/>
              <w:spacing w:line="277" w:lineRule="atLeast"/>
              <w:ind w:firstLine="420" w:firstLineChars="200"/>
              <w:jc w:val="center"/>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1</w:t>
            </w:r>
            <w:r>
              <w:rPr>
                <w:rFonts w:hint="eastAsia" w:ascii="宋体" w:hAnsi="宋体" w:cs="宋体"/>
                <w:b w:val="0"/>
                <w:i w:val="0"/>
                <w:strike w:val="0"/>
                <w:color w:val="000000"/>
                <w:spacing w:val="0"/>
                <w:w w:val="100"/>
                <w:sz w:val="21"/>
                <w:szCs w:val="21"/>
                <w:lang w:val="en-US" w:eastAsia="zh-CN"/>
              </w:rPr>
              <w:t>0</w:t>
            </w:r>
            <w:r>
              <w:rPr>
                <w:rFonts w:hint="eastAsia" w:ascii="宋体" w:hAnsi="宋体" w:eastAsia="宋体" w:cs="宋体"/>
                <w:b w:val="0"/>
                <w:i w:val="0"/>
                <w:strike w:val="0"/>
                <w:color w:val="000000"/>
                <w:spacing w:val="0"/>
                <w:w w:val="100"/>
                <w:sz w:val="21"/>
                <w:szCs w:val="21"/>
                <w:lang w:val="en-US" w:eastAsia="zh-CN"/>
              </w:rPr>
              <w:t>个工作日</w:t>
            </w:r>
          </w:p>
        </w:tc>
        <w:tc>
          <w:tcPr>
            <w:tcW w:w="2355" w:type="dxa"/>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lang w:eastAsia="zh-CN"/>
              </w:rPr>
              <w:t>承诺时限</w:t>
            </w:r>
          </w:p>
        </w:tc>
        <w:tc>
          <w:tcPr>
            <w:tcW w:w="2374" w:type="dxa"/>
            <w:tcBorders>
              <w:tl2br w:val="nil"/>
              <w:tr2bl w:val="nil"/>
            </w:tcBorders>
            <w:vAlign w:val="center"/>
          </w:tcPr>
          <w:p>
            <w:pPr>
              <w:pStyle w:val="19"/>
              <w:spacing w:line="277" w:lineRule="atLeast"/>
              <w:ind w:firstLine="420" w:firstLineChars="200"/>
              <w:jc w:val="both"/>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3</w:t>
            </w:r>
            <w:r>
              <w:rPr>
                <w:rFonts w:hint="eastAsia" w:ascii="宋体" w:hAnsi="宋体" w:eastAsia="宋体" w:cs="宋体"/>
                <w:b w:val="0"/>
                <w:i w:val="0"/>
                <w:strike w:val="0"/>
                <w:color w:val="000000"/>
                <w:spacing w:val="0"/>
                <w:w w:val="100"/>
                <w:sz w:val="21"/>
                <w:szCs w:val="21"/>
                <w:lang w:val="en-US" w:eastAsia="zh-CN"/>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1" w:hRule="exact"/>
          <w:jc w:val="center"/>
        </w:trPr>
        <w:tc>
          <w:tcPr>
            <w:tcW w:w="1133" w:type="dxa"/>
            <w:vMerge w:val="restart"/>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审批流程</w:t>
            </w:r>
          </w:p>
        </w:tc>
        <w:tc>
          <w:tcPr>
            <w:tcW w:w="1133" w:type="dxa"/>
            <w:vMerge w:val="restart"/>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　</w:t>
            </w:r>
            <w:r>
              <w:rPr>
                <w:rFonts w:hint="eastAsia" w:ascii="宋体" w:hAnsi="宋体" w:eastAsia="宋体" w:cs="宋体"/>
                <w:b w:val="0"/>
                <w:i w:val="0"/>
                <w:strike w:val="0"/>
                <w:color w:val="000000"/>
                <w:spacing w:val="0"/>
                <w:w w:val="100"/>
                <w:sz w:val="21"/>
                <w:szCs w:val="21"/>
                <w:lang w:val="en-US" w:eastAsia="zh-CN"/>
              </w:rPr>
              <w:t>受理</w:t>
            </w: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申报材料：</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1、</w:t>
            </w:r>
            <w:r>
              <w:rPr>
                <w:rFonts w:hint="eastAsia" w:ascii="宋体" w:hAnsi="宋体" w:eastAsia="宋体" w:cs="宋体"/>
                <w:b w:val="0"/>
                <w:i w:val="0"/>
                <w:strike w:val="0"/>
                <w:color w:val="000000"/>
                <w:spacing w:val="0"/>
                <w:w w:val="100"/>
                <w:sz w:val="21"/>
                <w:szCs w:val="21"/>
                <w:lang w:val="en-US" w:eastAsia="zh-CN"/>
              </w:rPr>
              <w:fldChar w:fldCharType="begin"/>
            </w:r>
            <w:r>
              <w:rPr>
                <w:rFonts w:hint="eastAsia" w:ascii="宋体" w:hAnsi="宋体" w:eastAsia="宋体" w:cs="宋体"/>
                <w:b w:val="0"/>
                <w:i w:val="0"/>
                <w:strike w:val="0"/>
                <w:color w:val="000000"/>
                <w:spacing w:val="0"/>
                <w:w w:val="100"/>
                <w:sz w:val="21"/>
                <w:szCs w:val="21"/>
                <w:lang w:val="en-US" w:eastAsia="zh-CN"/>
              </w:rPr>
              <w:instrText xml:space="preserve"> HYPERLINK "http://10.242.2.19/qlk/epointqlk/audititem/material/javascript:;" </w:instrText>
            </w:r>
            <w:r>
              <w:rPr>
                <w:rFonts w:hint="eastAsia" w:ascii="宋体" w:hAnsi="宋体" w:eastAsia="宋体" w:cs="宋体"/>
                <w:b w:val="0"/>
                <w:i w:val="0"/>
                <w:strike w:val="0"/>
                <w:color w:val="000000"/>
                <w:spacing w:val="0"/>
                <w:w w:val="100"/>
                <w:sz w:val="21"/>
                <w:szCs w:val="21"/>
                <w:lang w:val="en-US" w:eastAsia="zh-CN"/>
              </w:rPr>
              <w:fldChar w:fldCharType="separate"/>
            </w:r>
            <w:r>
              <w:rPr>
                <w:rFonts w:hint="eastAsia" w:ascii="宋体" w:hAnsi="宋体" w:eastAsia="宋体" w:cs="宋体"/>
                <w:b w:val="0"/>
                <w:i w:val="0"/>
                <w:strike w:val="0"/>
                <w:color w:val="000000"/>
                <w:spacing w:val="0"/>
                <w:w w:val="100"/>
                <w:sz w:val="21"/>
                <w:szCs w:val="21"/>
                <w:lang w:val="en-US" w:eastAsia="zh-CN"/>
              </w:rPr>
              <w:t>商品房预售许可申请表</w:t>
            </w:r>
            <w:r>
              <w:rPr>
                <w:rFonts w:hint="eastAsia" w:ascii="宋体" w:hAnsi="宋体" w:eastAsia="宋体" w:cs="宋体"/>
                <w:b w:val="0"/>
                <w:i w:val="0"/>
                <w:strike w:val="0"/>
                <w:color w:val="000000"/>
                <w:spacing w:val="0"/>
                <w:w w:val="100"/>
                <w:sz w:val="21"/>
                <w:szCs w:val="21"/>
                <w:lang w:val="en-US" w:eastAsia="zh-CN"/>
              </w:rPr>
              <w:fldChar w:fldCharType="end"/>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2、</w:t>
            </w:r>
            <w:r>
              <w:rPr>
                <w:rFonts w:hint="eastAsia" w:ascii="宋体" w:hAnsi="宋体" w:eastAsia="宋体" w:cs="宋体"/>
                <w:b w:val="0"/>
                <w:i w:val="0"/>
                <w:strike w:val="0"/>
                <w:color w:val="000000"/>
                <w:spacing w:val="0"/>
                <w:w w:val="100"/>
                <w:sz w:val="21"/>
                <w:szCs w:val="21"/>
                <w:lang w:val="en-US" w:eastAsia="zh-CN"/>
              </w:rPr>
              <w:fldChar w:fldCharType="begin"/>
            </w:r>
            <w:r>
              <w:rPr>
                <w:rFonts w:hint="eastAsia" w:ascii="宋体" w:hAnsi="宋体" w:eastAsia="宋体" w:cs="宋体"/>
                <w:b w:val="0"/>
                <w:i w:val="0"/>
                <w:strike w:val="0"/>
                <w:color w:val="000000"/>
                <w:spacing w:val="0"/>
                <w:w w:val="100"/>
                <w:sz w:val="21"/>
                <w:szCs w:val="21"/>
                <w:lang w:val="en-US" w:eastAsia="zh-CN"/>
              </w:rPr>
              <w:instrText xml:space="preserve"> HYPERLINK "http://10.242.2.19/qlk/epointqlk/audititem/material/javascript:;" </w:instrText>
            </w:r>
            <w:r>
              <w:rPr>
                <w:rFonts w:hint="eastAsia" w:ascii="宋体" w:hAnsi="宋体" w:eastAsia="宋体" w:cs="宋体"/>
                <w:b w:val="0"/>
                <w:i w:val="0"/>
                <w:strike w:val="0"/>
                <w:color w:val="000000"/>
                <w:spacing w:val="0"/>
                <w:w w:val="100"/>
                <w:sz w:val="21"/>
                <w:szCs w:val="21"/>
                <w:lang w:val="en-US" w:eastAsia="zh-CN"/>
              </w:rPr>
              <w:fldChar w:fldCharType="separate"/>
            </w:r>
            <w:r>
              <w:rPr>
                <w:rFonts w:hint="eastAsia" w:ascii="宋体" w:hAnsi="宋体" w:eastAsia="宋体" w:cs="宋体"/>
                <w:b w:val="0"/>
                <w:i w:val="0"/>
                <w:strike w:val="0"/>
                <w:color w:val="000000"/>
                <w:spacing w:val="0"/>
                <w:w w:val="100"/>
                <w:sz w:val="21"/>
                <w:szCs w:val="21"/>
                <w:lang w:val="en-US" w:eastAsia="zh-CN"/>
              </w:rPr>
              <w:t>企业营业执照</w:t>
            </w:r>
            <w:r>
              <w:rPr>
                <w:rFonts w:hint="eastAsia" w:ascii="宋体" w:hAnsi="宋体" w:eastAsia="宋体" w:cs="宋体"/>
                <w:b w:val="0"/>
                <w:i w:val="0"/>
                <w:strike w:val="0"/>
                <w:color w:val="000000"/>
                <w:spacing w:val="0"/>
                <w:w w:val="100"/>
                <w:sz w:val="21"/>
                <w:szCs w:val="21"/>
                <w:lang w:val="en-US" w:eastAsia="zh-CN"/>
              </w:rPr>
              <w:fldChar w:fldCharType="end"/>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3、房地产开发企业资质证书（暂定资质需提交质量责任担保函）</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4、国有土地使用权证书</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5、建设工程规划许可证</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6、按提供预售的商品房计算，投入开发建设的资金占工程建设总投资比例25%以上证明（在投资比例难以认定的情况下，可按工程建设达到规划许可的设计层数的三分之一以上整层主体完工进行把握）</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7、三方预售资金监管协议</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8、施工合同及施工进度说明</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9、商品房预售方案（包含建设项目基本情况，预售商品房的位置、面积、性质用途、销售方式、竣工交付日期、分层平面图等内容）</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　10、申请预售的商品房占用范围内的土地使用权查封情况证明；申请预售的商品房或者其占用范围内的土地使用权抵押情况证明。已设立抵押的，提交抵押权人已知晓办理预售许可的书面证明</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exact"/>
          <w:jc w:val="center"/>
        </w:trPr>
        <w:tc>
          <w:tcPr>
            <w:tcW w:w="1133" w:type="dxa"/>
            <w:vMerge w:val="continue"/>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tc>
        <w:tc>
          <w:tcPr>
            <w:tcW w:w="1133" w:type="dxa"/>
            <w:vMerge w:val="continue"/>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lang w:val="en-US" w:eastAsia="zh-CN"/>
              </w:rPr>
              <w:t>属于职责范围内的，资料齐全的</w:t>
            </w:r>
            <w:r>
              <w:rPr>
                <w:rFonts w:hint="eastAsia" w:ascii="宋体" w:hAnsi="宋体" w:cs="宋体"/>
                <w:b w:val="0"/>
                <w:i w:val="0"/>
                <w:strike w:val="0"/>
                <w:color w:val="000000"/>
                <w:spacing w:val="0"/>
                <w:w w:val="100"/>
                <w:sz w:val="21"/>
                <w:szCs w:val="21"/>
                <w:lang w:val="en-US" w:eastAsia="zh-CN"/>
              </w:rPr>
              <w:t>1个工作日内</w:t>
            </w:r>
            <w:r>
              <w:rPr>
                <w:rFonts w:hint="eastAsia" w:ascii="宋体" w:hAnsi="宋体" w:eastAsia="宋体" w:cs="宋体"/>
                <w:b w:val="0"/>
                <w:i w:val="0"/>
                <w:strike w:val="0"/>
                <w:color w:val="000000"/>
                <w:spacing w:val="0"/>
                <w:w w:val="100"/>
                <w:sz w:val="21"/>
                <w:szCs w:val="21"/>
                <w:lang w:val="en-US" w:eastAsia="zh-CN"/>
              </w:rPr>
              <w:t>受理，向申请人发放受理通知书，提交审批股审核。资料不齐全、不正确的，资料能当场修改的，指导申请人当场修改，不能当场修改的，向申请人发放受理通知书的同时，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eastAsia="宋体" w:cs="宋体"/>
                <w:b w:val="0"/>
                <w:i w:val="0"/>
                <w:strike w:val="0"/>
                <w:color w:val="000000"/>
                <w:spacing w:val="0"/>
                <w:w w:val="100"/>
                <w:sz w:val="21"/>
                <w:szCs w:val="21"/>
              </w:rPr>
              <w:t>审</w:t>
            </w:r>
            <w:r>
              <w:rPr>
                <w:rFonts w:hint="eastAsia" w:ascii="宋体" w:hAnsi="宋体" w:cs="宋体"/>
                <w:b w:val="0"/>
                <w:i w:val="0"/>
                <w:strike w:val="0"/>
                <w:color w:val="000000"/>
                <w:spacing w:val="0"/>
                <w:w w:val="100"/>
                <w:sz w:val="21"/>
                <w:szCs w:val="21"/>
                <w:lang w:eastAsia="zh-CN"/>
              </w:rPr>
              <w:t>查</w:t>
            </w: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时限：</w:t>
            </w:r>
            <w:r>
              <w:rPr>
                <w:rFonts w:hint="eastAsia" w:ascii="宋体" w:hAnsi="宋体" w:cs="宋体"/>
                <w:b w:val="0"/>
                <w:i w:val="0"/>
                <w:strike w:val="0"/>
                <w:color w:val="000000"/>
                <w:spacing w:val="0"/>
                <w:w w:val="100"/>
                <w:sz w:val="21"/>
                <w:szCs w:val="21"/>
                <w:lang w:val="en-US" w:eastAsia="zh-CN"/>
              </w:rPr>
              <w:t>1</w:t>
            </w:r>
            <w:r>
              <w:rPr>
                <w:rFonts w:hint="eastAsia" w:ascii="宋体" w:hAnsi="宋体" w:eastAsia="宋体" w:cs="宋体"/>
                <w:b w:val="0"/>
                <w:i w:val="0"/>
                <w:strike w:val="0"/>
                <w:color w:val="000000"/>
                <w:spacing w:val="0"/>
                <w:w w:val="1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rPr>
                <w:rFonts w:hint="eastAsia" w:ascii="宋体" w:hAnsi="宋体" w:eastAsia="宋体" w:cs="宋体"/>
                <w:sz w:val="21"/>
                <w:szCs w:val="21"/>
              </w:rPr>
            </w:pPr>
          </w:p>
        </w:tc>
        <w:tc>
          <w:tcPr>
            <w:tcW w:w="6803" w:type="dxa"/>
            <w:gridSpan w:val="3"/>
            <w:tcBorders>
              <w:tl2br w:val="nil"/>
              <w:tr2bl w:val="nil"/>
            </w:tcBorders>
            <w:vAlign w:val="center"/>
          </w:tcPr>
          <w:p>
            <w:pPr>
              <w:pStyle w:val="19"/>
              <w:spacing w:line="277" w:lineRule="atLeast"/>
              <w:jc w:val="both"/>
              <w:textAlignment w:val="center"/>
              <w:rPr>
                <w:color w:val="000000"/>
                <w:sz w:val="21"/>
              </w:rPr>
            </w:pPr>
            <w:r>
              <w:rPr>
                <w:color w:val="000000"/>
                <w:sz w:val="21"/>
              </w:rPr>
              <w:t>审</w:t>
            </w:r>
            <w:r>
              <w:rPr>
                <w:rFonts w:hint="eastAsia"/>
                <w:color w:val="000000"/>
                <w:sz w:val="21"/>
                <w:lang w:eastAsia="zh-CN"/>
              </w:rPr>
              <w:t>查</w:t>
            </w:r>
            <w:r>
              <w:rPr>
                <w:color w:val="000000"/>
                <w:sz w:val="21"/>
              </w:rPr>
              <w:t>人员结合申请人提交的全部资料，</w:t>
            </w:r>
            <w:r>
              <w:rPr>
                <w:rFonts w:hint="eastAsia"/>
                <w:color w:val="000000"/>
                <w:sz w:val="21"/>
                <w:lang w:eastAsia="zh-CN"/>
              </w:rPr>
              <w:t>进行全面审查，</w:t>
            </w:r>
            <w:r>
              <w:rPr>
                <w:rFonts w:hint="eastAsia"/>
                <w:color w:val="000000"/>
                <w:sz w:val="21"/>
                <w:lang w:val="en-US" w:eastAsia="zh-CN"/>
              </w:rPr>
              <w:t>1</w:t>
            </w:r>
            <w:r>
              <w:rPr>
                <w:color w:val="000000"/>
                <w:sz w:val="21"/>
              </w:rPr>
              <w:t xml:space="preserve"> </w:t>
            </w:r>
            <w:bookmarkStart w:id="0" w:name="_GoBack"/>
            <w:bookmarkEnd w:id="0"/>
            <w:r>
              <w:rPr>
                <w:color w:val="000000"/>
                <w:sz w:val="21"/>
              </w:rPr>
              <w:t>个工作日内做出</w:t>
            </w:r>
            <w:r>
              <w:rPr>
                <w:rFonts w:hint="eastAsia"/>
                <w:color w:val="000000"/>
                <w:sz w:val="21"/>
                <w:lang w:eastAsia="zh-CN"/>
              </w:rPr>
              <w:t>审查意见，</w:t>
            </w:r>
            <w:r>
              <w:rPr>
                <w:color w:val="000000"/>
                <w:sz w:val="21"/>
              </w:rPr>
              <w:t>报审批人员</w:t>
            </w:r>
            <w:r>
              <w:rPr>
                <w:rFonts w:hint="eastAsia"/>
                <w:color w:val="000000"/>
                <w:sz w:val="21"/>
                <w:lang w:eastAsia="zh-CN"/>
              </w:rPr>
              <w:t>。</w:t>
            </w:r>
            <w:r>
              <w:rPr>
                <w:color w:val="000000"/>
                <w:sz w:val="21"/>
              </w:rPr>
              <w:t>对不符合行政许可的，出具不予行政许可意见书，说明理由。</w:t>
            </w:r>
          </w:p>
          <w:p>
            <w:pPr>
              <w:pStyle w:val="19"/>
              <w:spacing w:line="277" w:lineRule="atLeast"/>
              <w:jc w:val="both"/>
              <w:textAlignment w:val="center"/>
              <w:rPr>
                <w:color w:val="000000"/>
                <w:sz w:val="21"/>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restart"/>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lang w:eastAsia="zh-CN"/>
              </w:rPr>
            </w:pPr>
            <w:r>
              <w:rPr>
                <w:rFonts w:hint="eastAsia" w:ascii="宋体" w:hAnsi="宋体" w:cs="宋体"/>
                <w:b w:val="0"/>
                <w:i w:val="0"/>
                <w:strike w:val="0"/>
                <w:color w:val="000000"/>
                <w:spacing w:val="0"/>
                <w:w w:val="100"/>
                <w:sz w:val="21"/>
                <w:szCs w:val="21"/>
                <w:lang w:eastAsia="zh-CN"/>
              </w:rPr>
              <w:t>决定</w:t>
            </w:r>
          </w:p>
        </w:tc>
        <w:tc>
          <w:tcPr>
            <w:tcW w:w="6803" w:type="dxa"/>
            <w:gridSpan w:val="3"/>
            <w:tcBorders>
              <w:bottom w:val="single" w:color="auto" w:sz="4" w:space="0"/>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时限：</w:t>
            </w:r>
            <w:r>
              <w:rPr>
                <w:rFonts w:hint="eastAsia" w:ascii="宋体" w:hAnsi="宋体" w:cs="宋体"/>
                <w:b w:val="0"/>
                <w:i w:val="0"/>
                <w:strike w:val="0"/>
                <w:color w:val="000000"/>
                <w:spacing w:val="0"/>
                <w:w w:val="100"/>
                <w:sz w:val="21"/>
                <w:szCs w:val="21"/>
                <w:lang w:val="en-US" w:eastAsia="zh-CN"/>
              </w:rPr>
              <w:t>1</w:t>
            </w:r>
            <w:r>
              <w:rPr>
                <w:rFonts w:hint="eastAsia" w:ascii="宋体" w:hAnsi="宋体" w:eastAsia="宋体" w:cs="宋体"/>
                <w:b w:val="0"/>
                <w:i w:val="0"/>
                <w:strike w:val="0"/>
                <w:color w:val="000000"/>
                <w:spacing w:val="0"/>
                <w:w w:val="100"/>
                <w:sz w:val="21"/>
                <w:szCs w:val="21"/>
              </w:rPr>
              <w:t>个工作日</w:t>
            </w: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exact"/>
          <w:jc w:val="center"/>
        </w:trPr>
        <w:tc>
          <w:tcPr>
            <w:tcW w:w="1133" w:type="dxa"/>
            <w:vMerge w:val="continue"/>
            <w:tcBorders>
              <w:tl2br w:val="nil"/>
              <w:tr2bl w:val="nil"/>
            </w:tcBorders>
            <w:vAlign w:val="center"/>
          </w:tcPr>
          <w:p>
            <w:pPr>
              <w:rPr>
                <w:rFonts w:hint="eastAsia" w:ascii="宋体" w:hAnsi="宋体" w:eastAsia="宋体" w:cs="宋体"/>
                <w:sz w:val="21"/>
                <w:szCs w:val="21"/>
              </w:rPr>
            </w:pPr>
          </w:p>
        </w:tc>
        <w:tc>
          <w:tcPr>
            <w:tcW w:w="1133" w:type="dxa"/>
            <w:vMerge w:val="continue"/>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p>
        </w:tc>
        <w:tc>
          <w:tcPr>
            <w:tcW w:w="6803" w:type="dxa"/>
            <w:gridSpan w:val="3"/>
            <w:tcBorders>
              <w:top w:val="single" w:color="auto" w:sz="4" w:space="0"/>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cs="宋体"/>
                <w:b w:val="0"/>
                <w:i w:val="0"/>
                <w:strike w:val="0"/>
                <w:color w:val="000000"/>
                <w:spacing w:val="0"/>
                <w:w w:val="100"/>
                <w:sz w:val="21"/>
                <w:szCs w:val="21"/>
                <w:lang w:eastAsia="zh-CN"/>
              </w:rPr>
              <w:t>决定</w:t>
            </w:r>
            <w:r>
              <w:rPr>
                <w:rFonts w:hint="eastAsia" w:ascii="宋体" w:hAnsi="宋体" w:eastAsia="宋体" w:cs="宋体"/>
                <w:b w:val="0"/>
                <w:i w:val="0"/>
                <w:strike w:val="0"/>
                <w:color w:val="000000"/>
                <w:spacing w:val="0"/>
                <w:w w:val="100"/>
                <w:sz w:val="21"/>
                <w:szCs w:val="21"/>
              </w:rPr>
              <w:t>人员根据审</w:t>
            </w:r>
            <w:r>
              <w:rPr>
                <w:rFonts w:hint="eastAsia" w:ascii="宋体" w:hAnsi="宋体" w:cs="宋体"/>
                <w:b w:val="0"/>
                <w:i w:val="0"/>
                <w:strike w:val="0"/>
                <w:color w:val="000000"/>
                <w:spacing w:val="0"/>
                <w:w w:val="100"/>
                <w:sz w:val="21"/>
                <w:szCs w:val="21"/>
                <w:lang w:eastAsia="zh-CN"/>
              </w:rPr>
              <w:t>查</w:t>
            </w:r>
            <w:r>
              <w:rPr>
                <w:rFonts w:hint="eastAsia" w:ascii="宋体" w:hAnsi="宋体" w:eastAsia="宋体" w:cs="宋体"/>
                <w:b w:val="0"/>
                <w:i w:val="0"/>
                <w:strike w:val="0"/>
                <w:color w:val="000000"/>
                <w:spacing w:val="0"/>
                <w:w w:val="100"/>
                <w:sz w:val="21"/>
                <w:szCs w:val="21"/>
              </w:rPr>
              <w:t>人员提交的材料，符合要求的，批准予以行政许可。对不符合要求的，出具不予行政许可意见书，说明理由。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exact"/>
          <w:jc w:val="center"/>
        </w:trPr>
        <w:tc>
          <w:tcPr>
            <w:tcW w:w="2266" w:type="dxa"/>
            <w:gridSpan w:val="2"/>
            <w:tcBorders>
              <w:tl2br w:val="nil"/>
              <w:tr2bl w:val="nil"/>
            </w:tcBorders>
            <w:vAlign w:val="center"/>
          </w:tcPr>
          <w:p>
            <w:pPr>
              <w:pStyle w:val="19"/>
              <w:spacing w:line="277" w:lineRule="atLeast"/>
              <w:jc w:val="center"/>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审批监管对接</w:t>
            </w:r>
          </w:p>
        </w:tc>
        <w:tc>
          <w:tcPr>
            <w:tcW w:w="6803" w:type="dxa"/>
            <w:gridSpan w:val="3"/>
            <w:tcBorders>
              <w:tl2br w:val="nil"/>
              <w:tr2bl w:val="nil"/>
            </w:tcBorders>
            <w:vAlign w:val="center"/>
          </w:tcPr>
          <w:p>
            <w:pPr>
              <w:pStyle w:val="19"/>
              <w:spacing w:line="277" w:lineRule="atLeast"/>
              <w:jc w:val="left"/>
              <w:textAlignment w:val="center"/>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对已经办理的行政许可事项，审批股负责以电子邮件或纸质函形式通知监管单位，负责事中事后监管。</w:t>
            </w:r>
            <w:r>
              <w:rPr>
                <w:rFonts w:hint="eastAsia" w:ascii="宋体" w:hAnsi="宋体" w:eastAsia="宋体" w:cs="宋体"/>
                <w:b w:val="0"/>
                <w:i w:val="0"/>
                <w:strike w:val="0"/>
                <w:color w:val="000000"/>
                <w:spacing w:val="0"/>
                <w:w w:val="100"/>
                <w:sz w:val="21"/>
                <w:szCs w:val="21"/>
                <w:lang w:eastAsia="zh-CN"/>
              </w:rPr>
              <w:t>办结后</w:t>
            </w:r>
            <w:r>
              <w:rPr>
                <w:rFonts w:hint="eastAsia" w:ascii="宋体" w:hAnsi="宋体" w:eastAsia="宋体" w:cs="宋体"/>
                <w:b w:val="0"/>
                <w:i w:val="0"/>
                <w:strike w:val="0"/>
                <w:color w:val="000000"/>
                <w:spacing w:val="0"/>
                <w:w w:val="100"/>
                <w:sz w:val="21"/>
                <w:szCs w:val="21"/>
                <w:lang w:val="en-US" w:eastAsia="zh-CN"/>
              </w:rPr>
              <w:t>1个工作日内</w:t>
            </w:r>
          </w:p>
        </w:tc>
      </w:tr>
    </w:tbl>
    <w:p>
      <w:pPr>
        <w:ind w:firstLine="0" w:firstLineChars="0"/>
        <w:rPr>
          <w:rFonts w:hint="eastAsia" w:ascii="宋体" w:hAnsi="宋体" w:eastAsia="宋体" w:cs="宋体"/>
          <w:sz w:val="21"/>
          <w:szCs w:val="21"/>
        </w:rPr>
      </w:pP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25AEA"/>
    <w:multiLevelType w:val="singleLevel"/>
    <w:tmpl w:val="93C25A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34AE"/>
    <w:rsid w:val="009D0F1F"/>
    <w:rsid w:val="021501AA"/>
    <w:rsid w:val="08DC1D27"/>
    <w:rsid w:val="103F0C26"/>
    <w:rsid w:val="118F495B"/>
    <w:rsid w:val="122F0950"/>
    <w:rsid w:val="15155916"/>
    <w:rsid w:val="15DC4361"/>
    <w:rsid w:val="182C4ED4"/>
    <w:rsid w:val="1AA8063B"/>
    <w:rsid w:val="1DC5132C"/>
    <w:rsid w:val="1E972AED"/>
    <w:rsid w:val="20B625F7"/>
    <w:rsid w:val="21505DA0"/>
    <w:rsid w:val="225F3C0F"/>
    <w:rsid w:val="2852067E"/>
    <w:rsid w:val="2F594CDD"/>
    <w:rsid w:val="2FBD3117"/>
    <w:rsid w:val="30A10425"/>
    <w:rsid w:val="30EE2D83"/>
    <w:rsid w:val="375E2223"/>
    <w:rsid w:val="3BCD672C"/>
    <w:rsid w:val="3E1F4977"/>
    <w:rsid w:val="406B78E6"/>
    <w:rsid w:val="40831FFE"/>
    <w:rsid w:val="4D7D3E6D"/>
    <w:rsid w:val="4FFB6583"/>
    <w:rsid w:val="509E54A5"/>
    <w:rsid w:val="50F20540"/>
    <w:rsid w:val="540231BD"/>
    <w:rsid w:val="56292959"/>
    <w:rsid w:val="59E73AAA"/>
    <w:rsid w:val="5A404FA0"/>
    <w:rsid w:val="5D9A38FE"/>
    <w:rsid w:val="64D02C17"/>
    <w:rsid w:val="674309FD"/>
    <w:rsid w:val="691B17A6"/>
    <w:rsid w:val="6ABC6E1A"/>
    <w:rsid w:val="6CEB0A0D"/>
    <w:rsid w:val="722A35EE"/>
    <w:rsid w:val="7470308D"/>
    <w:rsid w:val="76BF110B"/>
    <w:rsid w:val="79F732E5"/>
    <w:rsid w:val="7A4F191E"/>
    <w:rsid w:val="7FF170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ind w:firstLine="21" w:firstLineChars="200"/>
    </w:pPr>
    <w:rPr>
      <w:rFonts w:ascii="Times New Roman" w:hAnsi="Times New Roman" w:eastAsia="宋体" w:cs="Times New Roma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800080"/>
      <w:u w:val="none"/>
    </w:rPr>
  </w:style>
  <w:style w:type="character" w:styleId="9">
    <w:name w:val="Emphasis"/>
    <w:basedOn w:val="6"/>
    <w:qFormat/>
    <w:uiPriority w:val="0"/>
    <w:rPr>
      <w:b/>
    </w:rPr>
  </w:style>
  <w:style w:type="character" w:styleId="10">
    <w:name w:val="HTML Definition"/>
    <w:basedOn w:val="6"/>
    <w:qFormat/>
    <w:uiPriority w:val="0"/>
  </w:style>
  <w:style w:type="character" w:styleId="11">
    <w:name w:val="HTML Typewriter"/>
    <w:basedOn w:val="6"/>
    <w:qFormat/>
    <w:uiPriority w:val="0"/>
    <w:rPr>
      <w:rFonts w:ascii="monospace" w:hAnsi="monospace" w:eastAsia="monospace" w:cs="monospace"/>
      <w:sz w:val="20"/>
    </w:rPr>
  </w:style>
  <w:style w:type="character" w:styleId="12">
    <w:name w:val="HTML Acronym"/>
    <w:basedOn w:val="6"/>
    <w:qFormat/>
    <w:uiPriority w:val="0"/>
    <w:rPr>
      <w:bdr w:val="single" w:color="D6D6D6" w:sz="2" w:space="0"/>
      <w:shd w:val="clear" w:fill="F9F9F9"/>
    </w:rPr>
  </w:style>
  <w:style w:type="character" w:styleId="13">
    <w:name w:val="HTML Variable"/>
    <w:basedOn w:val="6"/>
    <w:uiPriority w:val="0"/>
  </w:style>
  <w:style w:type="character" w:styleId="14">
    <w:name w:val="Hyperlink"/>
    <w:basedOn w:val="6"/>
    <w:unhideWhenUsed/>
    <w:qFormat/>
    <w:uiPriority w:val="99"/>
    <w:rPr>
      <w:color w:val="0000FF"/>
      <w:u w:val="single"/>
    </w:rPr>
  </w:style>
  <w:style w:type="character" w:styleId="15">
    <w:name w:val="HTML Code"/>
    <w:basedOn w:val="6"/>
    <w:qFormat/>
    <w:uiPriority w:val="0"/>
    <w:rPr>
      <w:rFonts w:hint="default" w:ascii="monospace" w:hAnsi="monospace" w:eastAsia="monospace" w:cs="monospace"/>
      <w:sz w:val="20"/>
    </w:rPr>
  </w:style>
  <w:style w:type="character" w:styleId="16">
    <w:name w:val="HTML Cite"/>
    <w:basedOn w:val="6"/>
    <w:qFormat/>
    <w:uiPriority w:val="0"/>
  </w:style>
  <w:style w:type="character" w:styleId="17">
    <w:name w:val="HTML Keyboard"/>
    <w:basedOn w:val="6"/>
    <w:qFormat/>
    <w:uiPriority w:val="0"/>
    <w:rPr>
      <w:rFonts w:hint="default"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paragraph" w:customStyle="1" w:styleId="19">
    <w:name w:val="WPS Plain"/>
    <w:qFormat/>
    <w:uiPriority w:val="0"/>
    <w:rPr>
      <w:rFonts w:ascii="Times New Roman" w:hAnsi="Times New Roman" w:eastAsia="宋体" w:cs="Times New Roman"/>
    </w:rPr>
  </w:style>
  <w:style w:type="character" w:customStyle="1" w:styleId="20">
    <w:name w:val="hover1"/>
    <w:basedOn w:val="6"/>
    <w:uiPriority w:val="0"/>
    <w:rPr>
      <w:color w:val="2590EB"/>
    </w:rPr>
  </w:style>
  <w:style w:type="character" w:customStyle="1" w:styleId="21">
    <w:name w:val="hover2"/>
    <w:basedOn w:val="6"/>
    <w:uiPriority w:val="0"/>
    <w:rPr>
      <w:color w:val="2590EB"/>
    </w:rPr>
  </w:style>
  <w:style w:type="character" w:customStyle="1" w:styleId="22">
    <w:name w:val="hover3"/>
    <w:basedOn w:val="6"/>
    <w:uiPriority w:val="0"/>
  </w:style>
  <w:style w:type="character" w:customStyle="1" w:styleId="23">
    <w:name w:val="hover"/>
    <w:basedOn w:val="6"/>
    <w:uiPriority w:val="0"/>
    <w:rPr>
      <w:color w:val="2590EB"/>
    </w:rPr>
  </w:style>
  <w:style w:type="character" w:customStyle="1" w:styleId="24">
    <w:name w:val="mini-outputtext1"/>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zh001</dc:creator>
  <cp:lastModifiedBy>嫣语声秀</cp:lastModifiedBy>
  <dcterms:modified xsi:type="dcterms:W3CDTF">2021-12-01T07:08:49Z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B63D6453CF7C429CB6CDF8208C4626AB</vt:lpwstr>
  </property>
</Properties>
</file>