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4"/>
        <w:gridCol w:w="1888"/>
        <w:gridCol w:w="2368"/>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事项名称</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color w:val="000000"/>
                <w:sz w:val="24"/>
              </w:rPr>
              <w:t>人防通信、警报设施拆除、迁移批准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审批权限</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区级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实施依据</w:t>
            </w:r>
          </w:p>
        </w:tc>
        <w:tc>
          <w:tcPr>
            <w:tcW w:w="7732" w:type="dxa"/>
            <w:gridSpan w:val="3"/>
            <w:vAlign w:val="top"/>
          </w:tcPr>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1、《中华人民共和国人民防空法》（1996年10月29日第八届全国人民代表大会常务委员会第二十二次会议通过，2009年8月27日修正）第</w:t>
            </w:r>
            <w:r>
              <w:rPr>
                <w:rFonts w:hint="eastAsia" w:asciiTheme="minorEastAsia" w:hAnsiTheme="minorEastAsia" w:cstheme="minorEastAsia"/>
                <w:sz w:val="21"/>
                <w:szCs w:val="21"/>
                <w:lang w:val="en-US" w:eastAsia="zh-CN"/>
              </w:rPr>
              <w:t>三十五</w:t>
            </w:r>
            <w:r>
              <w:rPr>
                <w:rFonts w:hint="eastAsia" w:asciiTheme="minorEastAsia" w:hAnsiTheme="minorEastAsia" w:eastAsiaTheme="minorEastAsia" w:cstheme="minorEastAsia"/>
                <w:sz w:val="21"/>
                <w:szCs w:val="21"/>
                <w:lang w:val="en-US" w:eastAsia="zh-CN"/>
              </w:rPr>
              <w:t>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河北省实施〈中华人民共和国人民防空法〉办法》（根据2010年7月30日河北省第十一届人民代表大会常务委员会第十七1998年12月26日河北省第九届人民代表大会常务委员会第六次会议通过，2010年7月30日第二次修正）第</w:t>
            </w:r>
            <w:r>
              <w:rPr>
                <w:rFonts w:hint="eastAsia" w:asciiTheme="minorEastAsia" w:hAnsiTheme="minorEastAsia" w:cstheme="minorEastAsia"/>
                <w:sz w:val="21"/>
                <w:szCs w:val="21"/>
                <w:lang w:val="en-US" w:eastAsia="zh-CN"/>
              </w:rPr>
              <w:t>二十</w:t>
            </w:r>
            <w:r>
              <w:rPr>
                <w:rFonts w:hint="eastAsia" w:asciiTheme="minorEastAsia" w:hAnsiTheme="minorEastAsia" w:eastAsiaTheme="minorEastAsia" w:cstheme="minorEastAsia"/>
                <w:sz w:val="21"/>
                <w:szCs w:val="21"/>
                <w:lang w:val="en-US" w:eastAsia="zh-CN"/>
              </w:rPr>
              <w:t>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rPr>
              <w:t>3、《河北省人民政府办公厅关于规范全省工程建设项目审批流程推行标准化审批文本的通知》</w:t>
            </w:r>
            <w:r>
              <w:rPr>
                <w:rFonts w:hint="eastAsia" w:asciiTheme="minorEastAsia" w:hAnsiTheme="minorEastAsia" w:cstheme="minorEastAsia"/>
                <w:sz w:val="21"/>
                <w:szCs w:val="21"/>
                <w:lang w:val="en-US" w:eastAsia="zh-CN"/>
              </w:rPr>
              <w:t>（冀政办字〔2020〕107号）“人防通信、警报设施拆除、迁移批准”，行使层级为“市级、县级”。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法定时限</w:t>
            </w:r>
          </w:p>
        </w:tc>
        <w:tc>
          <w:tcPr>
            <w:tcW w:w="188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35</w:t>
            </w:r>
            <w:r>
              <w:rPr>
                <w:rFonts w:hint="eastAsia" w:asciiTheme="minorEastAsia" w:hAnsiTheme="minorEastAsia" w:eastAsiaTheme="minorEastAsia" w:cstheme="minorEastAsia"/>
                <w:color w:val="000000"/>
                <w:sz w:val="21"/>
                <w:szCs w:val="21"/>
              </w:rPr>
              <w:t>个工作日</w:t>
            </w:r>
          </w:p>
        </w:tc>
        <w:tc>
          <w:tcPr>
            <w:tcW w:w="236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承诺时限</w:t>
            </w:r>
          </w:p>
        </w:tc>
        <w:tc>
          <w:tcPr>
            <w:tcW w:w="3476"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审批流程</w:t>
            </w: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受理</w:t>
            </w:r>
          </w:p>
        </w:tc>
        <w:tc>
          <w:tcPr>
            <w:tcW w:w="7732" w:type="dxa"/>
            <w:gridSpan w:val="3"/>
            <w:vAlign w:val="center"/>
          </w:tcPr>
          <w:p>
            <w:pPr>
              <w:pStyle w:val="5"/>
              <w:widowControl w:val="0"/>
              <w:spacing w:line="277" w:lineRule="atLeast"/>
              <w:jc w:val="left"/>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时限：1个工作日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7"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top"/>
          </w:tcPr>
          <w:p>
            <w:pPr>
              <w:spacing w:line="360" w:lineRule="auto"/>
              <w:ind w:firstLineChars="1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申报材料：</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人防通信、警报设施拆除、迁移行政许可申请表</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2</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人防通信、警报设施拆除、迁移方案</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3</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人防通信、警报设施拆除、迁移位置平面图</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4</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规划、建设、发改等部门的相关批准文件</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人防通信、警报设施（移交）登记表</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6</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人防通信、警报设施接收单位资料（迁移）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属于职责范围内的，</w:t>
            </w:r>
            <w:r>
              <w:rPr>
                <w:rFonts w:hint="eastAsia" w:asciiTheme="minorEastAsia" w:hAnsiTheme="minorEastAsia" w:eastAsiaTheme="minorEastAsia" w:cstheme="minorEastAsia"/>
                <w:color w:val="000000"/>
                <w:sz w:val="21"/>
                <w:szCs w:val="21"/>
                <w:lang w:eastAsia="zh-CN"/>
              </w:rPr>
              <w:t>自收到申请之日起</w:t>
            </w:r>
            <w:r>
              <w:rPr>
                <w:rFonts w:hint="eastAsia" w:asciiTheme="minorEastAsia" w:hAnsiTheme="minorEastAsia" w:eastAsiaTheme="minorEastAsia" w:cstheme="minorEastAsia"/>
                <w:color w:val="000000"/>
                <w:sz w:val="21"/>
                <w:szCs w:val="21"/>
                <w:lang w:val="en-US" w:eastAsia="zh-CN"/>
              </w:rPr>
              <w:t>1个工作内材料齐全的进行受理；材料不齐全的一次性告知需补齐材料；不符合条件的出具不予受理通知书</w:t>
            </w: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审查</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审核人员结合申请人提交的全部资料，</w:t>
            </w:r>
            <w:r>
              <w:rPr>
                <w:rFonts w:hint="eastAsia" w:asciiTheme="minorEastAsia" w:hAnsiTheme="minorEastAsia" w:eastAsiaTheme="minorEastAsia" w:cstheme="minorEastAsia"/>
                <w:color w:val="000000"/>
                <w:sz w:val="21"/>
                <w:szCs w:val="21"/>
                <w:lang w:eastAsia="zh-CN"/>
              </w:rPr>
              <w:t>对材料的合法合规</w:t>
            </w:r>
            <w:bookmarkStart w:id="0" w:name="_GoBack"/>
            <w:bookmarkEnd w:id="0"/>
            <w:r>
              <w:rPr>
                <w:rFonts w:hint="eastAsia" w:asciiTheme="minorEastAsia" w:hAnsiTheme="minorEastAsia" w:eastAsiaTheme="minorEastAsia" w:cstheme="minorEastAsia"/>
                <w:color w:val="000000"/>
                <w:sz w:val="21"/>
                <w:szCs w:val="21"/>
                <w:lang w:eastAsia="zh-CN"/>
              </w:rPr>
              <w:t>性进行审查，并</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个工作日内做出审核意见。不符合</w:t>
            </w:r>
            <w:r>
              <w:rPr>
                <w:rFonts w:hint="eastAsia" w:asciiTheme="minorEastAsia" w:hAnsiTheme="minorEastAsia" w:eastAsiaTheme="minorEastAsia" w:cstheme="minorEastAsia"/>
                <w:color w:val="000000"/>
                <w:sz w:val="21"/>
                <w:szCs w:val="21"/>
                <w:lang w:eastAsia="zh-CN"/>
              </w:rPr>
              <w:t>条件</w:t>
            </w:r>
            <w:r>
              <w:rPr>
                <w:rFonts w:hint="eastAsia" w:asciiTheme="minorEastAsia" w:hAnsiTheme="minorEastAsia" w:eastAsiaTheme="minorEastAsia" w:cstheme="minorEastAsia"/>
                <w:color w:val="000000"/>
                <w:sz w:val="21"/>
                <w:szCs w:val="21"/>
              </w:rPr>
              <w:t>的，出具不予行政许可</w:t>
            </w:r>
            <w:r>
              <w:rPr>
                <w:rFonts w:hint="eastAsia" w:asciiTheme="minorEastAsia" w:hAnsiTheme="minorEastAsia" w:eastAsiaTheme="minorEastAsia" w:cstheme="minorEastAsia"/>
                <w:color w:val="000000"/>
                <w:sz w:val="21"/>
                <w:szCs w:val="21"/>
                <w:lang w:eastAsia="zh-CN"/>
              </w:rPr>
              <w:t>决定</w:t>
            </w:r>
            <w:r>
              <w:rPr>
                <w:rFonts w:hint="eastAsia" w:asciiTheme="minorEastAsia" w:hAnsiTheme="minorEastAsia" w:eastAsiaTheme="minorEastAsia" w:cstheme="minorEastAsia"/>
                <w:color w:val="000000"/>
                <w:sz w:val="21"/>
                <w:szCs w:val="21"/>
              </w:rPr>
              <w:t>书，说明理由。</w:t>
            </w:r>
            <w:r>
              <w:rPr>
                <w:rFonts w:hint="eastAsia" w:asciiTheme="minorEastAsia" w:hAnsiTheme="minorEastAsia" w:eastAsiaTheme="minorEastAsia" w:cstheme="minorEastAsia"/>
                <w:color w:val="000000"/>
                <w:sz w:val="21"/>
                <w:szCs w:val="21"/>
                <w:lang w:eastAsia="zh-CN"/>
              </w:rPr>
              <w:t>符合条件的，按程序进行。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决定</w:t>
            </w:r>
          </w:p>
        </w:tc>
        <w:tc>
          <w:tcPr>
            <w:tcW w:w="7732" w:type="dxa"/>
            <w:gridSpan w:val="3"/>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tcPr>
          <w:p>
            <w:pP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color w:val="000000"/>
                <w:sz w:val="21"/>
                <w:szCs w:val="21"/>
              </w:rPr>
              <w:t>对不符合要求的，作出不予通过的书面意见，说明理由。符合要求的，批准予以行政许可</w:t>
            </w:r>
            <w:r>
              <w:rPr>
                <w:rFonts w:hint="eastAsia" w:asciiTheme="minorEastAsia" w:hAnsiTheme="minorEastAsia" w:cstheme="minorEastAsia"/>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9" w:hRule="atLeast"/>
        </w:trPr>
        <w:tc>
          <w:tcPr>
            <w:tcW w:w="2130" w:type="dxa"/>
            <w:gridSpan w:val="2"/>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审批监管对接</w:t>
            </w:r>
          </w:p>
        </w:tc>
        <w:tc>
          <w:tcPr>
            <w:tcW w:w="7732" w:type="dxa"/>
            <w:gridSpan w:val="3"/>
            <w:vAlign w:val="center"/>
          </w:tcPr>
          <w:p>
            <w:pPr>
              <w:jc w:val="both"/>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对已经办理的行政许可事项，审批股负责以电子邮件或纸质函形式通知监管单位，负责事中事后监管。办结后1</w:t>
            </w:r>
            <w:r>
              <w:rPr>
                <w:rFonts w:hint="eastAsia" w:asciiTheme="minorEastAsia" w:hAnsiTheme="minorEastAsia" w:eastAsia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日内。</w:t>
            </w:r>
          </w:p>
        </w:tc>
      </w:tr>
    </w:tbl>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E749C"/>
    <w:rsid w:val="40DE749C"/>
    <w:rsid w:val="40E05196"/>
    <w:rsid w:val="6D535020"/>
    <w:rsid w:val="7EBF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WPS Plain"/>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2021-11-30T05:55:00Z</dcterms:created>
  <dc:creator>Q</dc:creator>
  <cp:lastModifiedBy>Q</cp:lastModifiedBy>
  <dcterms:modified xsi:type="dcterms:W3CDTF">2021-11-30T06:14:02Z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