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906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33"/>
        <w:gridCol w:w="1133"/>
        <w:gridCol w:w="2074"/>
        <w:gridCol w:w="2355"/>
        <w:gridCol w:w="23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exact"/>
          <w:jc w:val="center"/>
        </w:trPr>
        <w:tc>
          <w:tcPr>
            <w:tcW w:w="2266" w:type="dxa"/>
            <w:gridSpan w:val="2"/>
            <w:tcBorders>
              <w:tl2br w:val="nil"/>
              <w:tr2bl w:val="nil"/>
            </w:tcBorders>
            <w:vAlign w:val="center"/>
          </w:tcPr>
          <w:p>
            <w:pPr>
              <w:pStyle w:val="8"/>
              <w:spacing w:line="277" w:lineRule="atLeast"/>
              <w:jc w:val="center"/>
              <w:textAlignment w:val="center"/>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事项名称</w:t>
            </w:r>
          </w:p>
        </w:tc>
        <w:tc>
          <w:tcPr>
            <w:tcW w:w="6803" w:type="dxa"/>
            <w:gridSpan w:val="3"/>
            <w:tcBorders>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工程建设涉及城市绿地、树木审批（临时占用城市绿化用地审批）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9" w:hRule="exact"/>
          <w:jc w:val="center"/>
        </w:trPr>
        <w:tc>
          <w:tcPr>
            <w:tcW w:w="2266" w:type="dxa"/>
            <w:gridSpan w:val="2"/>
            <w:tcBorders>
              <w:tl2br w:val="nil"/>
              <w:tr2bl w:val="nil"/>
            </w:tcBorders>
            <w:vAlign w:val="center"/>
          </w:tcPr>
          <w:p>
            <w:pPr>
              <w:pStyle w:val="8"/>
              <w:spacing w:line="277" w:lineRule="atLeast"/>
              <w:jc w:val="center"/>
              <w:textAlignment w:val="center"/>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审批权限</w:t>
            </w:r>
          </w:p>
        </w:tc>
        <w:tc>
          <w:tcPr>
            <w:tcW w:w="6803" w:type="dxa"/>
            <w:gridSpan w:val="3"/>
            <w:tcBorders>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 xml:space="preserve">区级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5" w:hRule="exact"/>
          <w:jc w:val="center"/>
        </w:trPr>
        <w:tc>
          <w:tcPr>
            <w:tcW w:w="2266" w:type="dxa"/>
            <w:gridSpan w:val="2"/>
            <w:tcBorders>
              <w:tl2br w:val="nil"/>
              <w:tr2bl w:val="nil"/>
            </w:tcBorders>
            <w:vAlign w:val="center"/>
          </w:tcPr>
          <w:p>
            <w:pPr>
              <w:pStyle w:val="8"/>
              <w:spacing w:line="277" w:lineRule="atLeast"/>
              <w:jc w:val="center"/>
              <w:textAlignment w:val="center"/>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实施依据</w:t>
            </w:r>
          </w:p>
        </w:tc>
        <w:tc>
          <w:tcPr>
            <w:tcW w:w="6803" w:type="dxa"/>
            <w:gridSpan w:val="3"/>
            <w:tcBorders>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《城市绿化条例》(2017年3月21日修改）第二十一条、第二十二条、</w:t>
            </w: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第二十五条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exact"/>
          <w:jc w:val="center"/>
        </w:trPr>
        <w:tc>
          <w:tcPr>
            <w:tcW w:w="2266" w:type="dxa"/>
            <w:gridSpan w:val="2"/>
            <w:tcBorders>
              <w:tl2br w:val="nil"/>
              <w:tr2bl w:val="nil"/>
            </w:tcBorders>
            <w:vAlign w:val="center"/>
          </w:tcPr>
          <w:p>
            <w:pPr>
              <w:pStyle w:val="8"/>
              <w:spacing w:line="277" w:lineRule="atLeast"/>
              <w:jc w:val="center"/>
              <w:textAlignment w:val="center"/>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lang w:val="en-US" w:eastAsia="zh-CN"/>
              </w:rPr>
              <w:t>法定时限</w:t>
            </w:r>
          </w:p>
        </w:tc>
        <w:tc>
          <w:tcPr>
            <w:tcW w:w="2074" w:type="dxa"/>
            <w:tcBorders>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20个工作日</w:t>
            </w:r>
          </w:p>
        </w:tc>
        <w:tc>
          <w:tcPr>
            <w:tcW w:w="2355" w:type="dxa"/>
            <w:tcBorders>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承诺时限</w:t>
            </w:r>
          </w:p>
        </w:tc>
        <w:tc>
          <w:tcPr>
            <w:tcW w:w="2374" w:type="dxa"/>
            <w:tcBorders>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3个工作日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2" w:hRule="exact"/>
          <w:jc w:val="center"/>
        </w:trPr>
        <w:tc>
          <w:tcPr>
            <w:tcW w:w="1133" w:type="dxa"/>
            <w:vMerge w:val="restart"/>
            <w:tcBorders>
              <w:tl2br w:val="nil"/>
              <w:tr2bl w:val="nil"/>
            </w:tcBorders>
            <w:vAlign w:val="center"/>
          </w:tcPr>
          <w:p>
            <w:pPr>
              <w:ind w:left="0" w:leftChars="0" w:firstLine="210" w:firstLineChars="100"/>
              <w:rPr>
                <w:rFonts w:hint="eastAsia" w:ascii="宋体" w:hAnsi="宋体" w:eastAsia="宋体" w:cs="宋体"/>
                <w:sz w:val="21"/>
                <w:szCs w:val="21"/>
                <w:lang w:eastAsia="zh-CN"/>
              </w:rPr>
            </w:pPr>
            <w:r>
              <w:rPr>
                <w:rFonts w:hint="eastAsia" w:ascii="宋体" w:hAnsi="宋体" w:eastAsia="宋体" w:cs="宋体"/>
                <w:sz w:val="21"/>
                <w:szCs w:val="21"/>
                <w:lang w:eastAsia="zh-CN"/>
              </w:rPr>
              <w:t>审批流程</w:t>
            </w:r>
          </w:p>
        </w:tc>
        <w:tc>
          <w:tcPr>
            <w:tcW w:w="1133" w:type="dxa"/>
            <w:vMerge w:val="restart"/>
            <w:tcBorders>
              <w:tl2br w:val="nil"/>
              <w:tr2bl w:val="nil"/>
            </w:tcBorders>
            <w:vAlign w:val="center"/>
          </w:tcPr>
          <w:p>
            <w:pPr>
              <w:rPr>
                <w:rFonts w:hint="eastAsia" w:ascii="宋体" w:hAnsi="宋体" w:eastAsia="宋体" w:cs="宋体"/>
                <w:sz w:val="21"/>
                <w:szCs w:val="21"/>
                <w:lang w:eastAsia="zh-CN"/>
              </w:rPr>
            </w:pPr>
            <w:r>
              <w:rPr>
                <w:rFonts w:hint="eastAsia" w:ascii="宋体" w:hAnsi="宋体" w:eastAsia="宋体" w:cs="宋体"/>
                <w:sz w:val="21"/>
                <w:szCs w:val="21"/>
                <w:lang w:eastAsia="zh-CN"/>
              </w:rPr>
              <w:t>受理</w:t>
            </w:r>
          </w:p>
        </w:tc>
        <w:tc>
          <w:tcPr>
            <w:tcW w:w="6803" w:type="dxa"/>
            <w:gridSpan w:val="3"/>
            <w:tcBorders>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申报材料：</w:t>
            </w: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 xml:space="preserve">1、行政许可申请书； </w:t>
            </w: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 xml:space="preserve">2. 地形图 （临时占用绿地）； </w:t>
            </w: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3. 临时占用绿地权属人意见；</w:t>
            </w: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 xml:space="preserve">4. 临时占用项目用地批准文件（建筑工程规划许可证和建设工程设计方案）； </w:t>
            </w: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5. 项目完工后恢复协议（包括恢复承诺书、恢复具体时间和方案）。</w:t>
            </w: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18" w:hRule="exact"/>
          <w:jc w:val="center"/>
        </w:trPr>
        <w:tc>
          <w:tcPr>
            <w:tcW w:w="1133" w:type="dxa"/>
            <w:vMerge w:val="continue"/>
            <w:tcBorders>
              <w:tl2br w:val="nil"/>
              <w:tr2bl w:val="nil"/>
            </w:tcBorders>
            <w:vAlign w:val="center"/>
          </w:tcPr>
          <w:p>
            <w:pPr>
              <w:rPr>
                <w:rFonts w:hint="eastAsia" w:ascii="宋体" w:hAnsi="宋体" w:eastAsia="宋体" w:cs="宋体"/>
                <w:sz w:val="21"/>
                <w:szCs w:val="21"/>
              </w:rPr>
            </w:pPr>
          </w:p>
        </w:tc>
        <w:tc>
          <w:tcPr>
            <w:tcW w:w="1133" w:type="dxa"/>
            <w:vMerge w:val="continue"/>
            <w:tcBorders>
              <w:tl2br w:val="nil"/>
              <w:tr2bl w:val="nil"/>
            </w:tcBorders>
            <w:vAlign w:val="center"/>
          </w:tcPr>
          <w:p>
            <w:pPr>
              <w:rPr>
                <w:rFonts w:hint="eastAsia" w:ascii="宋体" w:hAnsi="宋体" w:eastAsia="宋体" w:cs="宋体"/>
                <w:sz w:val="21"/>
                <w:szCs w:val="21"/>
              </w:rPr>
            </w:pPr>
          </w:p>
        </w:tc>
        <w:tc>
          <w:tcPr>
            <w:tcW w:w="6803" w:type="dxa"/>
            <w:gridSpan w:val="3"/>
            <w:tcBorders>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属于职责范围内的，资料齐全的1个工作日内受理，向申请人发放受理通知书，提交审批股审核。资料不齐全、不正确的，资料能当场修改的，指导申请人当场修改，不能当场修改的，向申请人发放受理通知书的同时，向申请人发放补正通知书。不属于本窗口业务范围或该申请不需要取得行政许可的，不予受理，并文字告知不予受理的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exact"/>
          <w:jc w:val="center"/>
        </w:trPr>
        <w:tc>
          <w:tcPr>
            <w:tcW w:w="1133" w:type="dxa"/>
            <w:vMerge w:val="continue"/>
            <w:tcBorders>
              <w:tl2br w:val="nil"/>
              <w:tr2bl w:val="nil"/>
            </w:tcBorders>
            <w:vAlign w:val="center"/>
          </w:tcPr>
          <w:p>
            <w:pPr>
              <w:rPr>
                <w:rFonts w:hint="eastAsia" w:ascii="宋体" w:hAnsi="宋体" w:eastAsia="宋体" w:cs="宋体"/>
                <w:sz w:val="21"/>
                <w:szCs w:val="21"/>
              </w:rPr>
            </w:pPr>
          </w:p>
        </w:tc>
        <w:tc>
          <w:tcPr>
            <w:tcW w:w="1133" w:type="dxa"/>
            <w:vMerge w:val="restart"/>
            <w:tcBorders>
              <w:tl2br w:val="nil"/>
              <w:tr2bl w:val="nil"/>
            </w:tcBorders>
            <w:vAlign w:val="center"/>
          </w:tcPr>
          <w:p>
            <w:pPr>
              <w:pStyle w:val="8"/>
              <w:spacing w:line="277" w:lineRule="atLeast"/>
              <w:jc w:val="center"/>
              <w:textAlignment w:val="center"/>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审</w:t>
            </w:r>
            <w:r>
              <w:rPr>
                <w:rFonts w:hint="eastAsia" w:ascii="宋体" w:hAnsi="宋体" w:cs="宋体"/>
                <w:b w:val="0"/>
                <w:i w:val="0"/>
                <w:strike w:val="0"/>
                <w:color w:val="000000"/>
                <w:spacing w:val="0"/>
                <w:w w:val="100"/>
                <w:sz w:val="21"/>
                <w:szCs w:val="21"/>
                <w:lang w:eastAsia="zh-CN"/>
              </w:rPr>
              <w:t>查</w:t>
            </w:r>
          </w:p>
        </w:tc>
        <w:tc>
          <w:tcPr>
            <w:tcW w:w="6803" w:type="dxa"/>
            <w:gridSpan w:val="3"/>
            <w:tcBorders>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时限：1个工作日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exact"/>
          <w:jc w:val="center"/>
        </w:trPr>
        <w:tc>
          <w:tcPr>
            <w:tcW w:w="1133" w:type="dxa"/>
            <w:vMerge w:val="continue"/>
            <w:tcBorders>
              <w:tl2br w:val="nil"/>
              <w:tr2bl w:val="nil"/>
            </w:tcBorders>
            <w:vAlign w:val="center"/>
          </w:tcPr>
          <w:p>
            <w:pPr>
              <w:rPr>
                <w:rFonts w:hint="eastAsia" w:ascii="宋体" w:hAnsi="宋体" w:eastAsia="宋体" w:cs="宋体"/>
                <w:sz w:val="21"/>
                <w:szCs w:val="21"/>
              </w:rPr>
            </w:pPr>
          </w:p>
        </w:tc>
        <w:tc>
          <w:tcPr>
            <w:tcW w:w="1133" w:type="dxa"/>
            <w:vMerge w:val="continue"/>
            <w:tcBorders>
              <w:tl2br w:val="nil"/>
              <w:tr2bl w:val="nil"/>
            </w:tcBorders>
            <w:vAlign w:val="center"/>
          </w:tcPr>
          <w:p>
            <w:pPr>
              <w:rPr>
                <w:rFonts w:hint="eastAsia" w:ascii="宋体" w:hAnsi="宋体" w:eastAsia="宋体" w:cs="宋体"/>
                <w:sz w:val="21"/>
                <w:szCs w:val="21"/>
              </w:rPr>
            </w:pPr>
          </w:p>
        </w:tc>
        <w:tc>
          <w:tcPr>
            <w:tcW w:w="6803" w:type="dxa"/>
            <w:gridSpan w:val="3"/>
            <w:tcBorders>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审查人员结合申请人提交的全部资料，进行全面审查，在1个工作日内做出审查意见，报审批人员。对不符合行政许可的，出具不予行政许可意见书，说明理由。</w:t>
            </w: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1" w:hRule="exact"/>
          <w:jc w:val="center"/>
        </w:trPr>
        <w:tc>
          <w:tcPr>
            <w:tcW w:w="1133" w:type="dxa"/>
            <w:vMerge w:val="continue"/>
            <w:tcBorders>
              <w:tl2br w:val="nil"/>
              <w:tr2bl w:val="nil"/>
            </w:tcBorders>
            <w:vAlign w:val="center"/>
          </w:tcPr>
          <w:p>
            <w:pPr>
              <w:rPr>
                <w:rFonts w:hint="eastAsia" w:ascii="宋体" w:hAnsi="宋体" w:eastAsia="宋体" w:cs="宋体"/>
                <w:sz w:val="21"/>
                <w:szCs w:val="21"/>
              </w:rPr>
            </w:pPr>
          </w:p>
        </w:tc>
        <w:tc>
          <w:tcPr>
            <w:tcW w:w="1133" w:type="dxa"/>
            <w:vMerge w:val="restart"/>
            <w:tcBorders>
              <w:tl2br w:val="nil"/>
              <w:tr2bl w:val="nil"/>
            </w:tcBorders>
            <w:vAlign w:val="center"/>
          </w:tcPr>
          <w:p>
            <w:pPr>
              <w:pStyle w:val="8"/>
              <w:spacing w:line="277" w:lineRule="atLeast"/>
              <w:jc w:val="center"/>
              <w:textAlignment w:val="center"/>
              <w:rPr>
                <w:rFonts w:hint="eastAsia" w:ascii="宋体" w:hAnsi="宋体" w:eastAsia="宋体" w:cs="宋体"/>
                <w:b w:val="0"/>
                <w:i w:val="0"/>
                <w:strike w:val="0"/>
                <w:color w:val="000000"/>
                <w:spacing w:val="0"/>
                <w:w w:val="100"/>
                <w:sz w:val="21"/>
                <w:szCs w:val="21"/>
                <w:lang w:eastAsia="zh-CN"/>
              </w:rPr>
            </w:pPr>
            <w:r>
              <w:rPr>
                <w:rFonts w:hint="eastAsia" w:ascii="宋体" w:hAnsi="宋体" w:cs="宋体"/>
                <w:b w:val="0"/>
                <w:i w:val="0"/>
                <w:strike w:val="0"/>
                <w:color w:val="000000"/>
                <w:spacing w:val="0"/>
                <w:w w:val="100"/>
                <w:sz w:val="21"/>
                <w:szCs w:val="21"/>
                <w:lang w:eastAsia="zh-CN"/>
              </w:rPr>
              <w:t>决定</w:t>
            </w:r>
          </w:p>
        </w:tc>
        <w:tc>
          <w:tcPr>
            <w:tcW w:w="6803" w:type="dxa"/>
            <w:gridSpan w:val="3"/>
            <w:tcBorders>
              <w:bottom w:val="single" w:color="auto" w:sz="4" w:space="0"/>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时限： 1个工作日</w:t>
            </w: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8" w:hRule="exact"/>
          <w:jc w:val="center"/>
        </w:trPr>
        <w:tc>
          <w:tcPr>
            <w:tcW w:w="1133" w:type="dxa"/>
            <w:vMerge w:val="continue"/>
            <w:tcBorders>
              <w:tl2br w:val="nil"/>
              <w:tr2bl w:val="nil"/>
            </w:tcBorders>
            <w:vAlign w:val="center"/>
          </w:tcPr>
          <w:p>
            <w:pPr>
              <w:rPr>
                <w:rFonts w:hint="eastAsia" w:ascii="宋体" w:hAnsi="宋体" w:eastAsia="宋体" w:cs="宋体"/>
                <w:sz w:val="21"/>
                <w:szCs w:val="21"/>
              </w:rPr>
            </w:pPr>
          </w:p>
        </w:tc>
        <w:tc>
          <w:tcPr>
            <w:tcW w:w="1133" w:type="dxa"/>
            <w:vMerge w:val="continue"/>
            <w:tcBorders>
              <w:tl2br w:val="nil"/>
              <w:tr2bl w:val="nil"/>
            </w:tcBorders>
            <w:vAlign w:val="center"/>
          </w:tcPr>
          <w:p>
            <w:pPr>
              <w:pStyle w:val="8"/>
              <w:spacing w:line="277" w:lineRule="atLeast"/>
              <w:jc w:val="center"/>
              <w:textAlignment w:val="center"/>
              <w:rPr>
                <w:rFonts w:hint="eastAsia" w:ascii="宋体" w:hAnsi="宋体" w:eastAsia="宋体" w:cs="宋体"/>
                <w:b w:val="0"/>
                <w:i w:val="0"/>
                <w:strike w:val="0"/>
                <w:color w:val="000000"/>
                <w:spacing w:val="0"/>
                <w:w w:val="100"/>
                <w:sz w:val="21"/>
                <w:szCs w:val="21"/>
              </w:rPr>
            </w:pPr>
          </w:p>
        </w:tc>
        <w:tc>
          <w:tcPr>
            <w:tcW w:w="6803" w:type="dxa"/>
            <w:gridSpan w:val="3"/>
            <w:tcBorders>
              <w:top w:val="single" w:color="auto" w:sz="4" w:space="0"/>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决定人员根据审查提交的材料，符合要求的，批准予以行政许可。对不符合要求的，出具不予行政许可意见书，说明理由。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0" w:hRule="exact"/>
          <w:jc w:val="center"/>
        </w:trPr>
        <w:tc>
          <w:tcPr>
            <w:tcW w:w="2266" w:type="dxa"/>
            <w:gridSpan w:val="2"/>
            <w:tcBorders>
              <w:tl2br w:val="nil"/>
              <w:tr2bl w:val="nil"/>
            </w:tcBorders>
            <w:vAlign w:val="center"/>
          </w:tcPr>
          <w:p>
            <w:pPr>
              <w:pStyle w:val="8"/>
              <w:spacing w:line="277" w:lineRule="atLeast"/>
              <w:jc w:val="center"/>
              <w:textAlignment w:val="center"/>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审批监管对接</w:t>
            </w:r>
          </w:p>
        </w:tc>
        <w:tc>
          <w:tcPr>
            <w:tcW w:w="6803" w:type="dxa"/>
            <w:gridSpan w:val="3"/>
            <w:tcBorders>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对已经办理的行政许可事项，审批股负责以电子邮件或纸质函形式通知监管单位，负责事中事后监管。办结后1个工作日内</w:t>
            </w:r>
          </w:p>
        </w:tc>
      </w:tr>
    </w:tbl>
    <w:p>
      <w:pPr>
        <w:ind w:firstLine="0" w:firstLineChars="0"/>
        <w:rPr>
          <w:rFonts w:hint="eastAsia" w:ascii="宋体" w:hAnsi="宋体" w:eastAsia="宋体" w:cs="宋体"/>
          <w:sz w:val="21"/>
          <w:szCs w:val="21"/>
        </w:rPr>
      </w:pPr>
    </w:p>
    <w:p>
      <w:pPr>
        <w:ind w:firstLine="0" w:firstLineChars="0"/>
        <w:rPr>
          <w:rFonts w:hint="eastAsia" w:ascii="宋体" w:hAnsi="宋体" w:eastAsia="宋体" w:cs="宋体"/>
          <w:sz w:val="21"/>
          <w:szCs w:val="21"/>
        </w:rPr>
      </w:pPr>
    </w:p>
    <w:p>
      <w:pPr>
        <w:ind w:firstLine="0" w:firstLineChars="0"/>
        <w:rPr>
          <w:rFonts w:hint="eastAsia" w:ascii="宋体" w:hAnsi="宋体" w:eastAsia="宋体" w:cs="宋体"/>
          <w:sz w:val="21"/>
          <w:szCs w:val="21"/>
        </w:rPr>
      </w:pPr>
    </w:p>
    <w:p>
      <w:pPr>
        <w:ind w:firstLine="0" w:firstLineChars="0"/>
        <w:rPr>
          <w:rFonts w:hint="eastAsia" w:ascii="宋体" w:hAnsi="宋体" w:eastAsia="宋体" w:cs="宋体"/>
          <w:sz w:val="21"/>
          <w:szCs w:val="21"/>
        </w:rPr>
      </w:pPr>
    </w:p>
    <w:p>
      <w:pPr>
        <w:ind w:firstLine="0" w:firstLineChars="0"/>
        <w:rPr>
          <w:rFonts w:hint="eastAsia" w:ascii="宋体" w:hAnsi="宋体" w:eastAsia="宋体" w:cs="宋体"/>
          <w:sz w:val="21"/>
          <w:szCs w:val="21"/>
        </w:rPr>
      </w:pPr>
    </w:p>
    <w:p>
      <w:pPr>
        <w:ind w:firstLine="0" w:firstLineChars="0"/>
        <w:rPr>
          <w:rFonts w:hint="eastAsia" w:ascii="宋体" w:hAnsi="宋体" w:eastAsia="宋体" w:cs="宋体"/>
          <w:sz w:val="21"/>
          <w:szCs w:val="21"/>
        </w:rPr>
      </w:pPr>
    </w:p>
    <w:p>
      <w:pPr>
        <w:ind w:firstLine="0" w:firstLineChars="0"/>
        <w:rPr>
          <w:rFonts w:hint="eastAsia" w:ascii="宋体" w:hAnsi="宋体" w:eastAsia="宋体" w:cs="宋体"/>
          <w:sz w:val="21"/>
          <w:szCs w:val="21"/>
        </w:rPr>
      </w:pPr>
    </w:p>
    <w:tbl>
      <w:tblPr>
        <w:tblStyle w:val="5"/>
        <w:tblW w:w="906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33"/>
        <w:gridCol w:w="1133"/>
        <w:gridCol w:w="2074"/>
        <w:gridCol w:w="2355"/>
        <w:gridCol w:w="23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exact"/>
          <w:jc w:val="center"/>
        </w:trPr>
        <w:tc>
          <w:tcPr>
            <w:tcW w:w="2266" w:type="dxa"/>
            <w:gridSpan w:val="2"/>
            <w:tcBorders>
              <w:tl2br w:val="nil"/>
              <w:tr2bl w:val="nil"/>
            </w:tcBorders>
            <w:vAlign w:val="center"/>
          </w:tcPr>
          <w:p>
            <w:pPr>
              <w:pStyle w:val="8"/>
              <w:spacing w:line="277" w:lineRule="atLeast"/>
              <w:jc w:val="center"/>
              <w:textAlignment w:val="center"/>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事项名称</w:t>
            </w:r>
          </w:p>
        </w:tc>
        <w:tc>
          <w:tcPr>
            <w:tcW w:w="6803" w:type="dxa"/>
            <w:gridSpan w:val="3"/>
            <w:tcBorders>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工程建设涉及城市绿地、树木审批（砍伐城市树木审批）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9" w:hRule="exact"/>
          <w:jc w:val="center"/>
        </w:trPr>
        <w:tc>
          <w:tcPr>
            <w:tcW w:w="2266" w:type="dxa"/>
            <w:gridSpan w:val="2"/>
            <w:tcBorders>
              <w:tl2br w:val="nil"/>
              <w:tr2bl w:val="nil"/>
            </w:tcBorders>
            <w:vAlign w:val="center"/>
          </w:tcPr>
          <w:p>
            <w:pPr>
              <w:pStyle w:val="8"/>
              <w:spacing w:line="277" w:lineRule="atLeast"/>
              <w:jc w:val="center"/>
              <w:textAlignment w:val="center"/>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审批权限</w:t>
            </w:r>
          </w:p>
        </w:tc>
        <w:tc>
          <w:tcPr>
            <w:tcW w:w="6803" w:type="dxa"/>
            <w:gridSpan w:val="3"/>
            <w:tcBorders>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 xml:space="preserve">区级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5" w:hRule="exact"/>
          <w:jc w:val="center"/>
        </w:trPr>
        <w:tc>
          <w:tcPr>
            <w:tcW w:w="2266" w:type="dxa"/>
            <w:gridSpan w:val="2"/>
            <w:tcBorders>
              <w:tl2br w:val="nil"/>
              <w:tr2bl w:val="nil"/>
            </w:tcBorders>
            <w:vAlign w:val="center"/>
          </w:tcPr>
          <w:p>
            <w:pPr>
              <w:pStyle w:val="8"/>
              <w:spacing w:line="277" w:lineRule="atLeast"/>
              <w:jc w:val="center"/>
              <w:textAlignment w:val="center"/>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实施依据</w:t>
            </w:r>
          </w:p>
        </w:tc>
        <w:tc>
          <w:tcPr>
            <w:tcW w:w="6803" w:type="dxa"/>
            <w:gridSpan w:val="3"/>
            <w:tcBorders>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《城市绿化条例》(2017年3月21日修改）第二十一条、第二十二条、</w:t>
            </w: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第二十五条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exact"/>
          <w:jc w:val="center"/>
        </w:trPr>
        <w:tc>
          <w:tcPr>
            <w:tcW w:w="2266" w:type="dxa"/>
            <w:gridSpan w:val="2"/>
            <w:tcBorders>
              <w:tl2br w:val="nil"/>
              <w:tr2bl w:val="nil"/>
            </w:tcBorders>
            <w:vAlign w:val="center"/>
          </w:tcPr>
          <w:p>
            <w:pPr>
              <w:pStyle w:val="8"/>
              <w:spacing w:line="277" w:lineRule="atLeast"/>
              <w:jc w:val="center"/>
              <w:textAlignment w:val="center"/>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lang w:val="en-US" w:eastAsia="zh-CN"/>
              </w:rPr>
              <w:t>法定时限</w:t>
            </w:r>
          </w:p>
        </w:tc>
        <w:tc>
          <w:tcPr>
            <w:tcW w:w="2074" w:type="dxa"/>
            <w:tcBorders>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20个工作日</w:t>
            </w:r>
          </w:p>
        </w:tc>
        <w:tc>
          <w:tcPr>
            <w:tcW w:w="2355" w:type="dxa"/>
            <w:tcBorders>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承诺时限</w:t>
            </w:r>
          </w:p>
        </w:tc>
        <w:tc>
          <w:tcPr>
            <w:tcW w:w="2374" w:type="dxa"/>
            <w:tcBorders>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3个工作日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2" w:hRule="exact"/>
          <w:jc w:val="center"/>
        </w:trPr>
        <w:tc>
          <w:tcPr>
            <w:tcW w:w="1133" w:type="dxa"/>
            <w:vMerge w:val="restart"/>
            <w:tcBorders>
              <w:tl2br w:val="nil"/>
              <w:tr2bl w:val="nil"/>
            </w:tcBorders>
            <w:vAlign w:val="center"/>
          </w:tcPr>
          <w:p>
            <w:pPr>
              <w:ind w:left="0" w:leftChars="0" w:firstLine="210" w:firstLineChars="100"/>
              <w:rPr>
                <w:rFonts w:hint="eastAsia" w:ascii="宋体" w:hAnsi="宋体" w:eastAsia="宋体" w:cs="宋体"/>
                <w:sz w:val="21"/>
                <w:szCs w:val="21"/>
                <w:lang w:eastAsia="zh-CN"/>
              </w:rPr>
            </w:pPr>
            <w:r>
              <w:rPr>
                <w:rFonts w:hint="eastAsia" w:ascii="宋体" w:hAnsi="宋体" w:eastAsia="宋体" w:cs="宋体"/>
                <w:sz w:val="21"/>
                <w:szCs w:val="21"/>
                <w:lang w:eastAsia="zh-CN"/>
              </w:rPr>
              <w:t>审批流程</w:t>
            </w:r>
          </w:p>
        </w:tc>
        <w:tc>
          <w:tcPr>
            <w:tcW w:w="1133" w:type="dxa"/>
            <w:vMerge w:val="restart"/>
            <w:tcBorders>
              <w:tl2br w:val="nil"/>
              <w:tr2bl w:val="nil"/>
            </w:tcBorders>
            <w:vAlign w:val="center"/>
          </w:tcPr>
          <w:p>
            <w:pPr>
              <w:rPr>
                <w:rFonts w:hint="eastAsia" w:ascii="宋体" w:hAnsi="宋体" w:eastAsia="宋体" w:cs="宋体"/>
                <w:sz w:val="21"/>
                <w:szCs w:val="21"/>
                <w:lang w:eastAsia="zh-CN"/>
              </w:rPr>
            </w:pPr>
            <w:r>
              <w:rPr>
                <w:rFonts w:hint="eastAsia" w:ascii="宋体" w:hAnsi="宋体" w:eastAsia="宋体" w:cs="宋体"/>
                <w:sz w:val="21"/>
                <w:szCs w:val="21"/>
                <w:lang w:eastAsia="zh-CN"/>
              </w:rPr>
              <w:t>受理</w:t>
            </w:r>
          </w:p>
        </w:tc>
        <w:tc>
          <w:tcPr>
            <w:tcW w:w="6803" w:type="dxa"/>
            <w:gridSpan w:val="3"/>
            <w:tcBorders>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申报材料：</w:t>
            </w: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 xml:space="preserve">1.行政许可申请书； </w:t>
            </w: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 xml:space="preserve">2.权属人意见； </w:t>
            </w: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3. 树木补植计划或者补救措施</w:t>
            </w: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18" w:hRule="exact"/>
          <w:jc w:val="center"/>
        </w:trPr>
        <w:tc>
          <w:tcPr>
            <w:tcW w:w="1133" w:type="dxa"/>
            <w:vMerge w:val="continue"/>
            <w:tcBorders>
              <w:tl2br w:val="nil"/>
              <w:tr2bl w:val="nil"/>
            </w:tcBorders>
            <w:vAlign w:val="center"/>
          </w:tcPr>
          <w:p>
            <w:pPr>
              <w:rPr>
                <w:rFonts w:hint="eastAsia" w:ascii="宋体" w:hAnsi="宋体" w:eastAsia="宋体" w:cs="宋体"/>
                <w:sz w:val="21"/>
                <w:szCs w:val="21"/>
              </w:rPr>
            </w:pPr>
          </w:p>
        </w:tc>
        <w:tc>
          <w:tcPr>
            <w:tcW w:w="1133" w:type="dxa"/>
            <w:vMerge w:val="continue"/>
            <w:tcBorders>
              <w:tl2br w:val="nil"/>
              <w:tr2bl w:val="nil"/>
            </w:tcBorders>
            <w:vAlign w:val="center"/>
          </w:tcPr>
          <w:p>
            <w:pPr>
              <w:rPr>
                <w:rFonts w:hint="eastAsia" w:ascii="宋体" w:hAnsi="宋体" w:eastAsia="宋体" w:cs="宋体"/>
                <w:sz w:val="21"/>
                <w:szCs w:val="21"/>
              </w:rPr>
            </w:pPr>
          </w:p>
        </w:tc>
        <w:tc>
          <w:tcPr>
            <w:tcW w:w="6803" w:type="dxa"/>
            <w:gridSpan w:val="3"/>
            <w:tcBorders>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属于职责范围内的，资料齐全的当场受理，向申请人发放受理通知书，提交审批股审核。资料不齐全、不正确的，资料能当场修改的，指导申请人当场修改，不能当场修改的，向申请人发放受理通知书的同时，向申请人发放补正通知书。不属于本窗口业务范围或该申请不需要取得行政许可的，不予受理，并文字告知不予受理的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exact"/>
          <w:jc w:val="center"/>
        </w:trPr>
        <w:tc>
          <w:tcPr>
            <w:tcW w:w="1133" w:type="dxa"/>
            <w:vMerge w:val="continue"/>
            <w:tcBorders>
              <w:tl2br w:val="nil"/>
              <w:tr2bl w:val="nil"/>
            </w:tcBorders>
            <w:vAlign w:val="center"/>
          </w:tcPr>
          <w:p>
            <w:pPr>
              <w:rPr>
                <w:rFonts w:hint="eastAsia" w:ascii="宋体" w:hAnsi="宋体" w:eastAsia="宋体" w:cs="宋体"/>
                <w:sz w:val="21"/>
                <w:szCs w:val="21"/>
              </w:rPr>
            </w:pPr>
          </w:p>
        </w:tc>
        <w:tc>
          <w:tcPr>
            <w:tcW w:w="1133" w:type="dxa"/>
            <w:vMerge w:val="restart"/>
            <w:tcBorders>
              <w:tl2br w:val="nil"/>
              <w:tr2bl w:val="nil"/>
            </w:tcBorders>
            <w:vAlign w:val="center"/>
          </w:tcPr>
          <w:p>
            <w:pPr>
              <w:pStyle w:val="8"/>
              <w:spacing w:line="277" w:lineRule="atLeast"/>
              <w:jc w:val="center"/>
              <w:textAlignment w:val="center"/>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审</w:t>
            </w:r>
            <w:r>
              <w:rPr>
                <w:rFonts w:hint="eastAsia" w:ascii="宋体" w:hAnsi="宋体" w:cs="宋体"/>
                <w:b w:val="0"/>
                <w:i w:val="0"/>
                <w:strike w:val="0"/>
                <w:color w:val="000000"/>
                <w:spacing w:val="0"/>
                <w:w w:val="100"/>
                <w:sz w:val="21"/>
                <w:szCs w:val="21"/>
                <w:lang w:eastAsia="zh-CN"/>
              </w:rPr>
              <w:t>查</w:t>
            </w:r>
          </w:p>
        </w:tc>
        <w:tc>
          <w:tcPr>
            <w:tcW w:w="6803" w:type="dxa"/>
            <w:gridSpan w:val="3"/>
            <w:tcBorders>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时限1个工作日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exact"/>
          <w:jc w:val="center"/>
        </w:trPr>
        <w:tc>
          <w:tcPr>
            <w:tcW w:w="1133" w:type="dxa"/>
            <w:vMerge w:val="continue"/>
            <w:tcBorders>
              <w:tl2br w:val="nil"/>
              <w:tr2bl w:val="nil"/>
            </w:tcBorders>
            <w:vAlign w:val="center"/>
          </w:tcPr>
          <w:p>
            <w:pPr>
              <w:rPr>
                <w:rFonts w:hint="eastAsia" w:ascii="宋体" w:hAnsi="宋体" w:eastAsia="宋体" w:cs="宋体"/>
                <w:sz w:val="21"/>
                <w:szCs w:val="21"/>
              </w:rPr>
            </w:pPr>
          </w:p>
        </w:tc>
        <w:tc>
          <w:tcPr>
            <w:tcW w:w="1133" w:type="dxa"/>
            <w:vMerge w:val="continue"/>
            <w:tcBorders>
              <w:tl2br w:val="nil"/>
              <w:tr2bl w:val="nil"/>
            </w:tcBorders>
            <w:vAlign w:val="center"/>
          </w:tcPr>
          <w:p>
            <w:pPr>
              <w:rPr>
                <w:rFonts w:hint="eastAsia" w:ascii="宋体" w:hAnsi="宋体" w:eastAsia="宋体" w:cs="宋体"/>
                <w:sz w:val="21"/>
                <w:szCs w:val="21"/>
              </w:rPr>
            </w:pPr>
          </w:p>
        </w:tc>
        <w:tc>
          <w:tcPr>
            <w:tcW w:w="6803" w:type="dxa"/>
            <w:gridSpan w:val="3"/>
            <w:tcBorders>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审查人员结合申请人提交的全部资料，进行全面审查，在 1</w:t>
            </w:r>
            <w:bookmarkStart w:id="0" w:name="_GoBack"/>
            <w:bookmarkEnd w:id="0"/>
            <w:r>
              <w:rPr>
                <w:rFonts w:hint="eastAsia" w:ascii="宋体" w:hAnsi="宋体" w:cs="宋体"/>
                <w:b w:val="0"/>
                <w:i w:val="0"/>
                <w:strike w:val="0"/>
                <w:color w:val="000000"/>
                <w:spacing w:val="0"/>
                <w:w w:val="100"/>
                <w:sz w:val="21"/>
                <w:szCs w:val="21"/>
                <w:lang w:val="en-US" w:eastAsia="zh-CN"/>
              </w:rPr>
              <w:t>个工作日内做出审查意见，报审批人员。对不符合行政许可的，出具不予行政许可意见书，说明理由。</w:t>
            </w: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1" w:hRule="exact"/>
          <w:jc w:val="center"/>
        </w:trPr>
        <w:tc>
          <w:tcPr>
            <w:tcW w:w="1133" w:type="dxa"/>
            <w:vMerge w:val="continue"/>
            <w:tcBorders>
              <w:tl2br w:val="nil"/>
              <w:tr2bl w:val="nil"/>
            </w:tcBorders>
            <w:vAlign w:val="center"/>
          </w:tcPr>
          <w:p>
            <w:pPr>
              <w:rPr>
                <w:rFonts w:hint="eastAsia" w:ascii="宋体" w:hAnsi="宋体" w:eastAsia="宋体" w:cs="宋体"/>
                <w:sz w:val="21"/>
                <w:szCs w:val="21"/>
              </w:rPr>
            </w:pPr>
          </w:p>
        </w:tc>
        <w:tc>
          <w:tcPr>
            <w:tcW w:w="1133" w:type="dxa"/>
            <w:vMerge w:val="restart"/>
            <w:tcBorders>
              <w:tl2br w:val="nil"/>
              <w:tr2bl w:val="nil"/>
            </w:tcBorders>
            <w:vAlign w:val="center"/>
          </w:tcPr>
          <w:p>
            <w:pPr>
              <w:pStyle w:val="8"/>
              <w:spacing w:line="277" w:lineRule="atLeast"/>
              <w:jc w:val="center"/>
              <w:textAlignment w:val="center"/>
              <w:rPr>
                <w:rFonts w:hint="eastAsia" w:ascii="宋体" w:hAnsi="宋体" w:eastAsia="宋体" w:cs="宋体"/>
                <w:b w:val="0"/>
                <w:i w:val="0"/>
                <w:strike w:val="0"/>
                <w:color w:val="000000"/>
                <w:spacing w:val="0"/>
                <w:w w:val="100"/>
                <w:sz w:val="21"/>
                <w:szCs w:val="21"/>
                <w:lang w:eastAsia="zh-CN"/>
              </w:rPr>
            </w:pPr>
            <w:r>
              <w:rPr>
                <w:rFonts w:hint="eastAsia" w:ascii="宋体" w:hAnsi="宋体" w:cs="宋体"/>
                <w:b w:val="0"/>
                <w:i w:val="0"/>
                <w:strike w:val="0"/>
                <w:color w:val="000000"/>
                <w:spacing w:val="0"/>
                <w:w w:val="100"/>
                <w:sz w:val="21"/>
                <w:szCs w:val="21"/>
                <w:lang w:eastAsia="zh-CN"/>
              </w:rPr>
              <w:t>决定</w:t>
            </w:r>
          </w:p>
        </w:tc>
        <w:tc>
          <w:tcPr>
            <w:tcW w:w="6803" w:type="dxa"/>
            <w:gridSpan w:val="3"/>
            <w:tcBorders>
              <w:bottom w:val="single" w:color="auto" w:sz="4" w:space="0"/>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时限：1个工作日</w:t>
            </w: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8" w:hRule="exact"/>
          <w:jc w:val="center"/>
        </w:trPr>
        <w:tc>
          <w:tcPr>
            <w:tcW w:w="1133" w:type="dxa"/>
            <w:vMerge w:val="continue"/>
            <w:tcBorders>
              <w:tl2br w:val="nil"/>
              <w:tr2bl w:val="nil"/>
            </w:tcBorders>
            <w:vAlign w:val="center"/>
          </w:tcPr>
          <w:p>
            <w:pPr>
              <w:rPr>
                <w:rFonts w:hint="eastAsia" w:ascii="宋体" w:hAnsi="宋体" w:eastAsia="宋体" w:cs="宋体"/>
                <w:sz w:val="21"/>
                <w:szCs w:val="21"/>
              </w:rPr>
            </w:pPr>
          </w:p>
        </w:tc>
        <w:tc>
          <w:tcPr>
            <w:tcW w:w="1133" w:type="dxa"/>
            <w:vMerge w:val="continue"/>
            <w:tcBorders>
              <w:tl2br w:val="nil"/>
              <w:tr2bl w:val="nil"/>
            </w:tcBorders>
            <w:vAlign w:val="center"/>
          </w:tcPr>
          <w:p>
            <w:pPr>
              <w:pStyle w:val="8"/>
              <w:spacing w:line="277" w:lineRule="atLeast"/>
              <w:jc w:val="center"/>
              <w:textAlignment w:val="center"/>
              <w:rPr>
                <w:rFonts w:hint="eastAsia" w:ascii="宋体" w:hAnsi="宋体" w:eastAsia="宋体" w:cs="宋体"/>
                <w:b w:val="0"/>
                <w:i w:val="0"/>
                <w:strike w:val="0"/>
                <w:color w:val="000000"/>
                <w:spacing w:val="0"/>
                <w:w w:val="100"/>
                <w:sz w:val="21"/>
                <w:szCs w:val="21"/>
              </w:rPr>
            </w:pPr>
          </w:p>
        </w:tc>
        <w:tc>
          <w:tcPr>
            <w:tcW w:w="6803" w:type="dxa"/>
            <w:gridSpan w:val="3"/>
            <w:tcBorders>
              <w:top w:val="single" w:color="auto" w:sz="4" w:space="0"/>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决定人员根据审查人员提交的材料，符合要求的，批准予以行政许可。对不符合要求的，出具不予行政许可意见书，说明理由。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0" w:hRule="exact"/>
          <w:jc w:val="center"/>
        </w:trPr>
        <w:tc>
          <w:tcPr>
            <w:tcW w:w="2266" w:type="dxa"/>
            <w:gridSpan w:val="2"/>
            <w:tcBorders>
              <w:tl2br w:val="nil"/>
              <w:tr2bl w:val="nil"/>
            </w:tcBorders>
            <w:vAlign w:val="center"/>
          </w:tcPr>
          <w:p>
            <w:pPr>
              <w:pStyle w:val="8"/>
              <w:spacing w:line="277" w:lineRule="atLeast"/>
              <w:jc w:val="center"/>
              <w:textAlignment w:val="center"/>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审批监管对接</w:t>
            </w:r>
          </w:p>
        </w:tc>
        <w:tc>
          <w:tcPr>
            <w:tcW w:w="6803" w:type="dxa"/>
            <w:gridSpan w:val="3"/>
            <w:tcBorders>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对已经办理的行政许可事项，审批股负责以电子邮件或纸质函形式通知监管单位，负责事中事后监管。办结后1个工作日内</w:t>
            </w:r>
          </w:p>
        </w:tc>
      </w:tr>
    </w:tbl>
    <w:p>
      <w:pPr>
        <w:ind w:firstLine="0" w:firstLineChars="0"/>
        <w:rPr>
          <w:rFonts w:hint="eastAsia" w:ascii="宋体" w:hAnsi="宋体" w:eastAsia="宋体" w:cs="宋体"/>
          <w:sz w:val="21"/>
          <w:szCs w:val="21"/>
        </w:rPr>
      </w:pPr>
    </w:p>
    <w:p>
      <w:pPr>
        <w:ind w:firstLine="0" w:firstLineChars="0"/>
        <w:rPr>
          <w:rFonts w:hint="eastAsia" w:ascii="宋体" w:hAnsi="宋体" w:eastAsia="宋体" w:cs="宋体"/>
          <w:sz w:val="21"/>
          <w:szCs w:val="21"/>
        </w:rPr>
      </w:pPr>
    </w:p>
    <w:p>
      <w:pPr>
        <w:ind w:firstLine="0" w:firstLineChars="0"/>
        <w:rPr>
          <w:rFonts w:hint="eastAsia" w:ascii="宋体" w:hAnsi="宋体" w:eastAsia="宋体" w:cs="宋体"/>
          <w:sz w:val="21"/>
          <w:szCs w:val="21"/>
        </w:rPr>
      </w:pPr>
    </w:p>
    <w:p>
      <w:pPr>
        <w:ind w:firstLine="0" w:firstLineChars="0"/>
        <w:rPr>
          <w:rFonts w:hint="eastAsia" w:ascii="宋体" w:hAnsi="宋体" w:eastAsia="宋体" w:cs="宋体"/>
          <w:sz w:val="21"/>
          <w:szCs w:val="21"/>
        </w:rPr>
      </w:pPr>
    </w:p>
    <w:p>
      <w:pPr>
        <w:ind w:firstLine="0" w:firstLineChars="0"/>
        <w:rPr>
          <w:rFonts w:hint="eastAsia" w:ascii="宋体" w:hAnsi="宋体" w:eastAsia="宋体" w:cs="宋体"/>
          <w:sz w:val="21"/>
          <w:szCs w:val="21"/>
        </w:rPr>
      </w:pPr>
    </w:p>
    <w:p>
      <w:pPr>
        <w:ind w:firstLine="0" w:firstLineChars="0"/>
        <w:rPr>
          <w:rFonts w:hint="eastAsia" w:ascii="宋体" w:hAnsi="宋体" w:eastAsia="宋体" w:cs="宋体"/>
          <w:sz w:val="21"/>
          <w:szCs w:val="21"/>
        </w:rPr>
      </w:pPr>
    </w:p>
    <w:p>
      <w:pPr>
        <w:ind w:firstLine="0" w:firstLineChars="0"/>
        <w:rPr>
          <w:rFonts w:hint="eastAsia" w:ascii="宋体" w:hAnsi="宋体" w:eastAsia="宋体" w:cs="宋体"/>
          <w:sz w:val="21"/>
          <w:szCs w:val="21"/>
        </w:rPr>
      </w:pPr>
    </w:p>
    <w:p>
      <w:pPr>
        <w:ind w:firstLine="0" w:firstLineChars="0"/>
        <w:rPr>
          <w:rFonts w:hint="eastAsia" w:ascii="宋体" w:hAnsi="宋体" w:eastAsia="宋体" w:cs="宋体"/>
          <w:sz w:val="21"/>
          <w:szCs w:val="21"/>
        </w:rPr>
      </w:pPr>
    </w:p>
    <w:tbl>
      <w:tblPr>
        <w:tblStyle w:val="5"/>
        <w:tblW w:w="906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33"/>
        <w:gridCol w:w="1133"/>
        <w:gridCol w:w="2074"/>
        <w:gridCol w:w="2355"/>
        <w:gridCol w:w="23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exact"/>
          <w:jc w:val="center"/>
        </w:trPr>
        <w:tc>
          <w:tcPr>
            <w:tcW w:w="2266" w:type="dxa"/>
            <w:gridSpan w:val="2"/>
            <w:tcBorders>
              <w:tl2br w:val="nil"/>
              <w:tr2bl w:val="nil"/>
            </w:tcBorders>
            <w:vAlign w:val="center"/>
          </w:tcPr>
          <w:p>
            <w:pPr>
              <w:pStyle w:val="8"/>
              <w:spacing w:line="277" w:lineRule="atLeast"/>
              <w:jc w:val="center"/>
              <w:textAlignment w:val="center"/>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事项名称</w:t>
            </w:r>
          </w:p>
        </w:tc>
        <w:tc>
          <w:tcPr>
            <w:tcW w:w="6803" w:type="dxa"/>
            <w:gridSpan w:val="3"/>
            <w:tcBorders>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工程建设涉及城市绿地、树木审批（迁移古树名木审批）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9" w:hRule="exact"/>
          <w:jc w:val="center"/>
        </w:trPr>
        <w:tc>
          <w:tcPr>
            <w:tcW w:w="2266" w:type="dxa"/>
            <w:gridSpan w:val="2"/>
            <w:tcBorders>
              <w:tl2br w:val="nil"/>
              <w:tr2bl w:val="nil"/>
            </w:tcBorders>
            <w:vAlign w:val="center"/>
          </w:tcPr>
          <w:p>
            <w:pPr>
              <w:pStyle w:val="8"/>
              <w:spacing w:line="277" w:lineRule="atLeast"/>
              <w:jc w:val="center"/>
              <w:textAlignment w:val="center"/>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审批权限</w:t>
            </w:r>
          </w:p>
        </w:tc>
        <w:tc>
          <w:tcPr>
            <w:tcW w:w="6803" w:type="dxa"/>
            <w:gridSpan w:val="3"/>
            <w:tcBorders>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 xml:space="preserve">区级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5" w:hRule="exact"/>
          <w:jc w:val="center"/>
        </w:trPr>
        <w:tc>
          <w:tcPr>
            <w:tcW w:w="2266" w:type="dxa"/>
            <w:gridSpan w:val="2"/>
            <w:tcBorders>
              <w:tl2br w:val="nil"/>
              <w:tr2bl w:val="nil"/>
            </w:tcBorders>
            <w:vAlign w:val="center"/>
          </w:tcPr>
          <w:p>
            <w:pPr>
              <w:pStyle w:val="8"/>
              <w:spacing w:line="277" w:lineRule="atLeast"/>
              <w:jc w:val="center"/>
              <w:textAlignment w:val="center"/>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实施依据</w:t>
            </w:r>
          </w:p>
        </w:tc>
        <w:tc>
          <w:tcPr>
            <w:tcW w:w="6803" w:type="dxa"/>
            <w:gridSpan w:val="3"/>
            <w:tcBorders>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《城市绿化条例》(2017年3月21日修改）第二十一条、第二十二条、</w:t>
            </w: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第二十五条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exact"/>
          <w:jc w:val="center"/>
        </w:trPr>
        <w:tc>
          <w:tcPr>
            <w:tcW w:w="2266" w:type="dxa"/>
            <w:gridSpan w:val="2"/>
            <w:tcBorders>
              <w:tl2br w:val="nil"/>
              <w:tr2bl w:val="nil"/>
            </w:tcBorders>
            <w:vAlign w:val="center"/>
          </w:tcPr>
          <w:p>
            <w:pPr>
              <w:pStyle w:val="8"/>
              <w:spacing w:line="277" w:lineRule="atLeast"/>
              <w:jc w:val="center"/>
              <w:textAlignment w:val="center"/>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lang w:val="en-US" w:eastAsia="zh-CN"/>
              </w:rPr>
              <w:t>法定时限</w:t>
            </w:r>
          </w:p>
        </w:tc>
        <w:tc>
          <w:tcPr>
            <w:tcW w:w="2074" w:type="dxa"/>
            <w:tcBorders>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20个工作日</w:t>
            </w:r>
          </w:p>
        </w:tc>
        <w:tc>
          <w:tcPr>
            <w:tcW w:w="2355" w:type="dxa"/>
            <w:tcBorders>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承诺时限</w:t>
            </w:r>
          </w:p>
        </w:tc>
        <w:tc>
          <w:tcPr>
            <w:tcW w:w="2374" w:type="dxa"/>
            <w:tcBorders>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3个工作日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2" w:hRule="exact"/>
          <w:jc w:val="center"/>
        </w:trPr>
        <w:tc>
          <w:tcPr>
            <w:tcW w:w="1133" w:type="dxa"/>
            <w:vMerge w:val="restart"/>
            <w:tcBorders>
              <w:tl2br w:val="nil"/>
              <w:tr2bl w:val="nil"/>
            </w:tcBorders>
            <w:vAlign w:val="center"/>
          </w:tcPr>
          <w:p>
            <w:pPr>
              <w:ind w:left="0" w:leftChars="0" w:firstLine="210" w:firstLineChars="100"/>
              <w:rPr>
                <w:rFonts w:hint="eastAsia" w:ascii="宋体" w:hAnsi="宋体" w:eastAsia="宋体" w:cs="宋体"/>
                <w:sz w:val="21"/>
                <w:szCs w:val="21"/>
                <w:lang w:eastAsia="zh-CN"/>
              </w:rPr>
            </w:pPr>
            <w:r>
              <w:rPr>
                <w:rFonts w:hint="eastAsia" w:ascii="宋体" w:hAnsi="宋体" w:eastAsia="宋体" w:cs="宋体"/>
                <w:sz w:val="21"/>
                <w:szCs w:val="21"/>
                <w:lang w:eastAsia="zh-CN"/>
              </w:rPr>
              <w:t>审批流程</w:t>
            </w:r>
          </w:p>
        </w:tc>
        <w:tc>
          <w:tcPr>
            <w:tcW w:w="1133" w:type="dxa"/>
            <w:vMerge w:val="restart"/>
            <w:tcBorders>
              <w:tl2br w:val="nil"/>
              <w:tr2bl w:val="nil"/>
            </w:tcBorders>
            <w:vAlign w:val="center"/>
          </w:tcPr>
          <w:p>
            <w:pPr>
              <w:rPr>
                <w:rFonts w:hint="eastAsia" w:ascii="宋体" w:hAnsi="宋体" w:eastAsia="宋体" w:cs="宋体"/>
                <w:sz w:val="21"/>
                <w:szCs w:val="21"/>
                <w:lang w:eastAsia="zh-CN"/>
              </w:rPr>
            </w:pPr>
            <w:r>
              <w:rPr>
                <w:rFonts w:hint="eastAsia" w:ascii="宋体" w:hAnsi="宋体" w:eastAsia="宋体" w:cs="宋体"/>
                <w:sz w:val="21"/>
                <w:szCs w:val="21"/>
                <w:lang w:eastAsia="zh-CN"/>
              </w:rPr>
              <w:t>受理</w:t>
            </w:r>
          </w:p>
        </w:tc>
        <w:tc>
          <w:tcPr>
            <w:tcW w:w="6803" w:type="dxa"/>
            <w:gridSpan w:val="3"/>
            <w:tcBorders>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申报材料：</w:t>
            </w: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 xml:space="preserve">1.行政许可申请书； </w:t>
            </w: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 xml:space="preserve">2. 拟建项目施工平面图、设计影响改变城市绿化规划、绿化用地性质，临时占用城市绿地或修剪、移植、砍伐树木平面图，树木移植、大修剪方案（含现状树木位置图）； </w:t>
            </w: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 xml:space="preserve">3.建设工程规划许可证； </w:t>
            </w: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 xml:space="preserve">4. 古树名木移植专家论证意见； </w:t>
            </w: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 xml:space="preserve">5. 城市绿化工程设计方案及工程建设项目附属绿化设计变更方案和图纸； </w:t>
            </w: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6.项目完工后恢复协议。</w:t>
            </w: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18" w:hRule="exact"/>
          <w:jc w:val="center"/>
        </w:trPr>
        <w:tc>
          <w:tcPr>
            <w:tcW w:w="1133" w:type="dxa"/>
            <w:vMerge w:val="continue"/>
            <w:tcBorders>
              <w:tl2br w:val="nil"/>
              <w:tr2bl w:val="nil"/>
            </w:tcBorders>
            <w:vAlign w:val="center"/>
          </w:tcPr>
          <w:p>
            <w:pPr>
              <w:rPr>
                <w:rFonts w:hint="eastAsia" w:ascii="宋体" w:hAnsi="宋体" w:eastAsia="宋体" w:cs="宋体"/>
                <w:sz w:val="21"/>
                <w:szCs w:val="21"/>
              </w:rPr>
            </w:pPr>
          </w:p>
        </w:tc>
        <w:tc>
          <w:tcPr>
            <w:tcW w:w="1133" w:type="dxa"/>
            <w:vMerge w:val="continue"/>
            <w:tcBorders>
              <w:tl2br w:val="nil"/>
              <w:tr2bl w:val="nil"/>
            </w:tcBorders>
            <w:vAlign w:val="center"/>
          </w:tcPr>
          <w:p>
            <w:pPr>
              <w:rPr>
                <w:rFonts w:hint="eastAsia" w:ascii="宋体" w:hAnsi="宋体" w:eastAsia="宋体" w:cs="宋体"/>
                <w:sz w:val="21"/>
                <w:szCs w:val="21"/>
              </w:rPr>
            </w:pPr>
          </w:p>
        </w:tc>
        <w:tc>
          <w:tcPr>
            <w:tcW w:w="6803" w:type="dxa"/>
            <w:gridSpan w:val="3"/>
            <w:tcBorders>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属于职责范围内的，资料齐全的当场受理，向申请人发放受理通知书，提交审批股审核。资料不齐全、不正确的，资料能当场修改的，指导申请人当场修改，不能当场修改的，向申请人发放受理通知书的同时，向申请人发放补正通知书。不属于本窗口业务范围或该申请不需要取得行政许可的，不予受理，并文字告知不予受理的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exact"/>
          <w:jc w:val="center"/>
        </w:trPr>
        <w:tc>
          <w:tcPr>
            <w:tcW w:w="1133" w:type="dxa"/>
            <w:vMerge w:val="continue"/>
            <w:tcBorders>
              <w:tl2br w:val="nil"/>
              <w:tr2bl w:val="nil"/>
            </w:tcBorders>
            <w:vAlign w:val="center"/>
          </w:tcPr>
          <w:p>
            <w:pPr>
              <w:rPr>
                <w:rFonts w:hint="eastAsia" w:ascii="宋体" w:hAnsi="宋体" w:eastAsia="宋体" w:cs="宋体"/>
                <w:sz w:val="21"/>
                <w:szCs w:val="21"/>
              </w:rPr>
            </w:pPr>
          </w:p>
        </w:tc>
        <w:tc>
          <w:tcPr>
            <w:tcW w:w="1133" w:type="dxa"/>
            <w:vMerge w:val="restart"/>
            <w:tcBorders>
              <w:tl2br w:val="nil"/>
              <w:tr2bl w:val="nil"/>
            </w:tcBorders>
            <w:vAlign w:val="center"/>
          </w:tcPr>
          <w:p>
            <w:pPr>
              <w:pStyle w:val="8"/>
              <w:spacing w:line="277" w:lineRule="atLeast"/>
              <w:jc w:val="center"/>
              <w:textAlignment w:val="center"/>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审</w:t>
            </w:r>
            <w:r>
              <w:rPr>
                <w:rFonts w:hint="eastAsia" w:ascii="宋体" w:hAnsi="宋体" w:cs="宋体"/>
                <w:b w:val="0"/>
                <w:i w:val="0"/>
                <w:strike w:val="0"/>
                <w:color w:val="000000"/>
                <w:spacing w:val="0"/>
                <w:w w:val="100"/>
                <w:sz w:val="21"/>
                <w:szCs w:val="21"/>
                <w:lang w:eastAsia="zh-CN"/>
              </w:rPr>
              <w:t>查</w:t>
            </w:r>
          </w:p>
        </w:tc>
        <w:tc>
          <w:tcPr>
            <w:tcW w:w="6803" w:type="dxa"/>
            <w:gridSpan w:val="3"/>
            <w:tcBorders>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时限1个工作日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exact"/>
          <w:jc w:val="center"/>
        </w:trPr>
        <w:tc>
          <w:tcPr>
            <w:tcW w:w="1133" w:type="dxa"/>
            <w:vMerge w:val="continue"/>
            <w:tcBorders>
              <w:tl2br w:val="nil"/>
              <w:tr2bl w:val="nil"/>
            </w:tcBorders>
            <w:vAlign w:val="center"/>
          </w:tcPr>
          <w:p>
            <w:pPr>
              <w:rPr>
                <w:rFonts w:hint="eastAsia" w:ascii="宋体" w:hAnsi="宋体" w:eastAsia="宋体" w:cs="宋体"/>
                <w:sz w:val="21"/>
                <w:szCs w:val="21"/>
              </w:rPr>
            </w:pPr>
          </w:p>
        </w:tc>
        <w:tc>
          <w:tcPr>
            <w:tcW w:w="1133" w:type="dxa"/>
            <w:vMerge w:val="continue"/>
            <w:tcBorders>
              <w:tl2br w:val="nil"/>
              <w:tr2bl w:val="nil"/>
            </w:tcBorders>
            <w:vAlign w:val="center"/>
          </w:tcPr>
          <w:p>
            <w:pPr>
              <w:rPr>
                <w:rFonts w:hint="eastAsia" w:ascii="宋体" w:hAnsi="宋体" w:eastAsia="宋体" w:cs="宋体"/>
                <w:sz w:val="21"/>
                <w:szCs w:val="21"/>
              </w:rPr>
            </w:pPr>
          </w:p>
        </w:tc>
        <w:tc>
          <w:tcPr>
            <w:tcW w:w="6803" w:type="dxa"/>
            <w:gridSpan w:val="3"/>
            <w:tcBorders>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审查人员结合申请人提交的全部资料，进行全面审查，在 3个工作日内做出审查意见，报审批人员。对不符合行政许可的，出具不予行政许可意见书，说明理由。</w:t>
            </w: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1" w:hRule="exact"/>
          <w:jc w:val="center"/>
        </w:trPr>
        <w:tc>
          <w:tcPr>
            <w:tcW w:w="1133" w:type="dxa"/>
            <w:vMerge w:val="continue"/>
            <w:tcBorders>
              <w:tl2br w:val="nil"/>
              <w:tr2bl w:val="nil"/>
            </w:tcBorders>
            <w:vAlign w:val="center"/>
          </w:tcPr>
          <w:p>
            <w:pPr>
              <w:rPr>
                <w:rFonts w:hint="eastAsia" w:ascii="宋体" w:hAnsi="宋体" w:eastAsia="宋体" w:cs="宋体"/>
                <w:sz w:val="21"/>
                <w:szCs w:val="21"/>
              </w:rPr>
            </w:pPr>
          </w:p>
        </w:tc>
        <w:tc>
          <w:tcPr>
            <w:tcW w:w="1133" w:type="dxa"/>
            <w:vMerge w:val="restart"/>
            <w:tcBorders>
              <w:tl2br w:val="nil"/>
              <w:tr2bl w:val="nil"/>
            </w:tcBorders>
            <w:vAlign w:val="center"/>
          </w:tcPr>
          <w:p>
            <w:pPr>
              <w:pStyle w:val="8"/>
              <w:spacing w:line="277" w:lineRule="atLeast"/>
              <w:jc w:val="center"/>
              <w:textAlignment w:val="center"/>
              <w:rPr>
                <w:rFonts w:hint="eastAsia" w:ascii="宋体" w:hAnsi="宋体" w:eastAsia="宋体" w:cs="宋体"/>
                <w:b w:val="0"/>
                <w:i w:val="0"/>
                <w:strike w:val="0"/>
                <w:color w:val="000000"/>
                <w:spacing w:val="0"/>
                <w:w w:val="100"/>
                <w:sz w:val="21"/>
                <w:szCs w:val="21"/>
                <w:lang w:eastAsia="zh-CN"/>
              </w:rPr>
            </w:pPr>
            <w:r>
              <w:rPr>
                <w:rFonts w:hint="eastAsia" w:ascii="宋体" w:hAnsi="宋体" w:cs="宋体"/>
                <w:b w:val="0"/>
                <w:i w:val="0"/>
                <w:strike w:val="0"/>
                <w:color w:val="000000"/>
                <w:spacing w:val="0"/>
                <w:w w:val="100"/>
                <w:sz w:val="21"/>
                <w:szCs w:val="21"/>
                <w:lang w:eastAsia="zh-CN"/>
              </w:rPr>
              <w:t>决定</w:t>
            </w:r>
          </w:p>
        </w:tc>
        <w:tc>
          <w:tcPr>
            <w:tcW w:w="6803" w:type="dxa"/>
            <w:gridSpan w:val="3"/>
            <w:tcBorders>
              <w:bottom w:val="single" w:color="auto" w:sz="4" w:space="0"/>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时限：1个工作日</w:t>
            </w: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68" w:hRule="exact"/>
          <w:jc w:val="center"/>
        </w:trPr>
        <w:tc>
          <w:tcPr>
            <w:tcW w:w="1133" w:type="dxa"/>
            <w:vMerge w:val="continue"/>
            <w:tcBorders>
              <w:tl2br w:val="nil"/>
              <w:tr2bl w:val="nil"/>
            </w:tcBorders>
            <w:vAlign w:val="center"/>
          </w:tcPr>
          <w:p>
            <w:pPr>
              <w:rPr>
                <w:rFonts w:hint="eastAsia" w:ascii="宋体" w:hAnsi="宋体" w:eastAsia="宋体" w:cs="宋体"/>
                <w:sz w:val="21"/>
                <w:szCs w:val="21"/>
              </w:rPr>
            </w:pPr>
          </w:p>
        </w:tc>
        <w:tc>
          <w:tcPr>
            <w:tcW w:w="1133" w:type="dxa"/>
            <w:vMerge w:val="continue"/>
            <w:tcBorders>
              <w:tl2br w:val="nil"/>
              <w:tr2bl w:val="nil"/>
            </w:tcBorders>
            <w:vAlign w:val="center"/>
          </w:tcPr>
          <w:p>
            <w:pPr>
              <w:pStyle w:val="8"/>
              <w:spacing w:line="277" w:lineRule="atLeast"/>
              <w:jc w:val="center"/>
              <w:textAlignment w:val="center"/>
              <w:rPr>
                <w:rFonts w:hint="eastAsia" w:ascii="宋体" w:hAnsi="宋体" w:eastAsia="宋体" w:cs="宋体"/>
                <w:b w:val="0"/>
                <w:i w:val="0"/>
                <w:strike w:val="0"/>
                <w:color w:val="000000"/>
                <w:spacing w:val="0"/>
                <w:w w:val="100"/>
                <w:sz w:val="21"/>
                <w:szCs w:val="21"/>
              </w:rPr>
            </w:pPr>
          </w:p>
        </w:tc>
        <w:tc>
          <w:tcPr>
            <w:tcW w:w="6803" w:type="dxa"/>
            <w:gridSpan w:val="3"/>
            <w:tcBorders>
              <w:top w:val="single" w:color="auto" w:sz="4" w:space="0"/>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审批人员根据审核人员、政策法制股提交的材料，符合要求的，批准予以行政许可。对不符合要求的，出具不予行政许可意见书，说明理由。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8" w:hRule="exact"/>
          <w:jc w:val="center"/>
        </w:trPr>
        <w:tc>
          <w:tcPr>
            <w:tcW w:w="1133" w:type="dxa"/>
            <w:vMerge w:val="continue"/>
            <w:tcBorders>
              <w:tl2br w:val="nil"/>
              <w:tr2bl w:val="nil"/>
            </w:tcBorders>
            <w:vAlign w:val="center"/>
          </w:tcPr>
          <w:p>
            <w:pPr>
              <w:rPr>
                <w:rFonts w:hint="eastAsia" w:ascii="宋体" w:hAnsi="宋体" w:eastAsia="宋体" w:cs="宋体"/>
                <w:sz w:val="21"/>
                <w:szCs w:val="21"/>
              </w:rPr>
            </w:pPr>
          </w:p>
        </w:tc>
        <w:tc>
          <w:tcPr>
            <w:tcW w:w="1133" w:type="dxa"/>
            <w:tcBorders>
              <w:tl2br w:val="nil"/>
              <w:tr2bl w:val="nil"/>
            </w:tcBorders>
            <w:vAlign w:val="center"/>
          </w:tcPr>
          <w:p>
            <w:pPr>
              <w:pStyle w:val="8"/>
              <w:spacing w:line="277" w:lineRule="atLeast"/>
              <w:jc w:val="center"/>
              <w:textAlignment w:val="center"/>
              <w:rPr>
                <w:rFonts w:hint="eastAsia" w:ascii="宋体" w:hAnsi="宋体" w:cs="宋体"/>
                <w:b w:val="0"/>
                <w:i w:val="0"/>
                <w:strike w:val="0"/>
                <w:color w:val="000000"/>
                <w:spacing w:val="0"/>
                <w:w w:val="100"/>
                <w:sz w:val="21"/>
                <w:szCs w:val="21"/>
                <w:lang w:eastAsia="zh-CN"/>
              </w:rPr>
            </w:pPr>
            <w:r>
              <w:rPr>
                <w:rFonts w:hint="eastAsia" w:ascii="宋体" w:hAnsi="宋体" w:cs="宋体"/>
                <w:b w:val="0"/>
                <w:i w:val="0"/>
                <w:strike w:val="0"/>
                <w:color w:val="000000"/>
                <w:spacing w:val="0"/>
                <w:w w:val="100"/>
                <w:sz w:val="21"/>
                <w:szCs w:val="21"/>
                <w:lang w:eastAsia="zh-CN"/>
              </w:rPr>
              <w:t>报市政府</w:t>
            </w:r>
          </w:p>
          <w:p>
            <w:pPr>
              <w:pStyle w:val="8"/>
              <w:spacing w:line="277" w:lineRule="atLeast"/>
              <w:jc w:val="center"/>
              <w:textAlignment w:val="center"/>
              <w:rPr>
                <w:rFonts w:hint="eastAsia" w:ascii="宋体" w:hAnsi="宋体" w:eastAsia="宋体" w:cs="宋体"/>
                <w:b w:val="0"/>
                <w:i w:val="0"/>
                <w:strike w:val="0"/>
                <w:color w:val="000000"/>
                <w:spacing w:val="0"/>
                <w:w w:val="100"/>
                <w:sz w:val="21"/>
                <w:szCs w:val="21"/>
                <w:lang w:eastAsia="zh-CN"/>
              </w:rPr>
            </w:pPr>
            <w:r>
              <w:rPr>
                <w:rFonts w:hint="eastAsia" w:ascii="宋体" w:hAnsi="宋体" w:cs="宋体"/>
                <w:b w:val="0"/>
                <w:i w:val="0"/>
                <w:strike w:val="0"/>
                <w:color w:val="000000"/>
                <w:spacing w:val="0"/>
                <w:w w:val="100"/>
                <w:sz w:val="21"/>
                <w:szCs w:val="21"/>
                <w:lang w:eastAsia="zh-CN"/>
              </w:rPr>
              <w:t>批准</w:t>
            </w:r>
          </w:p>
        </w:tc>
        <w:tc>
          <w:tcPr>
            <w:tcW w:w="6803" w:type="dxa"/>
            <w:gridSpan w:val="3"/>
            <w:tcBorders>
              <w:top w:val="single" w:color="auto" w:sz="4" w:space="0"/>
              <w:tl2br w:val="nil"/>
              <w:tr2bl w:val="nil"/>
            </w:tcBorders>
            <w:vAlign w:val="center"/>
          </w:tcPr>
          <w:p>
            <w:pPr>
              <w:keepNext w:val="0"/>
              <w:keepLines w:val="0"/>
              <w:widowControl/>
              <w:suppressLineNumbers w:val="0"/>
              <w:jc w:val="left"/>
              <w:rPr>
                <w:rFonts w:hint="default"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时限：2个工作日（不计入审批时限）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00" w:hRule="exact"/>
          <w:jc w:val="center"/>
        </w:trPr>
        <w:tc>
          <w:tcPr>
            <w:tcW w:w="2266" w:type="dxa"/>
            <w:gridSpan w:val="2"/>
            <w:tcBorders>
              <w:tl2br w:val="nil"/>
              <w:tr2bl w:val="nil"/>
            </w:tcBorders>
            <w:vAlign w:val="center"/>
          </w:tcPr>
          <w:p>
            <w:pPr>
              <w:pStyle w:val="8"/>
              <w:spacing w:line="277" w:lineRule="atLeast"/>
              <w:jc w:val="center"/>
              <w:textAlignment w:val="center"/>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审批监管对接</w:t>
            </w:r>
          </w:p>
        </w:tc>
        <w:tc>
          <w:tcPr>
            <w:tcW w:w="6803" w:type="dxa"/>
            <w:gridSpan w:val="3"/>
            <w:tcBorders>
              <w:tl2br w:val="nil"/>
              <w:tr2bl w:val="nil"/>
            </w:tcBorders>
            <w:vAlign w:val="center"/>
          </w:tcPr>
          <w:p>
            <w:pPr>
              <w:keepNext w:val="0"/>
              <w:keepLines w:val="0"/>
              <w:widowControl/>
              <w:suppressLineNumbers w:val="0"/>
              <w:jc w:val="left"/>
              <w:rPr>
                <w:rFonts w:hint="eastAsia" w:ascii="宋体" w:hAnsi="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对已经办理的行政许可事项，审批股负责以电子邮件或纸质函形式通知监管单位，负责事中事后监管。办结后1个工作日内</w:t>
            </w:r>
          </w:p>
        </w:tc>
      </w:tr>
    </w:tbl>
    <w:p>
      <w:pPr>
        <w:ind w:firstLine="0" w:firstLineChars="0"/>
        <w:rPr>
          <w:rFonts w:hint="eastAsia" w:ascii="宋体" w:hAnsi="宋体" w:eastAsia="宋体" w:cs="宋体"/>
          <w:sz w:val="21"/>
          <w:szCs w:val="21"/>
        </w:rPr>
      </w:pPr>
    </w:p>
    <w:sectPr>
      <w:headerReference r:id="rId5" w:type="default"/>
      <w:footerReference r:id="rId6"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00"/>
      </w:pPr>
      <w:r>
        <w:separator/>
      </w:r>
    </w:p>
  </w:endnote>
  <w:endnote w:type="continuationSeparator" w:id="1">
    <w:p>
      <w:pPr>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宋体"/>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lang w:val="en-US" w:eastAsia="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00"/>
      </w:pPr>
      <w:r>
        <w:separator/>
      </w:r>
    </w:p>
  </w:footnote>
  <w:footnote w:type="continuationSeparator" w:id="1">
    <w:p>
      <w:pPr>
        <w:ind w:firstLine="4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134AE"/>
    <w:rsid w:val="021501AA"/>
    <w:rsid w:val="025B087C"/>
    <w:rsid w:val="073626C5"/>
    <w:rsid w:val="0A4841F4"/>
    <w:rsid w:val="0B474E2D"/>
    <w:rsid w:val="0CFB567F"/>
    <w:rsid w:val="118F495B"/>
    <w:rsid w:val="15155916"/>
    <w:rsid w:val="15DC4361"/>
    <w:rsid w:val="182C4ED4"/>
    <w:rsid w:val="1D37169F"/>
    <w:rsid w:val="1DC5132C"/>
    <w:rsid w:val="20B625F7"/>
    <w:rsid w:val="21505DA0"/>
    <w:rsid w:val="21955220"/>
    <w:rsid w:val="225F3C0F"/>
    <w:rsid w:val="25916979"/>
    <w:rsid w:val="264007BB"/>
    <w:rsid w:val="2852067E"/>
    <w:rsid w:val="2A6423F3"/>
    <w:rsid w:val="2CD86595"/>
    <w:rsid w:val="2F594CDD"/>
    <w:rsid w:val="30A10425"/>
    <w:rsid w:val="39DD4863"/>
    <w:rsid w:val="3BCD672C"/>
    <w:rsid w:val="40831FFE"/>
    <w:rsid w:val="452A1B91"/>
    <w:rsid w:val="4FFB6583"/>
    <w:rsid w:val="504444DF"/>
    <w:rsid w:val="509E54A5"/>
    <w:rsid w:val="50F20540"/>
    <w:rsid w:val="540231BD"/>
    <w:rsid w:val="56292959"/>
    <w:rsid w:val="578372F1"/>
    <w:rsid w:val="57EF19B4"/>
    <w:rsid w:val="59E73AAA"/>
    <w:rsid w:val="5A404FA0"/>
    <w:rsid w:val="5AA612D5"/>
    <w:rsid w:val="5D8A33E1"/>
    <w:rsid w:val="5D9A38FE"/>
    <w:rsid w:val="603059C2"/>
    <w:rsid w:val="60DE5B42"/>
    <w:rsid w:val="63426E56"/>
    <w:rsid w:val="64D02C17"/>
    <w:rsid w:val="661B3FCA"/>
    <w:rsid w:val="674309FD"/>
    <w:rsid w:val="691B17A6"/>
    <w:rsid w:val="6AD805DF"/>
    <w:rsid w:val="6CEB0A0D"/>
    <w:rsid w:val="722A35EE"/>
    <w:rsid w:val="72BB7E59"/>
    <w:rsid w:val="796372F1"/>
    <w:rsid w:val="79F732E5"/>
    <w:rsid w:val="7A4F191E"/>
    <w:rsid w:val="7FF1700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1" w:firstLineChars="200"/>
    </w:pPr>
    <w:rPr>
      <w:rFonts w:ascii="Times New Roman" w:hAnsi="Times New Roman" w:eastAsia="宋体" w:cs="Times New Roman"/>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7">
    <w:name w:val="Hyperlink"/>
    <w:basedOn w:val="6"/>
    <w:unhideWhenUsed/>
    <w:qFormat/>
    <w:uiPriority w:val="99"/>
    <w:rPr>
      <w:color w:val="0000FF"/>
      <w:u w:val="single"/>
    </w:rPr>
  </w:style>
  <w:style w:type="paragraph" w:customStyle="1" w:styleId="8">
    <w:name w:val="WPS Plain"/>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zh001</dc:creator>
  <cp:lastModifiedBy>嫣语声秀</cp:lastModifiedBy>
  <cp:lastPrinted>2019-01-15T01:37:00Z</cp:lastPrinted>
  <dcterms:modified xsi:type="dcterms:W3CDTF">2021-12-01T06:58:39Z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23D426BAD818433E802DC903AA2DBED8</vt:lpwstr>
  </property>
</Properties>
</file>