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98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6"/>
        <w:gridCol w:w="1064"/>
        <w:gridCol w:w="1888"/>
        <w:gridCol w:w="2368"/>
        <w:gridCol w:w="3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2130" w:type="dxa"/>
            <w:gridSpan w:val="2"/>
            <w:vAlign w:val="center"/>
          </w:tcPr>
          <w:p>
            <w:pPr>
              <w:pStyle w:val="5"/>
              <w:widowControl w:val="0"/>
              <w:spacing w:line="277" w:lineRule="atLeast"/>
              <w:jc w:val="center"/>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lang w:val="en-US" w:eastAsia="zh-CN" w:bidi="ar-SA"/>
              </w:rPr>
              <w:t>事项名称</w:t>
            </w:r>
          </w:p>
        </w:tc>
        <w:tc>
          <w:tcPr>
            <w:tcW w:w="7732" w:type="dxa"/>
            <w:gridSpan w:val="3"/>
            <w:vAlign w:val="center"/>
          </w:tcPr>
          <w:p>
            <w:pPr>
              <w:pStyle w:val="5"/>
              <w:widowControl w:val="0"/>
              <w:spacing w:line="277" w:lineRule="atLeast"/>
              <w:jc w:val="both"/>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rPr>
              <w:t>防空地下室建设审批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2130" w:type="dxa"/>
            <w:gridSpan w:val="2"/>
            <w:vAlign w:val="center"/>
          </w:tcPr>
          <w:p>
            <w:pPr>
              <w:pStyle w:val="5"/>
              <w:widowControl w:val="0"/>
              <w:spacing w:line="277" w:lineRule="atLeast"/>
              <w:jc w:val="center"/>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rPr>
              <w:t>审批权限</w:t>
            </w:r>
          </w:p>
        </w:tc>
        <w:tc>
          <w:tcPr>
            <w:tcW w:w="7732" w:type="dxa"/>
            <w:gridSpan w:val="3"/>
            <w:vAlign w:val="center"/>
          </w:tcPr>
          <w:p>
            <w:pPr>
              <w:pStyle w:val="5"/>
              <w:widowControl w:val="0"/>
              <w:spacing w:line="277" w:lineRule="atLeast"/>
              <w:jc w:val="both"/>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lang w:val="en-US" w:eastAsia="zh-CN" w:bidi="ar-SA"/>
              </w:rPr>
              <w:t>区级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gridSpan w:val="2"/>
            <w:vAlign w:val="center"/>
          </w:tcPr>
          <w:p>
            <w:pPr>
              <w:pStyle w:val="5"/>
              <w:widowControl w:val="0"/>
              <w:spacing w:line="277" w:lineRule="atLeast"/>
              <w:jc w:val="center"/>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rPr>
              <w:t>实施依据</w:t>
            </w:r>
          </w:p>
        </w:tc>
        <w:tc>
          <w:tcPr>
            <w:tcW w:w="7732" w:type="dxa"/>
            <w:gridSpan w:val="3"/>
            <w:vAlign w:val="top"/>
          </w:tcPr>
          <w:p>
            <w:pPr>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1、《中华人民共和国人民防空法》（1996年10月29日第八届全国人民代表大会常务委员会第二十二次会议通过，2009年8月27日修正）第二十二条</w:t>
            </w:r>
          </w:p>
          <w:p>
            <w:pPr>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2、《河北省实施〈中华人民共和国人民防空法〉办法》（根据2010年7月30日河北省第十一届人民代表大会常务委员会第十七次会议《关于修改部分法规的决定》第二次修正）第十二条</w:t>
            </w:r>
          </w:p>
          <w:p>
            <w:pPr>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3、《国务院、中央军委关于进一步推进人民防空事业发展的若干意见》（国发〔2008〕4号）第三部分第（九）</w:t>
            </w:r>
          </w:p>
          <w:p>
            <w:pPr>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4、《河北省人民政府办公厅关于印发依法实施行政许可项目的通知》（冀政办〔2009〕23号）附件下放设区市、县级实施的行政许可项目目录第34项</w:t>
            </w:r>
          </w:p>
          <w:p>
            <w:pPr>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outlineLvl w:val="9"/>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lang w:val="en-US" w:eastAsia="zh-CN"/>
              </w:rPr>
              <w:t>5、《中共中央、国务院、中央军委关于加强人民防空工作的决定》（中发〔2001〕9号）第三部分第（九）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gridSpan w:val="2"/>
            <w:vAlign w:val="center"/>
          </w:tcPr>
          <w:p>
            <w:pPr>
              <w:pStyle w:val="5"/>
              <w:widowControl w:val="0"/>
              <w:spacing w:line="277" w:lineRule="atLeast"/>
              <w:jc w:val="center"/>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rPr>
              <w:t>法定时限</w:t>
            </w:r>
          </w:p>
        </w:tc>
        <w:tc>
          <w:tcPr>
            <w:tcW w:w="1888" w:type="dxa"/>
            <w:vAlign w:val="center"/>
          </w:tcPr>
          <w:p>
            <w:pPr>
              <w:pStyle w:val="5"/>
              <w:widowControl w:val="0"/>
              <w:spacing w:line="277" w:lineRule="atLeast"/>
              <w:jc w:val="center"/>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lang w:val="en-US" w:eastAsia="zh-CN"/>
              </w:rPr>
              <w:t>35</w:t>
            </w:r>
            <w:r>
              <w:rPr>
                <w:rFonts w:hint="eastAsia" w:asciiTheme="minorEastAsia" w:hAnsiTheme="minorEastAsia" w:eastAsiaTheme="minorEastAsia" w:cstheme="minorEastAsia"/>
                <w:color w:val="000000"/>
                <w:sz w:val="21"/>
                <w:szCs w:val="21"/>
              </w:rPr>
              <w:t>个工作日</w:t>
            </w:r>
          </w:p>
        </w:tc>
        <w:tc>
          <w:tcPr>
            <w:tcW w:w="2368" w:type="dxa"/>
            <w:vAlign w:val="center"/>
          </w:tcPr>
          <w:p>
            <w:pPr>
              <w:pStyle w:val="5"/>
              <w:widowControl w:val="0"/>
              <w:spacing w:line="277" w:lineRule="atLeast"/>
              <w:jc w:val="center"/>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rPr>
              <w:t>承诺时限</w:t>
            </w:r>
          </w:p>
        </w:tc>
        <w:tc>
          <w:tcPr>
            <w:tcW w:w="3476" w:type="dxa"/>
            <w:vAlign w:val="center"/>
          </w:tcPr>
          <w:p>
            <w:pPr>
              <w:pStyle w:val="5"/>
              <w:widowControl w:val="0"/>
              <w:spacing w:line="277" w:lineRule="atLeast"/>
              <w:jc w:val="center"/>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lang w:val="en-US" w:eastAsia="zh-CN"/>
              </w:rPr>
              <w:t>3</w:t>
            </w:r>
            <w:r>
              <w:rPr>
                <w:rFonts w:hint="eastAsia" w:asciiTheme="minorEastAsia" w:hAnsiTheme="minorEastAsia" w:eastAsiaTheme="minorEastAsia" w:cstheme="minorEastAsia"/>
                <w:color w:val="000000"/>
                <w:sz w:val="21"/>
                <w:szCs w:val="21"/>
              </w:rPr>
              <w:t>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 w:type="dxa"/>
            <w:vMerge w:val="restart"/>
            <w:vAlign w:val="center"/>
          </w:tcPr>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审批流程</w:t>
            </w:r>
          </w:p>
        </w:tc>
        <w:tc>
          <w:tcPr>
            <w:tcW w:w="1064" w:type="dxa"/>
            <w:vMerge w:val="restart"/>
            <w:vAlign w:val="center"/>
          </w:tcPr>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受理</w:t>
            </w:r>
          </w:p>
        </w:tc>
        <w:tc>
          <w:tcPr>
            <w:tcW w:w="7732" w:type="dxa"/>
            <w:gridSpan w:val="3"/>
            <w:vAlign w:val="center"/>
          </w:tcPr>
          <w:p>
            <w:pPr>
              <w:pStyle w:val="5"/>
              <w:widowControl w:val="0"/>
              <w:spacing w:line="277" w:lineRule="atLeast"/>
              <w:jc w:val="left"/>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lang w:val="en-US" w:eastAsia="zh-CN"/>
              </w:rPr>
              <w:t>时限：1个工作日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77" w:hRule="atLeast"/>
        </w:trPr>
        <w:tc>
          <w:tcPr>
            <w:tcW w:w="1066" w:type="dxa"/>
            <w:vMerge w:val="continue"/>
            <w:vAlign w:val="center"/>
          </w:tcPr>
          <w:p>
            <w:pPr>
              <w:jc w:val="center"/>
              <w:rPr>
                <w:rFonts w:hint="eastAsia" w:asciiTheme="minorEastAsia" w:hAnsiTheme="minorEastAsia" w:eastAsiaTheme="minorEastAsia" w:cstheme="minorEastAsia"/>
                <w:sz w:val="21"/>
                <w:szCs w:val="21"/>
                <w:vertAlign w:val="baseline"/>
              </w:rPr>
            </w:pPr>
          </w:p>
        </w:tc>
        <w:tc>
          <w:tcPr>
            <w:tcW w:w="1064" w:type="dxa"/>
            <w:vMerge w:val="continue"/>
            <w:vAlign w:val="center"/>
          </w:tcPr>
          <w:p>
            <w:pPr>
              <w:jc w:val="center"/>
              <w:rPr>
                <w:rFonts w:hint="eastAsia" w:asciiTheme="minorEastAsia" w:hAnsiTheme="minorEastAsia" w:eastAsiaTheme="minorEastAsia" w:cstheme="minorEastAsia"/>
                <w:sz w:val="21"/>
                <w:szCs w:val="21"/>
                <w:vertAlign w:val="baseline"/>
              </w:rPr>
            </w:pPr>
          </w:p>
        </w:tc>
        <w:tc>
          <w:tcPr>
            <w:tcW w:w="7732" w:type="dxa"/>
            <w:gridSpan w:val="3"/>
            <w:vAlign w:val="top"/>
          </w:tcPr>
          <w:p>
            <w:pPr>
              <w:spacing w:line="360" w:lineRule="auto"/>
              <w:ind w:firstLineChars="1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申报材料：</w:t>
            </w:r>
          </w:p>
          <w:p>
            <w:pPr>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1、行政许可申请书</w:t>
            </w:r>
          </w:p>
          <w:p>
            <w:pPr>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2、法定代表人和委托代理人居民身份证、授权委托书</w:t>
            </w:r>
          </w:p>
          <w:p>
            <w:pPr>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3、经批准的建设工程修建性详细规划</w:t>
            </w:r>
          </w:p>
          <w:p>
            <w:pPr>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4、设计单位出具的单体建筑统计表(含层数、基础埋深、总建筑面积、首层建筑面积等)</w:t>
            </w:r>
          </w:p>
          <w:p>
            <w:pPr>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5、防空地下室建设要求</w:t>
            </w:r>
          </w:p>
          <w:p>
            <w:pPr>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6、人防工程施工图设计文件审查报告及审查合格书</w:t>
            </w:r>
          </w:p>
          <w:p>
            <w:pPr>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7、经审查合格的防空地下室纸质施工图电子版</w:t>
            </w:r>
          </w:p>
          <w:p>
            <w:pPr>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outlineLvl w:val="9"/>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lang w:val="en-US" w:eastAsia="zh-CN"/>
              </w:rPr>
              <w:t>8、建设单位提交的防空地下室易地建设申请及相应部门或单位出具的评估和专家论证材料(易地建设防空地下室的)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8" w:hRule="atLeast"/>
        </w:trPr>
        <w:tc>
          <w:tcPr>
            <w:tcW w:w="1066" w:type="dxa"/>
            <w:vMerge w:val="continue"/>
            <w:vAlign w:val="center"/>
          </w:tcPr>
          <w:p>
            <w:pPr>
              <w:jc w:val="center"/>
              <w:rPr>
                <w:rFonts w:hint="eastAsia" w:asciiTheme="minorEastAsia" w:hAnsiTheme="minorEastAsia" w:eastAsiaTheme="minorEastAsia" w:cstheme="minorEastAsia"/>
                <w:sz w:val="21"/>
                <w:szCs w:val="21"/>
                <w:vertAlign w:val="baseline"/>
              </w:rPr>
            </w:pPr>
          </w:p>
        </w:tc>
        <w:tc>
          <w:tcPr>
            <w:tcW w:w="1064" w:type="dxa"/>
            <w:vMerge w:val="continue"/>
            <w:vAlign w:val="center"/>
          </w:tcPr>
          <w:p>
            <w:pPr>
              <w:jc w:val="center"/>
              <w:rPr>
                <w:rFonts w:hint="eastAsia" w:asciiTheme="minorEastAsia" w:hAnsiTheme="minorEastAsia" w:eastAsiaTheme="minorEastAsia" w:cstheme="minorEastAsia"/>
                <w:sz w:val="21"/>
                <w:szCs w:val="21"/>
                <w:vertAlign w:val="baseline"/>
              </w:rPr>
            </w:pPr>
          </w:p>
        </w:tc>
        <w:tc>
          <w:tcPr>
            <w:tcW w:w="7732" w:type="dxa"/>
            <w:gridSpan w:val="3"/>
            <w:vAlign w:val="center"/>
          </w:tcPr>
          <w:p>
            <w:pPr>
              <w:pStyle w:val="5"/>
              <w:widowControl w:val="0"/>
              <w:spacing w:line="277" w:lineRule="atLeast"/>
              <w:jc w:val="both"/>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rPr>
              <w:t>属于职责范围内的，</w:t>
            </w:r>
            <w:r>
              <w:rPr>
                <w:rFonts w:hint="eastAsia" w:asciiTheme="minorEastAsia" w:hAnsiTheme="minorEastAsia" w:eastAsiaTheme="minorEastAsia" w:cstheme="minorEastAsia"/>
                <w:color w:val="000000"/>
                <w:sz w:val="21"/>
                <w:szCs w:val="21"/>
                <w:lang w:eastAsia="zh-CN"/>
              </w:rPr>
              <w:t>自收到申请之日起</w:t>
            </w:r>
            <w:r>
              <w:rPr>
                <w:rFonts w:hint="eastAsia" w:asciiTheme="minorEastAsia" w:hAnsiTheme="minorEastAsia" w:eastAsiaTheme="minorEastAsia" w:cstheme="minorEastAsia"/>
                <w:color w:val="000000"/>
                <w:sz w:val="21"/>
                <w:szCs w:val="21"/>
                <w:lang w:val="en-US" w:eastAsia="zh-CN"/>
              </w:rPr>
              <w:t>1个工作内材料齐全的进行受理；材料不齐全的一次性告知需补齐材料；不符合条件的出具不予受理通知书</w:t>
            </w:r>
            <w:r>
              <w:rPr>
                <w:rFonts w:hint="eastAsia" w:asciiTheme="minorEastAsia" w:hAnsiTheme="minorEastAsia" w:eastAsiaTheme="minorEastAsia" w:cstheme="minorEastAsia"/>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 w:type="dxa"/>
            <w:vMerge w:val="continue"/>
            <w:vAlign w:val="center"/>
          </w:tcPr>
          <w:p>
            <w:pPr>
              <w:jc w:val="center"/>
              <w:rPr>
                <w:rFonts w:hint="eastAsia" w:asciiTheme="minorEastAsia" w:hAnsiTheme="minorEastAsia" w:eastAsiaTheme="minorEastAsia" w:cstheme="minorEastAsia"/>
                <w:sz w:val="21"/>
                <w:szCs w:val="21"/>
                <w:vertAlign w:val="baseline"/>
              </w:rPr>
            </w:pPr>
          </w:p>
        </w:tc>
        <w:tc>
          <w:tcPr>
            <w:tcW w:w="1064" w:type="dxa"/>
            <w:vMerge w:val="restart"/>
            <w:vAlign w:val="center"/>
          </w:tcPr>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审查</w:t>
            </w:r>
          </w:p>
        </w:tc>
        <w:tc>
          <w:tcPr>
            <w:tcW w:w="7732" w:type="dxa"/>
            <w:gridSpan w:val="3"/>
            <w:vAlign w:val="center"/>
          </w:tcPr>
          <w:p>
            <w:pPr>
              <w:pStyle w:val="5"/>
              <w:widowControl w:val="0"/>
              <w:spacing w:line="277" w:lineRule="atLeast"/>
              <w:jc w:val="both"/>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rPr>
              <w:t xml:space="preserve">时限： </w:t>
            </w:r>
            <w:r>
              <w:rPr>
                <w:rFonts w:hint="eastAsia" w:asciiTheme="minorEastAsia" w:hAnsiTheme="minorEastAsia" w:eastAsiaTheme="minorEastAsia" w:cstheme="minorEastAsia"/>
                <w:color w:val="000000"/>
                <w:sz w:val="21"/>
                <w:szCs w:val="21"/>
                <w:lang w:val="en-US" w:eastAsia="zh-CN"/>
              </w:rPr>
              <w:t>1</w:t>
            </w:r>
            <w:r>
              <w:rPr>
                <w:rFonts w:hint="eastAsia" w:asciiTheme="minorEastAsia" w:hAnsiTheme="minorEastAsia" w:eastAsiaTheme="minorEastAsia" w:cstheme="minorEastAsia"/>
                <w:color w:val="000000"/>
                <w:sz w:val="21"/>
                <w:szCs w:val="21"/>
              </w:rPr>
              <w:t>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0" w:hRule="atLeast"/>
        </w:trPr>
        <w:tc>
          <w:tcPr>
            <w:tcW w:w="1066" w:type="dxa"/>
            <w:vMerge w:val="continue"/>
            <w:vAlign w:val="center"/>
          </w:tcPr>
          <w:p>
            <w:pPr>
              <w:jc w:val="center"/>
              <w:rPr>
                <w:rFonts w:hint="eastAsia" w:asciiTheme="minorEastAsia" w:hAnsiTheme="minorEastAsia" w:eastAsiaTheme="minorEastAsia" w:cstheme="minorEastAsia"/>
                <w:sz w:val="21"/>
                <w:szCs w:val="21"/>
                <w:vertAlign w:val="baseline"/>
              </w:rPr>
            </w:pPr>
          </w:p>
        </w:tc>
        <w:tc>
          <w:tcPr>
            <w:tcW w:w="1064" w:type="dxa"/>
            <w:vMerge w:val="continue"/>
            <w:vAlign w:val="center"/>
          </w:tcPr>
          <w:p>
            <w:pPr>
              <w:jc w:val="center"/>
              <w:rPr>
                <w:rFonts w:hint="eastAsia" w:asciiTheme="minorEastAsia" w:hAnsiTheme="minorEastAsia" w:eastAsiaTheme="minorEastAsia" w:cstheme="minorEastAsia"/>
                <w:sz w:val="21"/>
                <w:szCs w:val="21"/>
                <w:vertAlign w:val="baseline"/>
              </w:rPr>
            </w:pPr>
          </w:p>
        </w:tc>
        <w:tc>
          <w:tcPr>
            <w:tcW w:w="7732" w:type="dxa"/>
            <w:gridSpan w:val="3"/>
            <w:vAlign w:val="center"/>
          </w:tcPr>
          <w:p>
            <w:pPr>
              <w:pStyle w:val="5"/>
              <w:widowControl w:val="0"/>
              <w:spacing w:line="277" w:lineRule="atLeast"/>
              <w:jc w:val="both"/>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rPr>
              <w:t>审核人员结合申请人提交的全部资料，</w:t>
            </w:r>
            <w:r>
              <w:rPr>
                <w:rFonts w:hint="eastAsia" w:asciiTheme="minorEastAsia" w:hAnsiTheme="minorEastAsia" w:eastAsiaTheme="minorEastAsia" w:cstheme="minorEastAsia"/>
                <w:color w:val="000000"/>
                <w:sz w:val="21"/>
                <w:szCs w:val="21"/>
                <w:lang w:eastAsia="zh-CN"/>
              </w:rPr>
              <w:t>对材料和现场进行审查，并</w:t>
            </w:r>
            <w:r>
              <w:rPr>
                <w:rFonts w:hint="eastAsia" w:asciiTheme="minorEastAsia" w:hAnsiTheme="minorEastAsia" w:eastAsiaTheme="minorEastAsia" w:cstheme="minorEastAsia"/>
                <w:color w:val="000000"/>
                <w:sz w:val="21"/>
                <w:szCs w:val="21"/>
                <w:lang w:val="en-US" w:eastAsia="zh-CN"/>
              </w:rPr>
              <w:t>1</w:t>
            </w:r>
            <w:r>
              <w:rPr>
                <w:rFonts w:hint="eastAsia" w:asciiTheme="minorEastAsia" w:hAnsiTheme="minorEastAsia" w:eastAsiaTheme="minorEastAsia" w:cstheme="minorEastAsia"/>
                <w:color w:val="000000"/>
                <w:sz w:val="21"/>
                <w:szCs w:val="21"/>
              </w:rPr>
              <w:t>个工作日内做出审核意见。不符合</w:t>
            </w:r>
            <w:r>
              <w:rPr>
                <w:rFonts w:hint="eastAsia" w:asciiTheme="minorEastAsia" w:hAnsiTheme="minorEastAsia" w:eastAsiaTheme="minorEastAsia" w:cstheme="minorEastAsia"/>
                <w:color w:val="000000"/>
                <w:sz w:val="21"/>
                <w:szCs w:val="21"/>
                <w:lang w:eastAsia="zh-CN"/>
              </w:rPr>
              <w:t>条件</w:t>
            </w:r>
            <w:r>
              <w:rPr>
                <w:rFonts w:hint="eastAsia" w:asciiTheme="minorEastAsia" w:hAnsiTheme="minorEastAsia" w:eastAsiaTheme="minorEastAsia" w:cstheme="minorEastAsia"/>
                <w:color w:val="000000"/>
                <w:sz w:val="21"/>
                <w:szCs w:val="21"/>
              </w:rPr>
              <w:t>的，出具不予行政许可</w:t>
            </w:r>
            <w:r>
              <w:rPr>
                <w:rFonts w:hint="eastAsia" w:asciiTheme="minorEastAsia" w:hAnsiTheme="minorEastAsia" w:eastAsiaTheme="minorEastAsia" w:cstheme="minorEastAsia"/>
                <w:color w:val="000000"/>
                <w:sz w:val="21"/>
                <w:szCs w:val="21"/>
                <w:lang w:eastAsia="zh-CN"/>
              </w:rPr>
              <w:t>决定</w:t>
            </w:r>
            <w:r>
              <w:rPr>
                <w:rFonts w:hint="eastAsia" w:asciiTheme="minorEastAsia" w:hAnsiTheme="minorEastAsia" w:eastAsiaTheme="minorEastAsia" w:cstheme="minorEastAsia"/>
                <w:color w:val="000000"/>
                <w:sz w:val="21"/>
                <w:szCs w:val="21"/>
              </w:rPr>
              <w:t>书，说明理由。</w:t>
            </w:r>
            <w:r>
              <w:rPr>
                <w:rFonts w:hint="eastAsia" w:asciiTheme="minorEastAsia" w:hAnsiTheme="minorEastAsia" w:eastAsiaTheme="minorEastAsia" w:cstheme="minorEastAsia"/>
                <w:color w:val="000000"/>
                <w:sz w:val="21"/>
                <w:szCs w:val="21"/>
                <w:lang w:eastAsia="zh-CN"/>
              </w:rPr>
              <w:t>符合条件的，按程序进行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 w:type="dxa"/>
            <w:vMerge w:val="continue"/>
            <w:vAlign w:val="center"/>
          </w:tcPr>
          <w:p>
            <w:pPr>
              <w:jc w:val="center"/>
              <w:rPr>
                <w:rFonts w:hint="eastAsia" w:asciiTheme="minorEastAsia" w:hAnsiTheme="minorEastAsia" w:eastAsiaTheme="minorEastAsia" w:cstheme="minorEastAsia"/>
                <w:sz w:val="21"/>
                <w:szCs w:val="21"/>
                <w:vertAlign w:val="baseline"/>
              </w:rPr>
            </w:pPr>
          </w:p>
        </w:tc>
        <w:tc>
          <w:tcPr>
            <w:tcW w:w="1064" w:type="dxa"/>
            <w:vMerge w:val="restart"/>
            <w:vAlign w:val="center"/>
          </w:tcPr>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决定</w:t>
            </w:r>
          </w:p>
        </w:tc>
        <w:tc>
          <w:tcPr>
            <w:tcW w:w="7732" w:type="dxa"/>
            <w:gridSpan w:val="3"/>
          </w:tcPr>
          <w:p>
            <w:pPr>
              <w:pStyle w:val="5"/>
              <w:widowControl w:val="0"/>
              <w:spacing w:line="277" w:lineRule="atLeast"/>
              <w:jc w:val="both"/>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rPr>
              <w:t xml:space="preserve">时限： </w:t>
            </w:r>
            <w:r>
              <w:rPr>
                <w:rFonts w:hint="eastAsia" w:asciiTheme="minorEastAsia" w:hAnsiTheme="minorEastAsia" w:eastAsiaTheme="minorEastAsia" w:cstheme="minorEastAsia"/>
                <w:color w:val="000000"/>
                <w:sz w:val="21"/>
                <w:szCs w:val="21"/>
                <w:lang w:val="en-US" w:eastAsia="zh-CN"/>
              </w:rPr>
              <w:t>1</w:t>
            </w:r>
            <w:r>
              <w:rPr>
                <w:rFonts w:hint="eastAsia" w:asciiTheme="minorEastAsia" w:hAnsiTheme="minorEastAsia" w:eastAsiaTheme="minorEastAsia" w:cstheme="minorEastAsia"/>
                <w:color w:val="000000"/>
                <w:sz w:val="21"/>
                <w:szCs w:val="21"/>
              </w:rPr>
              <w:t>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 w:type="dxa"/>
            <w:vMerge w:val="continue"/>
            <w:vAlign w:val="center"/>
          </w:tcPr>
          <w:p>
            <w:pPr>
              <w:jc w:val="center"/>
              <w:rPr>
                <w:rFonts w:hint="eastAsia" w:asciiTheme="minorEastAsia" w:hAnsiTheme="minorEastAsia" w:eastAsiaTheme="minorEastAsia" w:cstheme="minorEastAsia"/>
                <w:sz w:val="21"/>
                <w:szCs w:val="21"/>
                <w:vertAlign w:val="baseline"/>
              </w:rPr>
            </w:pPr>
          </w:p>
        </w:tc>
        <w:tc>
          <w:tcPr>
            <w:tcW w:w="1064" w:type="dxa"/>
            <w:vMerge w:val="continue"/>
            <w:vAlign w:val="center"/>
          </w:tcPr>
          <w:p>
            <w:pPr>
              <w:jc w:val="center"/>
              <w:rPr>
                <w:rFonts w:hint="eastAsia" w:asciiTheme="minorEastAsia" w:hAnsiTheme="minorEastAsia" w:eastAsiaTheme="minorEastAsia" w:cstheme="minorEastAsia"/>
                <w:sz w:val="21"/>
                <w:szCs w:val="21"/>
                <w:vertAlign w:val="baseline"/>
              </w:rPr>
            </w:pPr>
          </w:p>
        </w:tc>
        <w:tc>
          <w:tcPr>
            <w:tcW w:w="7732" w:type="dxa"/>
            <w:gridSpan w:val="3"/>
          </w:tcPr>
          <w:p>
            <w:pP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rPr>
              <w:t>对不符合要求的，作出不予通过的书面意见，说明理由。符合要求的，批准予以行政许可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gridSpan w:val="2"/>
            <w:vAlign w:val="center"/>
          </w:tcPr>
          <w:p>
            <w:pPr>
              <w:jc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rPr>
              <w:t>审批监管对接</w:t>
            </w:r>
          </w:p>
        </w:tc>
        <w:tc>
          <w:tcPr>
            <w:tcW w:w="7732" w:type="dxa"/>
            <w:gridSpan w:val="3"/>
          </w:tcPr>
          <w:p>
            <w:pP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rPr>
              <w:t>对已经办理的行政许可事项，审批股负责以电子邮件或纸质函形式通知监管单位，负责事中事后监管。办结后1</w:t>
            </w:r>
            <w:r>
              <w:rPr>
                <w:rFonts w:hint="eastAsia" w:asciiTheme="minorEastAsia" w:hAnsiTheme="minorEastAsia" w:cstheme="minorEastAsia"/>
                <w:color w:val="000000"/>
                <w:sz w:val="21"/>
                <w:szCs w:val="21"/>
                <w:lang w:eastAsia="zh-CN"/>
              </w:rPr>
              <w:t>个工作</w:t>
            </w:r>
            <w:r>
              <w:rPr>
                <w:rFonts w:hint="eastAsia" w:asciiTheme="minorEastAsia" w:hAnsiTheme="minorEastAsia" w:eastAsiaTheme="minorEastAsia" w:cstheme="minorEastAsia"/>
                <w:color w:val="000000"/>
                <w:sz w:val="21"/>
                <w:szCs w:val="21"/>
              </w:rPr>
              <w:t>日</w:t>
            </w:r>
            <w:bookmarkStart w:id="0" w:name="_GoBack"/>
            <w:bookmarkEnd w:id="0"/>
            <w:r>
              <w:rPr>
                <w:rFonts w:hint="eastAsia" w:asciiTheme="minorEastAsia" w:hAnsiTheme="minorEastAsia" w:eastAsiaTheme="minorEastAsia" w:cstheme="minorEastAsia"/>
                <w:color w:val="000000"/>
                <w:sz w:val="21"/>
                <w:szCs w:val="21"/>
              </w:rPr>
              <w:t>内。</w:t>
            </w:r>
          </w:p>
        </w:tc>
      </w:tr>
    </w:tbl>
    <w:p/>
    <w:sectPr>
      <w:pgSz w:w="11906" w:h="16838"/>
      <w:pgMar w:top="850" w:right="1134" w:bottom="85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DE749C"/>
    <w:rsid w:val="01932F44"/>
    <w:rsid w:val="3BAA405A"/>
    <w:rsid w:val="40DE749C"/>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
    <w:name w:val="WPS Plain"/>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2021-11-30T05:55:00Z</dcterms:created>
  <dc:creator>Q</dc:creator>
  <cp:lastModifiedBy>Q</cp:lastModifiedBy>
  <dcterms:modified xsi:type="dcterms:W3CDTF">2021-12-02T01:48:26Z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