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autoSpaceDE/>
        <w:autoSpaceDN/>
        <w:snapToGrid w:val="0"/>
        <w:spacing w:line="660" w:lineRule="exact"/>
        <w:jc w:val="center"/>
        <w:outlineLvl w:val="0"/>
        <w:rPr>
          <w:rFonts w:ascii="Times New Roman"/>
          <w:sz w:val="27"/>
        </w:rPr>
      </w:pPr>
    </w:p>
    <w:p>
      <w:pPr>
        <w:spacing w:before="55"/>
        <w:ind w:left="311" w:right="451"/>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徐审环表字〔20</w:t>
      </w:r>
      <w:r>
        <w:rPr>
          <w:rFonts w:hint="eastAsia"/>
          <w:color w:val="000000" w:themeColor="text1"/>
          <w:sz w:val="32"/>
          <w:lang w:val="en-US" w:eastAsia="zh-CN"/>
          <w14:textFill>
            <w14:solidFill>
              <w14:schemeClr w14:val="tx1"/>
            </w14:solidFill>
          </w14:textFill>
        </w:rPr>
        <w:t>21</w:t>
      </w:r>
      <w:r>
        <w:rPr>
          <w:color w:val="000000" w:themeColor="text1"/>
          <w:sz w:val="32"/>
          <w14:textFill>
            <w14:solidFill>
              <w14:schemeClr w14:val="tx1"/>
            </w14:solidFill>
          </w14:textFill>
        </w:rPr>
        <w:t>〕</w:t>
      </w:r>
      <w:r>
        <w:rPr>
          <w:rFonts w:hint="eastAsia"/>
          <w:color w:val="000000" w:themeColor="text1"/>
          <w:sz w:val="32"/>
          <w:lang w:val="en-US" w:eastAsia="zh-CN"/>
          <w14:textFill>
            <w14:solidFill>
              <w14:schemeClr w14:val="tx1"/>
            </w14:solidFill>
          </w14:textFill>
        </w:rPr>
        <w:t>10</w:t>
      </w:r>
      <w:r>
        <w:rPr>
          <w:color w:val="000000" w:themeColor="text1"/>
          <w:sz w:val="32"/>
          <w14:textFill>
            <w14:solidFill>
              <w14:schemeClr w14:val="tx1"/>
            </w14:solidFill>
          </w14:textFill>
        </w:rPr>
        <w:t xml:space="preserve"> 号</w:t>
      </w:r>
    </w:p>
    <w:p>
      <w:pPr>
        <w:pStyle w:val="4"/>
        <w:ind w:left="0"/>
        <w:rPr>
          <w:sz w:val="32"/>
        </w:rPr>
      </w:pPr>
    </w:p>
    <w:p>
      <w:pPr>
        <w:pStyle w:val="4"/>
        <w:spacing w:before="3"/>
        <w:ind w:left="0"/>
        <w:rPr>
          <w:sz w:val="23"/>
        </w:rPr>
      </w:pP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kern w:val="2"/>
          <w:sz w:val="44"/>
          <w:szCs w:val="44"/>
          <w:lang w:val="en-US" w:eastAsia="zh-CN" w:bidi="ar-SA"/>
        </w:rPr>
      </w:pPr>
      <w:r>
        <w:rPr>
          <w:rFonts w:hint="eastAsia" w:ascii="方正小标宋简体" w:hAnsi="宋体" w:eastAsia="方正小标宋简体" w:cs="Times New Roman"/>
          <w:bCs/>
          <w:kern w:val="2"/>
          <w:sz w:val="44"/>
          <w:szCs w:val="44"/>
          <w:lang w:val="en-US" w:eastAsia="zh-CN" w:bidi="ar-SA"/>
        </w:rPr>
        <w:t xml:space="preserve"> 关于保定腾堃新型建材科技有限公司资源化综合利用转化生产新型环保建材项目环境影响报告表的批复</w:t>
      </w:r>
    </w:p>
    <w:p>
      <w:pPr>
        <w:autoSpaceDE/>
        <w:autoSpaceDN/>
        <w:snapToGrid w:val="0"/>
        <w:spacing w:line="660" w:lineRule="exact"/>
        <w:jc w:val="both"/>
        <w:outlineLvl w:val="0"/>
      </w:pPr>
    </w:p>
    <w:p>
      <w:pPr>
        <w:pStyle w:val="4"/>
        <w:keepNext w:val="0"/>
        <w:keepLines w:val="0"/>
        <w:pageBreakBefore w:val="0"/>
        <w:widowControl w:val="0"/>
        <w:kinsoku/>
        <w:wordWrap/>
        <w:overflowPunct/>
        <w:topLinePunct w:val="0"/>
        <w:autoSpaceDE w:val="0"/>
        <w:autoSpaceDN w:val="0"/>
        <w:bidi w:val="0"/>
        <w:adjustRightInd/>
        <w:snapToGrid/>
        <w:spacing w:before="40" w:line="600" w:lineRule="exact"/>
        <w:ind w:right="115"/>
        <w:textAlignment w:val="auto"/>
        <w:outlineLvl w:val="9"/>
        <w:rPr>
          <w:sz w:val="32"/>
          <w:szCs w:val="32"/>
        </w:rPr>
      </w:pPr>
      <w:r>
        <w:rPr>
          <w:rFonts w:hint="eastAsia"/>
          <w:sz w:val="32"/>
          <w:szCs w:val="32"/>
          <w:lang w:val="en-US" w:eastAsia="zh-CN"/>
        </w:rPr>
        <w:t>保定腾堃新型建材科技有限公司</w:t>
      </w:r>
      <w:r>
        <w:rPr>
          <w:rFonts w:hint="eastAsia"/>
          <w:sz w:val="32"/>
          <w:szCs w:val="32"/>
          <w:lang w:val="en-US"/>
        </w:rPr>
        <w:t xml:space="preserve"> </w:t>
      </w:r>
      <w:r>
        <w:rPr>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40" w:line="600" w:lineRule="exact"/>
        <w:ind w:right="115" w:firstLine="559"/>
        <w:textAlignment w:val="auto"/>
        <w:outlineLvl w:val="9"/>
        <w:rPr>
          <w:sz w:val="32"/>
          <w:szCs w:val="32"/>
        </w:rPr>
      </w:pPr>
      <w:r>
        <w:rPr>
          <w:rFonts w:hint="eastAsia"/>
          <w:sz w:val="32"/>
          <w:szCs w:val="32"/>
          <w:lang w:eastAsia="zh-CN"/>
        </w:rPr>
        <w:t>你单位</w:t>
      </w:r>
      <w:r>
        <w:rPr>
          <w:sz w:val="32"/>
          <w:szCs w:val="32"/>
        </w:rPr>
        <w:t>所报《</w:t>
      </w:r>
      <w:r>
        <w:rPr>
          <w:rFonts w:hint="eastAsia"/>
          <w:sz w:val="32"/>
          <w:szCs w:val="32"/>
          <w:lang w:val="en-US"/>
        </w:rPr>
        <w:t>保定腾堃新型建材科技有限公司资源化综合利用转化生产新型环保建材项目环境影响报告表</w:t>
      </w:r>
      <w:r>
        <w:rPr>
          <w:sz w:val="32"/>
          <w:szCs w:val="32"/>
        </w:rPr>
        <w:t>》收悉，根据《</w:t>
      </w:r>
      <w:r>
        <w:rPr>
          <w:spacing w:val="-26"/>
          <w:sz w:val="32"/>
          <w:szCs w:val="32"/>
        </w:rPr>
        <w:t>环境影响评价文件可行性技术评估报告》</w:t>
      </w:r>
      <w:r>
        <w:rPr>
          <w:spacing w:val="-6"/>
          <w:sz w:val="32"/>
          <w:szCs w:val="32"/>
        </w:rPr>
        <w:t>环境影响评价结论</w:t>
      </w:r>
      <w:r>
        <w:rPr>
          <w:rFonts w:hint="eastAsia"/>
          <w:spacing w:val="-6"/>
          <w:sz w:val="32"/>
          <w:szCs w:val="32"/>
          <w:lang w:eastAsia="zh-CN"/>
        </w:rPr>
        <w:t>，</w:t>
      </w:r>
      <w:r>
        <w:rPr>
          <w:spacing w:val="-6"/>
          <w:sz w:val="32"/>
          <w:szCs w:val="32"/>
        </w:rPr>
        <w:t>污染防治措施可行，经研究批复如下：</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right="115" w:firstLine="640" w:firstLineChars="200"/>
        <w:jc w:val="both"/>
        <w:textAlignment w:val="auto"/>
        <w:outlineLvl w:val="9"/>
        <w:rPr>
          <w:rFonts w:hint="eastAsia"/>
          <w:sz w:val="32"/>
          <w:szCs w:val="32"/>
          <w:lang w:val="en-US"/>
        </w:rPr>
      </w:pPr>
      <w:r>
        <w:rPr>
          <w:rFonts w:hint="eastAsia"/>
          <w:sz w:val="32"/>
          <w:szCs w:val="32"/>
          <w:lang w:val="en-US" w:eastAsia="zh-CN"/>
        </w:rPr>
        <w:t>一、</w:t>
      </w:r>
      <w:r>
        <w:rPr>
          <w:rFonts w:hint="eastAsia"/>
          <w:sz w:val="32"/>
          <w:szCs w:val="32"/>
          <w:lang w:val="en-US"/>
        </w:rPr>
        <w:t>新建项目位于河北省保定市徐水区大因镇伍级村西北</w:t>
      </w:r>
      <w:r>
        <w:rPr>
          <w:rFonts w:hint="eastAsia"/>
          <w:sz w:val="32"/>
          <w:szCs w:val="32"/>
          <w:lang w:val="en-US" w:eastAsia="zh-CN"/>
        </w:rPr>
        <w:t>。项目东侧隔路为河北省保定市东方造纸有限公司，南侧为河北省保定市东方造纸有限公司，西侧为农田和河北巨汇 建筑器材租赁有限公司，北侧隔路为安大线临时拌合站。距项目最近的环境敏感点为厂址北侧 380m 处的徐水区气象局。项目占地面积30亩（20000m2），总建筑面积13400m2。其中密闭式原材料库10000m2、标准化车间2000m2、生产调度中心800m2、化验室200m2、封闭式过滤池200m2 （容积约为600m3）、封闭式净水池200m2（容积约为600m3）。项目租赁河北省保定市东方造纸有限公司的闲置土地和办公楼30 亩（合20000m2）进行建设。根据出租方已取得的土地证[徐国用(2012)第011号]，该宗土地地类（用途）为工业用地，使用权类型为出让。</w:t>
      </w:r>
      <w:r>
        <w:rPr>
          <w:rFonts w:hint="eastAsia"/>
          <w:sz w:val="32"/>
          <w:szCs w:val="32"/>
          <w:lang w:val="en-US"/>
        </w:rPr>
        <w:t>保定市徐水区发展和改革局已</w:t>
      </w:r>
      <w:r>
        <w:rPr>
          <w:rFonts w:hint="eastAsia"/>
          <w:color w:val="auto"/>
          <w:sz w:val="32"/>
          <w:szCs w:val="32"/>
          <w:lang w:val="en-US"/>
        </w:rPr>
        <w:t>于2021 年2月24日</w:t>
      </w:r>
      <w:r>
        <w:rPr>
          <w:rFonts w:hint="eastAsia"/>
          <w:sz w:val="32"/>
          <w:szCs w:val="32"/>
          <w:lang w:val="en-US"/>
        </w:rPr>
        <w:t>为该项目出具了《企业投资项目备案信息》，备案编号：徐水发改备字【2020】</w:t>
      </w:r>
      <w:r>
        <w:rPr>
          <w:rFonts w:hint="eastAsia"/>
          <w:sz w:val="32"/>
          <w:szCs w:val="32"/>
          <w:lang w:val="en-US" w:eastAsia="zh-CN"/>
        </w:rPr>
        <w:t>156</w:t>
      </w:r>
      <w:r>
        <w:rPr>
          <w:rFonts w:hint="eastAsia"/>
          <w:sz w:val="32"/>
          <w:szCs w:val="32"/>
          <w:lang w:val="en-US"/>
        </w:rPr>
        <w:t>号。</w:t>
      </w:r>
    </w:p>
    <w:p>
      <w:pPr>
        <w:pStyle w:val="4"/>
        <w:keepNext w:val="0"/>
        <w:keepLines w:val="0"/>
        <w:pageBreakBefore w:val="0"/>
        <w:widowControl w:val="0"/>
        <w:kinsoku/>
        <w:wordWrap/>
        <w:overflowPunct/>
        <w:topLinePunct w:val="0"/>
        <w:autoSpaceDE w:val="0"/>
        <w:autoSpaceDN w:val="0"/>
        <w:bidi w:val="0"/>
        <w:adjustRightInd/>
        <w:snapToGrid/>
        <w:spacing w:before="42" w:line="600" w:lineRule="exact"/>
        <w:ind w:left="0" w:right="115" w:firstLine="640" w:firstLineChars="200"/>
        <w:jc w:val="both"/>
        <w:textAlignment w:val="auto"/>
        <w:outlineLvl w:val="9"/>
        <w:rPr>
          <w:color w:val="auto"/>
          <w:sz w:val="32"/>
          <w:szCs w:val="32"/>
          <w:lang w:val="en-US"/>
        </w:rPr>
      </w:pPr>
      <w:r>
        <w:rPr>
          <w:rFonts w:hint="eastAsia"/>
          <w:sz w:val="32"/>
          <w:szCs w:val="32"/>
          <w:lang w:val="en-US"/>
        </w:rPr>
        <w:t>二、项目总投资8674万元</w:t>
      </w:r>
      <w:r>
        <w:rPr>
          <w:rFonts w:hint="eastAsia"/>
          <w:sz w:val="32"/>
          <w:szCs w:val="32"/>
          <w:lang w:val="en-US" w:eastAsia="zh-CN"/>
        </w:rPr>
        <w:t>，</w:t>
      </w:r>
      <w:r>
        <w:rPr>
          <w:rFonts w:hint="eastAsia"/>
          <w:sz w:val="32"/>
          <w:szCs w:val="32"/>
          <w:lang w:val="en-US"/>
        </w:rPr>
        <w:t>其中环保投资108万元</w:t>
      </w:r>
      <w:r>
        <w:rPr>
          <w:rFonts w:hint="eastAsia"/>
          <w:sz w:val="32"/>
          <w:szCs w:val="32"/>
          <w:lang w:val="en-US" w:eastAsia="zh-CN"/>
        </w:rPr>
        <w:t>，</w:t>
      </w:r>
      <w:r>
        <w:rPr>
          <w:rFonts w:hint="eastAsia"/>
          <w:sz w:val="32"/>
          <w:szCs w:val="32"/>
          <w:lang w:val="en-US"/>
        </w:rPr>
        <w:t>占总投资的1.25%</w:t>
      </w:r>
      <w:r>
        <w:rPr>
          <w:rFonts w:hint="eastAsia"/>
          <w:sz w:val="32"/>
          <w:szCs w:val="32"/>
          <w:lang w:val="en-US" w:eastAsia="zh-CN"/>
        </w:rPr>
        <w:t>。</w:t>
      </w:r>
      <w:r>
        <w:rPr>
          <w:rFonts w:hint="eastAsia"/>
          <w:color w:val="auto"/>
          <w:sz w:val="32"/>
          <w:szCs w:val="32"/>
          <w:lang w:val="en-US"/>
        </w:rPr>
        <w:t>主要生产设备：3条240型商品混凝土搅拌生产线以及污水净化设备、环保设备、罐车、装载机</w:t>
      </w:r>
      <w:r>
        <w:rPr>
          <w:rFonts w:hint="eastAsia"/>
          <w:color w:val="auto"/>
          <w:sz w:val="32"/>
          <w:szCs w:val="32"/>
          <w:lang w:val="en-US" w:eastAsia="zh-CN"/>
        </w:rPr>
        <w:t>、</w:t>
      </w:r>
      <w:r>
        <w:rPr>
          <w:rFonts w:hint="eastAsia"/>
          <w:color w:val="auto"/>
          <w:sz w:val="32"/>
          <w:szCs w:val="32"/>
          <w:lang w:val="en-US"/>
        </w:rPr>
        <w:t>泵车、化验设备等主要及附属设备共70台（套）</w:t>
      </w:r>
      <w:r>
        <w:rPr>
          <w:rFonts w:hint="eastAsia"/>
          <w:color w:val="auto"/>
          <w:sz w:val="32"/>
          <w:szCs w:val="32"/>
          <w:lang w:val="en-US" w:eastAsia="zh-CN"/>
        </w:rPr>
        <w:t>。</w:t>
      </w:r>
      <w:r>
        <w:rPr>
          <w:rFonts w:hint="eastAsia"/>
          <w:color w:val="auto"/>
          <w:sz w:val="32"/>
          <w:szCs w:val="32"/>
          <w:lang w:val="en-US"/>
        </w:rPr>
        <w:t>主要原辅材料：水泥、矿粉、粉煤灰、砂子、石子等</w:t>
      </w:r>
      <w:r>
        <w:rPr>
          <w:rFonts w:hint="eastAsia"/>
          <w:color w:val="auto"/>
          <w:sz w:val="32"/>
          <w:szCs w:val="32"/>
          <w:lang w:val="en-US" w:eastAsia="zh-CN"/>
        </w:rPr>
        <w:t>。生产规模：</w:t>
      </w:r>
      <w:r>
        <w:rPr>
          <w:rFonts w:hint="eastAsia"/>
          <w:color w:val="auto"/>
          <w:sz w:val="32"/>
          <w:szCs w:val="32"/>
          <w:lang w:val="en-US"/>
        </w:rPr>
        <w:t>年产150万立方米环保型混凝土。</w:t>
      </w:r>
      <w:r>
        <w:rPr>
          <w:rFonts w:hint="eastAsia"/>
          <w:color w:val="auto"/>
          <w:sz w:val="32"/>
          <w:szCs w:val="32"/>
          <w:lang w:val="en-US" w:eastAsia="zh-CN"/>
        </w:rPr>
        <w:t>供热：</w:t>
      </w:r>
      <w:r>
        <w:rPr>
          <w:rFonts w:hint="eastAsia"/>
          <w:sz w:val="32"/>
          <w:szCs w:val="32"/>
          <w:lang w:val="en-US"/>
        </w:rPr>
        <w:t>生产过程全部采用电能，冬季生产用热水外购，职工冬季取暖采用空调、电暖气</w:t>
      </w:r>
      <w:r>
        <w:rPr>
          <w:rFonts w:hint="eastAsia"/>
          <w:sz w:val="32"/>
          <w:szCs w:val="32"/>
          <w:lang w:val="en-US" w:eastAsia="zh-CN"/>
        </w:rPr>
        <w:t>；</w:t>
      </w:r>
      <w:r>
        <w:rPr>
          <w:rFonts w:hint="eastAsia"/>
          <w:sz w:val="32"/>
          <w:szCs w:val="32"/>
          <w:lang w:val="en-US"/>
        </w:rPr>
        <w:t>厂区供电引自附近电网</w:t>
      </w:r>
      <w:r>
        <w:rPr>
          <w:rFonts w:hint="eastAsia"/>
          <w:sz w:val="32"/>
          <w:szCs w:val="32"/>
          <w:lang w:val="en-US" w:eastAsia="zh-CN"/>
        </w:rPr>
        <w:t>，年用电量约为151.27万</w:t>
      </w:r>
      <w:r>
        <w:rPr>
          <w:rFonts w:hint="eastAsia" w:ascii="仿宋" w:hAnsi="仿宋" w:eastAsia="仿宋" w:cs="仿宋"/>
          <w:color w:val="auto"/>
          <w:sz w:val="32"/>
          <w:szCs w:val="32"/>
          <w:lang w:val="en-US"/>
        </w:rPr>
        <w:t>kWh</w:t>
      </w:r>
      <w:r>
        <w:rPr>
          <w:rFonts w:hint="eastAsia" w:cs="仿宋"/>
          <w:sz w:val="32"/>
          <w:szCs w:val="32"/>
          <w:lang w:val="en-US" w:eastAsia="zh-CN"/>
        </w:rPr>
        <w:t>；</w:t>
      </w:r>
      <w:r>
        <w:rPr>
          <w:rFonts w:hint="eastAsia"/>
          <w:sz w:val="32"/>
          <w:szCs w:val="32"/>
          <w:lang w:val="en-US" w:eastAsia="zh-CN"/>
        </w:rPr>
        <w:t>项目用水由出租方（河北省保定市东方造纸有限公司）自备井提供，</w:t>
      </w:r>
      <w:r>
        <w:rPr>
          <w:rFonts w:hint="eastAsia"/>
          <w:color w:val="auto"/>
          <w:sz w:val="32"/>
          <w:szCs w:val="32"/>
          <w:lang w:val="en-US"/>
        </w:rPr>
        <w:t>可以满足项目生产及生活需求。</w:t>
      </w:r>
    </w:p>
    <w:p>
      <w:pPr>
        <w:pStyle w:val="4"/>
        <w:keepNext w:val="0"/>
        <w:keepLines w:val="0"/>
        <w:pageBreakBefore w:val="0"/>
        <w:widowControl w:val="0"/>
        <w:kinsoku/>
        <w:wordWrap/>
        <w:overflowPunct/>
        <w:topLinePunct w:val="0"/>
        <w:autoSpaceDE w:val="0"/>
        <w:autoSpaceDN w:val="0"/>
        <w:bidi w:val="0"/>
        <w:adjustRightInd/>
        <w:snapToGrid/>
        <w:spacing w:before="14" w:line="600" w:lineRule="exact"/>
        <w:ind w:right="257" w:firstLine="559"/>
        <w:jc w:val="both"/>
        <w:textAlignment w:val="auto"/>
        <w:outlineLvl w:val="9"/>
        <w:rPr>
          <w:color w:val="000000" w:themeColor="text1"/>
          <w:sz w:val="32"/>
          <w:szCs w:val="32"/>
          <w14:textFill>
            <w14:solidFill>
              <w14:schemeClr w14:val="tx1"/>
            </w14:solidFill>
          </w14:textFill>
        </w:rPr>
      </w:pPr>
      <w:r>
        <w:rPr>
          <w:color w:val="000000" w:themeColor="text1"/>
          <w:spacing w:val="-11"/>
          <w:sz w:val="32"/>
          <w:szCs w:val="32"/>
          <w14:textFill>
            <w14:solidFill>
              <w14:schemeClr w14:val="tx1"/>
            </w14:solidFill>
          </w14:textFill>
        </w:rPr>
        <w:t>三、在落实报告表提出的各项污染防治和环境风险防范措施的前提下，项目建设从环境保护角度可行。同意本报告表作为项目建设和</w:t>
      </w:r>
      <w:r>
        <w:rPr>
          <w:color w:val="000000" w:themeColor="text1"/>
          <w:spacing w:val="-5"/>
          <w:sz w:val="32"/>
          <w:szCs w:val="32"/>
          <w14:textFill>
            <w14:solidFill>
              <w14:schemeClr w14:val="tx1"/>
            </w14:solidFill>
          </w14:textFill>
        </w:rPr>
        <w:t>运营中环境管理的依据。</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jc w:val="both"/>
        <w:textAlignment w:val="auto"/>
        <w:outlineLvl w:val="9"/>
        <w:rPr>
          <w:color w:val="000000" w:themeColor="text1"/>
          <w:sz w:val="32"/>
          <w:szCs w:val="32"/>
          <w14:textFill>
            <w14:solidFill>
              <w14:schemeClr w14:val="tx1"/>
            </w14:solidFill>
          </w14:textFill>
        </w:rPr>
      </w:pPr>
      <w:r>
        <w:rPr>
          <w:color w:val="000000" w:themeColor="text1"/>
          <w:spacing w:val="-11"/>
          <w:sz w:val="32"/>
          <w:szCs w:val="32"/>
          <w14:textFill>
            <w14:solidFill>
              <w14:schemeClr w14:val="tx1"/>
            </w14:solidFill>
          </w14:textFill>
        </w:rPr>
        <w:t>四、你单位在建设和日常管理过程中，要严格落实该报告表中的建设内容、各项污染防治、环境风险防范措施及要求，并重点做好以</w:t>
      </w:r>
      <w:r>
        <w:rPr>
          <w:color w:val="000000" w:themeColor="text1"/>
          <w:spacing w:val="-5"/>
          <w:sz w:val="32"/>
          <w:szCs w:val="32"/>
          <w14:textFill>
            <w14:solidFill>
              <w14:schemeClr w14:val="tx1"/>
            </w14:solidFill>
          </w14:textFill>
        </w:rPr>
        <w:t>下工作：</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1</w:t>
      </w:r>
      <w:r>
        <w:rPr>
          <w:color w:val="000000" w:themeColor="text1"/>
          <w:spacing w:val="-12"/>
          <w:sz w:val="32"/>
          <w:szCs w:val="32"/>
          <w14:textFill>
            <w14:solidFill>
              <w14:schemeClr w14:val="tx1"/>
            </w14:solidFill>
          </w14:textFill>
        </w:rPr>
        <w:t>、建立日常环境管理制度、组织机构和管理台帐,项目投入运行</w:t>
      </w:r>
      <w:r>
        <w:rPr>
          <w:color w:val="000000" w:themeColor="text1"/>
          <w:spacing w:val="-5"/>
          <w:sz w:val="32"/>
          <w:szCs w:val="32"/>
          <w14:textFill>
            <w14:solidFill>
              <w14:schemeClr w14:val="tx1"/>
            </w14:solidFill>
          </w14:textFill>
        </w:rPr>
        <w:t>前报</w:t>
      </w:r>
      <w:r>
        <w:rPr>
          <w:sz w:val="32"/>
          <w:szCs w:val="32"/>
        </w:rPr>
        <w:t>保定市生态环境局徐水区分局</w:t>
      </w:r>
      <w:r>
        <w:rPr>
          <w:color w:val="000000" w:themeColor="text1"/>
          <w:spacing w:val="-5"/>
          <w:sz w:val="32"/>
          <w:szCs w:val="32"/>
          <w14:textFill>
            <w14:solidFill>
              <w14:schemeClr w14:val="tx1"/>
            </w14:solidFill>
          </w14:textFill>
        </w:rPr>
        <w:t>备案。</w:t>
      </w:r>
    </w:p>
    <w:p>
      <w:pPr>
        <w:pStyle w:val="4"/>
        <w:keepNext w:val="0"/>
        <w:keepLines w:val="0"/>
        <w:pageBreakBefore w:val="0"/>
        <w:widowControl w:val="0"/>
        <w:kinsoku/>
        <w:wordWrap/>
        <w:overflowPunct/>
        <w:topLinePunct w:val="0"/>
        <w:autoSpaceDE w:val="0"/>
        <w:autoSpaceDN w:val="0"/>
        <w:bidi w:val="0"/>
        <w:adjustRightInd/>
        <w:snapToGrid/>
        <w:spacing w:before="3" w:line="600" w:lineRule="exact"/>
        <w:ind w:right="257" w:firstLine="559"/>
        <w:textAlignment w:val="auto"/>
        <w:outlineLvl w:val="9"/>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2、施工期间要严格落实环评文件提出的污染防治措施及相关规定，有效减轻施工对环境的影响。</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color w:val="000000" w:themeColor="text1"/>
          <w:spacing w:val="-12"/>
          <w:sz w:val="32"/>
          <w:szCs w:val="32"/>
          <w14:textFill>
            <w14:solidFill>
              <w14:schemeClr w14:val="tx1"/>
            </w14:solidFill>
          </w14:textFill>
        </w:rPr>
      </w:pPr>
      <w:r>
        <w:rPr>
          <w:sz w:val="32"/>
          <w:szCs w:val="32"/>
        </w:rPr>
        <w:t>3</w:t>
      </w:r>
      <w:r>
        <w:rPr>
          <w:color w:val="000000" w:themeColor="text1"/>
          <w:spacing w:val="-12"/>
          <w:sz w:val="32"/>
          <w:szCs w:val="32"/>
          <w14:textFill>
            <w14:solidFill>
              <w14:schemeClr w14:val="tx1"/>
            </w14:solidFill>
          </w14:textFill>
        </w:rPr>
        <w:t>、废气：</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rFonts w:hint="eastAsia" w:eastAsia="仿宋"/>
          <w:color w:val="000000" w:themeColor="text1"/>
          <w:spacing w:val="-12"/>
          <w:sz w:val="32"/>
          <w:szCs w:val="32"/>
          <w:lang w:val="en-US" w:eastAsia="zh-CN"/>
          <w14:textFill>
            <w14:solidFill>
              <w14:schemeClr w14:val="tx1"/>
            </w14:solidFill>
          </w14:textFill>
        </w:rPr>
      </w:pPr>
      <w:r>
        <w:rPr>
          <w:rFonts w:hint="eastAsia" w:eastAsia="仿宋"/>
          <w:color w:val="000000" w:themeColor="text1"/>
          <w:spacing w:val="-12"/>
          <w:sz w:val="32"/>
          <w:szCs w:val="32"/>
          <w:lang w:val="en-US" w:eastAsia="zh-CN"/>
          <w14:textFill>
            <w14:solidFill>
              <w14:schemeClr w14:val="tx1"/>
            </w14:solidFill>
          </w14:textFill>
        </w:rPr>
        <w:t>项目骨料（砂石料）由专业运输车辆运至密闭式原材料库，同时原材料库顶部安装抑尘水喷淋装置。</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rFonts w:hint="eastAsia"/>
          <w:color w:val="000000" w:themeColor="text1"/>
          <w:spacing w:val="-12"/>
          <w:sz w:val="32"/>
          <w:szCs w:val="32"/>
          <w:lang w:val="en-US" w:eastAsia="zh-CN"/>
          <w14:textFill>
            <w14:solidFill>
              <w14:schemeClr w14:val="tx1"/>
            </w14:solidFill>
          </w14:textFill>
        </w:rPr>
      </w:pPr>
      <w:r>
        <w:rPr>
          <w:rFonts w:hint="eastAsia" w:eastAsia="仿宋"/>
          <w:color w:val="000000" w:themeColor="text1"/>
          <w:spacing w:val="-12"/>
          <w:sz w:val="32"/>
          <w:szCs w:val="32"/>
          <w:lang w:val="en-US" w:eastAsia="zh-CN"/>
          <w14:textFill>
            <w14:solidFill>
              <w14:schemeClr w14:val="tx1"/>
            </w14:solidFill>
          </w14:textFill>
        </w:rPr>
        <w:t>项目砂子、石子等骨料计量斗在封闭式并安装有喷淋设施的料库的地下，平、斜皮带输送机采用全封闭皮带走廊，骨料输送过程中产生的颗粒物均可在平、斜皮带输送机停车过程中沉降下来，收集后回用于生产</w:t>
      </w:r>
      <w:r>
        <w:rPr>
          <w:rFonts w:hint="eastAsia"/>
          <w:color w:val="000000" w:themeColor="text1"/>
          <w:spacing w:val="-12"/>
          <w:sz w:val="32"/>
          <w:szCs w:val="32"/>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rFonts w:hint="eastAsia" w:eastAsia="仿宋"/>
          <w:color w:val="000000" w:themeColor="text1"/>
          <w:spacing w:val="-12"/>
          <w:sz w:val="32"/>
          <w:szCs w:val="32"/>
          <w:lang w:val="en-US" w:eastAsia="zh-CN"/>
          <w14:textFill>
            <w14:solidFill>
              <w14:schemeClr w14:val="tx1"/>
            </w14:solidFill>
          </w14:textFill>
        </w:rPr>
      </w:pPr>
      <w:r>
        <w:rPr>
          <w:rFonts w:hint="eastAsia" w:eastAsia="仿宋"/>
          <w:color w:val="000000" w:themeColor="text1"/>
          <w:spacing w:val="-12"/>
          <w:sz w:val="32"/>
          <w:szCs w:val="32"/>
          <w:lang w:val="en-US" w:eastAsia="zh-CN"/>
          <w14:textFill>
            <w14:solidFill>
              <w14:schemeClr w14:val="tx1"/>
            </w14:solidFill>
          </w14:textFill>
        </w:rPr>
        <w:t>项目购置3条240型商品混凝土生产线，各生产线均配置3个水泥筒仓、1个粉煤灰仓和1个矿粉仓，各生产线粉料入仓过程产生的废气经各筒仓安装的仓顶脉冲袋式除尘器处理后共用1根不低于15m高排气筒（排气筒高出本体建构筑物3m以上），</w:t>
      </w:r>
      <w:r>
        <w:rPr>
          <w:rFonts w:hint="eastAsia"/>
          <w:color w:val="000000" w:themeColor="text1"/>
          <w:spacing w:val="-12"/>
          <w:sz w:val="32"/>
          <w:szCs w:val="32"/>
          <w:lang w:val="en-US" w:eastAsia="zh-CN"/>
          <w14:textFill>
            <w14:solidFill>
              <w14:schemeClr w14:val="tx1"/>
            </w14:solidFill>
          </w14:textFill>
        </w:rPr>
        <w:t>应</w:t>
      </w:r>
      <w:r>
        <w:rPr>
          <w:rFonts w:hint="eastAsia" w:eastAsia="仿宋"/>
          <w:color w:val="000000" w:themeColor="text1"/>
          <w:spacing w:val="-12"/>
          <w:sz w:val="32"/>
          <w:szCs w:val="32"/>
          <w:lang w:val="en-US" w:eastAsia="zh-CN"/>
          <w14:textFill>
            <w14:solidFill>
              <w14:schemeClr w14:val="tx1"/>
            </w14:solidFill>
          </w14:textFill>
        </w:rPr>
        <w:t>满足《水泥工业大气污染物超低排放标准 》（DB13/2167-2020）散装水泥中转站及水泥制品生产过程排放标准。</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rFonts w:hint="eastAsia" w:eastAsia="仿宋"/>
          <w:color w:val="000000" w:themeColor="text1"/>
          <w:spacing w:val="-12"/>
          <w:sz w:val="32"/>
          <w:szCs w:val="32"/>
          <w:lang w:val="en-US" w:eastAsia="zh-CN"/>
          <w14:textFill>
            <w14:solidFill>
              <w14:schemeClr w14:val="tx1"/>
            </w14:solidFill>
          </w14:textFill>
        </w:rPr>
      </w:pPr>
      <w:r>
        <w:rPr>
          <w:rFonts w:hint="eastAsia" w:eastAsia="仿宋"/>
          <w:color w:val="000000" w:themeColor="text1"/>
          <w:spacing w:val="-12"/>
          <w:sz w:val="32"/>
          <w:szCs w:val="32"/>
          <w:lang w:val="en-US" w:eastAsia="zh-CN"/>
          <w14:textFill>
            <w14:solidFill>
              <w14:schemeClr w14:val="tx1"/>
            </w14:solidFill>
          </w14:textFill>
        </w:rPr>
        <w:t>项目搅拌过程产生的废气包含砂石料等骨料预加斗废气、粉料投料废气和物料搅拌废气。项目购置的搅拌机为密闭设备，粉料投料废气、物料搅拌废气收集至与骨料预加斗连接的脉冲布袋除尘器处理后由1根不低于15m高排气筒（排气筒高出本体建构筑物3m以上）排放。项目共建设3条生产线，每条生产线上搅拌主机各设置1根排气筒，共计3根物料搅拌过程排气筒（DA002、DA004、DA006）。</w:t>
      </w:r>
      <w:r>
        <w:rPr>
          <w:rFonts w:hint="eastAsia"/>
          <w:color w:val="000000" w:themeColor="text1"/>
          <w:spacing w:val="-12"/>
          <w:sz w:val="32"/>
          <w:szCs w:val="32"/>
          <w:lang w:val="en-US" w:eastAsia="zh-CN"/>
          <w14:textFill>
            <w14:solidFill>
              <w14:schemeClr w14:val="tx1"/>
            </w14:solidFill>
          </w14:textFill>
        </w:rPr>
        <w:t>应</w:t>
      </w:r>
      <w:r>
        <w:rPr>
          <w:rFonts w:hint="eastAsia" w:eastAsia="仿宋"/>
          <w:color w:val="000000" w:themeColor="text1"/>
          <w:spacing w:val="-12"/>
          <w:sz w:val="32"/>
          <w:szCs w:val="32"/>
          <w:lang w:val="en-US" w:eastAsia="zh-CN"/>
          <w14:textFill>
            <w14:solidFill>
              <w14:schemeClr w14:val="tx1"/>
            </w14:solidFill>
          </w14:textFill>
        </w:rPr>
        <w:t>满足《水泥工业大气污染物超低排放标准》（DB13/2167-2020）散装水泥中转站及水泥制品生产过程排放标准。</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rFonts w:hint="eastAsia" w:eastAsia="仿宋"/>
          <w:color w:val="000000" w:themeColor="text1"/>
          <w:spacing w:val="-12"/>
          <w:sz w:val="32"/>
          <w:szCs w:val="32"/>
          <w:lang w:val="en-US" w:eastAsia="zh-CN"/>
          <w14:textFill>
            <w14:solidFill>
              <w14:schemeClr w14:val="tx1"/>
            </w14:solidFill>
          </w14:textFill>
        </w:rPr>
      </w:pPr>
      <w:r>
        <w:rPr>
          <w:rFonts w:hint="eastAsia" w:eastAsia="仿宋"/>
          <w:color w:val="000000" w:themeColor="text1"/>
          <w:spacing w:val="-12"/>
          <w:sz w:val="32"/>
          <w:szCs w:val="32"/>
          <w:lang w:val="en-US" w:eastAsia="zh-CN"/>
          <w14:textFill>
            <w14:solidFill>
              <w14:schemeClr w14:val="tx1"/>
            </w14:solidFill>
          </w14:textFill>
        </w:rPr>
        <w:t>项目物料运输应采取以下措施：厂区内道路全部水泥硬化，平时注意道路维护，定期清扫路面，洒水抑尘；骨料运输车辆加盖篷布；在大门口设置洗车装置，对出入车辆进行冲洗，严禁带泥上路；汽车在厂区内行驶速度应小于10km/h；运输汽车严禁超载（或装的过满）。无组织颗粒物浓度</w:t>
      </w:r>
      <w:r>
        <w:rPr>
          <w:rFonts w:hint="eastAsia"/>
          <w:color w:val="000000" w:themeColor="text1"/>
          <w:spacing w:val="-12"/>
          <w:sz w:val="32"/>
          <w:szCs w:val="32"/>
          <w:lang w:val="en-US" w:eastAsia="zh-CN"/>
          <w14:textFill>
            <w14:solidFill>
              <w14:schemeClr w14:val="tx1"/>
            </w14:solidFill>
          </w14:textFill>
        </w:rPr>
        <w:t>值应</w:t>
      </w:r>
      <w:r>
        <w:rPr>
          <w:rFonts w:hint="eastAsia" w:eastAsia="仿宋"/>
          <w:color w:val="000000" w:themeColor="text1"/>
          <w:spacing w:val="-12"/>
          <w:sz w:val="32"/>
          <w:szCs w:val="32"/>
          <w:lang w:val="en-US" w:eastAsia="zh-CN"/>
          <w14:textFill>
            <w14:solidFill>
              <w14:schemeClr w14:val="tx1"/>
            </w14:solidFill>
          </w14:textFill>
        </w:rPr>
        <w:t>满足河北省地方标准《水泥工业大气污染物超低排放标准》 （DB13/2167-2020）无组织排放限值标准</w:t>
      </w:r>
      <w:r>
        <w:rPr>
          <w:rFonts w:hint="eastAsia"/>
          <w:color w:val="000000" w:themeColor="text1"/>
          <w:spacing w:val="-12"/>
          <w:sz w:val="32"/>
          <w:szCs w:val="32"/>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spacing w:before="5" w:line="600" w:lineRule="exact"/>
        <w:ind w:right="257" w:firstLine="559"/>
        <w:textAlignment w:val="auto"/>
        <w:outlineLvl w:val="9"/>
        <w:rPr>
          <w:rFonts w:hint="eastAsia" w:eastAsia="仿宋"/>
          <w:color w:val="000000" w:themeColor="text1"/>
          <w:spacing w:val="-12"/>
          <w:sz w:val="32"/>
          <w:szCs w:val="32"/>
          <w:lang w:val="en-US" w:eastAsia="zh-CN"/>
          <w14:textFill>
            <w14:solidFill>
              <w14:schemeClr w14:val="tx1"/>
            </w14:solidFill>
          </w14:textFill>
        </w:rPr>
      </w:pPr>
      <w:r>
        <w:rPr>
          <w:color w:val="000000" w:themeColor="text1"/>
          <w:spacing w:val="-12"/>
          <w:sz w:val="32"/>
          <w:szCs w:val="32"/>
          <w14:textFill>
            <w14:solidFill>
              <w14:schemeClr w14:val="tx1"/>
            </w14:solidFill>
          </w14:textFill>
        </w:rPr>
        <w:t>4、废水：</w:t>
      </w:r>
      <w:r>
        <w:rPr>
          <w:rFonts w:hint="eastAsia"/>
          <w:color w:val="000000" w:themeColor="text1"/>
          <w:spacing w:val="-12"/>
          <w:sz w:val="32"/>
          <w:szCs w:val="32"/>
          <w14:textFill>
            <w14:solidFill>
              <w14:schemeClr w14:val="tx1"/>
            </w14:solidFill>
          </w14:textFill>
        </w:rPr>
        <w:t>项目搅拌机、罐车冲洗废水经砂石分离机分离后排入封闭式过滤池（容积约为600m3）沉淀，沉淀后回用于混凝土搅拌过程；车辆轮胎冲洗废水直接排入洗车机下方的沉淀池，沉淀处理后的水回用于车辆轮胎冲洗；职工生活盥洗废水全部排入厂区防渗化粪池，化粪池废液定期清掏外运沤肥</w:t>
      </w:r>
      <w:r>
        <w:rPr>
          <w:rFonts w:hint="eastAsia"/>
          <w:color w:val="000000" w:themeColor="text1"/>
          <w:spacing w:val="-12"/>
          <w:sz w:val="32"/>
          <w:szCs w:val="32"/>
          <w:lang w:eastAsia="zh-CN"/>
          <w14:textFill>
            <w14:solidFill>
              <w14:schemeClr w14:val="tx1"/>
            </w14:solidFill>
          </w14:textFill>
        </w:rPr>
        <w:t>。</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5" w:line="600" w:lineRule="exact"/>
        <w:ind w:right="257" w:firstLine="559"/>
        <w:textAlignment w:val="auto"/>
        <w:outlineLvl w:val="9"/>
        <w:rPr>
          <w:rFonts w:hint="eastAsia"/>
          <w:color w:val="000000" w:themeColor="text1"/>
          <w:spacing w:val="-12"/>
          <w:sz w:val="32"/>
          <w:szCs w:val="32"/>
          <w:lang w:val="en-US"/>
          <w14:textFill>
            <w14:solidFill>
              <w14:schemeClr w14:val="tx1"/>
            </w14:solidFill>
          </w14:textFill>
        </w:rPr>
      </w:pPr>
      <w:r>
        <w:rPr>
          <w:rFonts w:hint="eastAsia"/>
          <w:color w:val="000000" w:themeColor="text1"/>
          <w:spacing w:val="-12"/>
          <w:sz w:val="32"/>
          <w:szCs w:val="32"/>
          <w:lang w:val="en-US"/>
          <w14:textFill>
            <w14:solidFill>
              <w14:schemeClr w14:val="tx1"/>
            </w14:solidFill>
          </w14:textFill>
        </w:rPr>
        <w:t>噪声：项目营运期噪声主要为搅拌主机、装载机、风机、运输车辆等设备运行时产生的噪声。</w:t>
      </w:r>
      <w:r>
        <w:rPr>
          <w:rFonts w:hint="eastAsia"/>
          <w:color w:val="000000" w:themeColor="text1"/>
          <w:spacing w:val="-12"/>
          <w:sz w:val="32"/>
          <w:szCs w:val="32"/>
          <w:lang w:val="en-US" w:eastAsia="zh-CN"/>
          <w14:textFill>
            <w14:solidFill>
              <w14:schemeClr w14:val="tx1"/>
            </w14:solidFill>
          </w14:textFill>
        </w:rPr>
        <w:t>采用</w:t>
      </w:r>
      <w:r>
        <w:rPr>
          <w:rFonts w:hint="eastAsia"/>
          <w:color w:val="000000" w:themeColor="text1"/>
          <w:spacing w:val="-12"/>
          <w:sz w:val="32"/>
          <w:szCs w:val="32"/>
          <w:lang w:val="en-US"/>
          <w14:textFill>
            <w14:solidFill>
              <w14:schemeClr w14:val="tx1"/>
            </w14:solidFill>
          </w14:textFill>
        </w:rPr>
        <w:t>低噪声设备，采取基础减振、厂房隔声、装载机和运输车辆装卸物料时严格操作并减速慢行等降噪措施。厂界噪声排放</w:t>
      </w:r>
      <w:r>
        <w:rPr>
          <w:rFonts w:hint="eastAsia"/>
          <w:color w:val="000000" w:themeColor="text1"/>
          <w:spacing w:val="-12"/>
          <w:sz w:val="32"/>
          <w:szCs w:val="32"/>
          <w:lang w:val="en-US" w:eastAsia="zh-CN"/>
          <w14:textFill>
            <w14:solidFill>
              <w14:schemeClr w14:val="tx1"/>
            </w14:solidFill>
          </w14:textFill>
        </w:rPr>
        <w:t>应</w:t>
      </w:r>
      <w:r>
        <w:rPr>
          <w:rFonts w:hint="eastAsia"/>
          <w:color w:val="000000" w:themeColor="text1"/>
          <w:spacing w:val="-12"/>
          <w:sz w:val="32"/>
          <w:szCs w:val="32"/>
          <w:lang w:val="en-US"/>
          <w14:textFill>
            <w14:solidFill>
              <w14:schemeClr w14:val="tx1"/>
            </w14:solidFill>
          </w14:textFill>
        </w:rPr>
        <w:t>符合《工业企业厂界环境噪声排放标准》（GB12348-2008）3 类标准要求</w:t>
      </w:r>
      <w:r>
        <w:rPr>
          <w:rFonts w:hint="eastAsia"/>
          <w:color w:val="000000" w:themeColor="text1"/>
          <w:spacing w:val="-12"/>
          <w:sz w:val="32"/>
          <w:szCs w:val="32"/>
          <w:lang w:val="en-US" w:eastAsia="zh-CN"/>
          <w14:textFill>
            <w14:solidFill>
              <w14:schemeClr w14:val="tx1"/>
            </w14:solidFill>
          </w14:textFill>
        </w:rPr>
        <w:t>。</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5" w:line="600" w:lineRule="exact"/>
        <w:ind w:right="257" w:firstLine="559"/>
        <w:textAlignment w:val="auto"/>
        <w:outlineLvl w:val="9"/>
        <w:rPr>
          <w:rFonts w:hint="eastAsia"/>
          <w:color w:val="000000" w:themeColor="text1"/>
          <w:spacing w:val="-12"/>
          <w:sz w:val="32"/>
          <w:szCs w:val="32"/>
          <w:lang w:val="en-US"/>
          <w14:textFill>
            <w14:solidFill>
              <w14:schemeClr w14:val="tx1"/>
            </w14:solidFill>
          </w14:textFill>
        </w:rPr>
      </w:pPr>
      <w:r>
        <w:rPr>
          <w:rFonts w:hint="eastAsia"/>
          <w:color w:val="000000" w:themeColor="text1"/>
          <w:spacing w:val="-12"/>
          <w:sz w:val="32"/>
          <w:szCs w:val="32"/>
          <w:lang w:val="en-US"/>
          <w14:textFill>
            <w14:solidFill>
              <w14:schemeClr w14:val="tx1"/>
            </w14:solidFill>
          </w14:textFill>
        </w:rPr>
        <w:t>固废：项目营运期产生的固体废物主要为除尘器收集的除尘灰、过滤池和洗车机下方的沉淀池产生的底泥、砂石分离器产生的砂石、实验室产生的废样品以及职工日常生活产生的生活垃圾。除尘灰、砂石均属于一般工业固体废物，收集后回用于生产；底泥属于一般工业固体废物，定期清掏外运；废样品属于一般工业固体废物，作为建筑材料外售； 职工生活收集后集中清运至环卫部门指定地点妥善处置。</w:t>
      </w:r>
    </w:p>
    <w:p>
      <w:pPr>
        <w:pStyle w:val="4"/>
        <w:keepNext w:val="0"/>
        <w:keepLines w:val="0"/>
        <w:pageBreakBefore w:val="0"/>
        <w:widowControl w:val="0"/>
        <w:kinsoku/>
        <w:wordWrap/>
        <w:overflowPunct/>
        <w:topLinePunct w:val="0"/>
        <w:autoSpaceDE w:val="0"/>
        <w:autoSpaceDN w:val="0"/>
        <w:bidi w:val="0"/>
        <w:adjustRightInd/>
        <w:snapToGrid/>
        <w:spacing w:line="600" w:lineRule="exact"/>
        <w:ind w:right="163" w:firstLine="559"/>
        <w:textAlignment w:val="auto"/>
        <w:outlineLvl w:val="9"/>
        <w:rPr>
          <w:sz w:val="32"/>
          <w:szCs w:val="32"/>
        </w:rPr>
      </w:pPr>
      <w:r>
        <w:rPr>
          <w:sz w:val="32"/>
          <w:szCs w:val="32"/>
        </w:rPr>
        <w:t>五、项目卫生防护距离范围内，严禁规划建设居民住宅、学校、医院等环境敏感建筑。</w:t>
      </w:r>
    </w:p>
    <w:p>
      <w:pPr>
        <w:pStyle w:val="4"/>
        <w:keepNext w:val="0"/>
        <w:keepLines w:val="0"/>
        <w:pageBreakBefore w:val="0"/>
        <w:widowControl w:val="0"/>
        <w:kinsoku/>
        <w:wordWrap/>
        <w:overflowPunct/>
        <w:topLinePunct w:val="0"/>
        <w:autoSpaceDE w:val="0"/>
        <w:autoSpaceDN w:val="0"/>
        <w:bidi w:val="0"/>
        <w:adjustRightInd/>
        <w:snapToGrid/>
        <w:spacing w:line="600" w:lineRule="exact"/>
        <w:ind w:right="163" w:firstLine="559"/>
        <w:textAlignment w:val="auto"/>
        <w:outlineLvl w:val="9"/>
        <w:rPr>
          <w:sz w:val="32"/>
          <w:szCs w:val="32"/>
        </w:rPr>
      </w:pPr>
      <w:r>
        <w:rPr>
          <w:sz w:val="32"/>
          <w:szCs w:val="32"/>
        </w:rPr>
        <w:t>六、污染物排放总量控制结论</w:t>
      </w:r>
    </w:p>
    <w:p>
      <w:pPr>
        <w:pStyle w:val="4"/>
        <w:keepNext w:val="0"/>
        <w:keepLines w:val="0"/>
        <w:pageBreakBefore w:val="0"/>
        <w:widowControl w:val="0"/>
        <w:kinsoku/>
        <w:wordWrap/>
        <w:overflowPunct/>
        <w:topLinePunct w:val="0"/>
        <w:autoSpaceDE w:val="0"/>
        <w:autoSpaceDN w:val="0"/>
        <w:bidi w:val="0"/>
        <w:adjustRightInd/>
        <w:snapToGrid/>
        <w:spacing w:line="600" w:lineRule="exact"/>
        <w:ind w:right="163" w:firstLine="559"/>
        <w:textAlignment w:val="auto"/>
        <w:outlineLvl w:val="9"/>
        <w:rPr>
          <w:rFonts w:hint="eastAsia"/>
          <w:sz w:val="32"/>
          <w:szCs w:val="32"/>
          <w:lang w:val="en-US"/>
        </w:rPr>
      </w:pPr>
      <w:r>
        <w:rPr>
          <w:rFonts w:hint="eastAsia"/>
          <w:sz w:val="32"/>
          <w:szCs w:val="32"/>
          <w:lang w:val="en-US"/>
        </w:rPr>
        <w:t>项目污染物排放总量控制指标为：COD0t/a、氨氮 0t/a、总磷 0t/a、总氮 0t/a、SO20t/a、 NOx0t/a、颗粒物 1.212t/a、VOCs0t/a。</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right="163" w:firstLine="559"/>
        <w:textAlignment w:val="auto"/>
        <w:outlineLvl w:val="9"/>
        <w:rPr>
          <w:sz w:val="32"/>
          <w:szCs w:val="32"/>
        </w:rPr>
      </w:pPr>
      <w:r>
        <w:rPr>
          <w:sz w:val="32"/>
          <w:szCs w:val="32"/>
        </w:rPr>
        <w:t>项目建成后应先行按照排污许可管理要求办理排污许可证，并按规定程序实施竣工环境保护验收。</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right="163" w:firstLine="559"/>
        <w:textAlignment w:val="auto"/>
        <w:outlineLvl w:val="9"/>
        <w:rPr>
          <w:sz w:val="32"/>
          <w:szCs w:val="32"/>
        </w:rPr>
      </w:pPr>
      <w:r>
        <w:rPr>
          <w:sz w:val="32"/>
          <w:szCs w:val="32"/>
        </w:rPr>
        <w:t>请保定市生态环境局徐水区分局负责项目的日常监督</w:t>
      </w:r>
      <w:r>
        <w:rPr>
          <w:rFonts w:hint="eastAsia"/>
          <w:sz w:val="32"/>
          <w:szCs w:val="32"/>
        </w:rPr>
        <w:t>管理。</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right="163" w:firstLine="559"/>
        <w:textAlignment w:val="auto"/>
        <w:outlineLvl w:val="9"/>
        <w:rPr>
          <w:sz w:val="32"/>
          <w:szCs w:val="32"/>
        </w:rPr>
      </w:pPr>
      <w:r>
        <w:rPr>
          <w:sz w:val="32"/>
          <w:szCs w:val="32"/>
        </w:rPr>
        <w:t>你单位应在收到本批复起10个工作日内，将环境影响报告</w:t>
      </w:r>
      <w:r>
        <w:rPr>
          <w:spacing w:val="-8"/>
          <w:sz w:val="32"/>
          <w:szCs w:val="32"/>
        </w:rPr>
        <w:t>表及批复送保定市生态环境局徐水区分局，并按规定接受各级生态</w:t>
      </w:r>
      <w:r>
        <w:rPr>
          <w:rFonts w:hint="eastAsia"/>
          <w:spacing w:val="-8"/>
          <w:sz w:val="32"/>
          <w:szCs w:val="32"/>
        </w:rPr>
        <w:t>环</w:t>
      </w:r>
      <w:r>
        <w:rPr>
          <w:spacing w:val="-3"/>
          <w:sz w:val="32"/>
          <w:szCs w:val="32"/>
        </w:rPr>
        <w:t>境部门的监督检查。</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sz w:val="32"/>
          <w:szCs w:val="32"/>
          <w:lang w:val="en-US" w:eastAsia="zh-CN"/>
        </w:rPr>
      </w:pPr>
      <w:r>
        <w:rPr>
          <w:rFonts w:hint="eastAsia"/>
          <w:sz w:val="32"/>
          <w:szCs w:val="32"/>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sz w:val="32"/>
          <w:szCs w:val="32"/>
          <w:lang w:val="en-US" w:eastAsia="zh-CN"/>
        </w:rPr>
      </w:pPr>
      <w:r>
        <w:rPr>
          <w:rFonts w:hint="eastAsia"/>
          <w:sz w:val="32"/>
          <w:szCs w:val="32"/>
          <w:lang w:val="en-US" w:eastAsia="zh-CN"/>
        </w:rPr>
        <w:t>保定市徐水区行政审批局</w:t>
      </w:r>
    </w:p>
    <w:p>
      <w:pPr>
        <w:pStyle w:val="4"/>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sz w:val="32"/>
          <w:szCs w:val="32"/>
          <w:lang w:val="en-US" w:eastAsia="zh-CN"/>
        </w:rPr>
      </w:pPr>
      <w:r>
        <w:rPr>
          <w:rFonts w:hint="eastAsia"/>
          <w:sz w:val="32"/>
          <w:szCs w:val="32"/>
          <w:lang w:val="en-US" w:eastAsia="zh-CN"/>
        </w:rPr>
        <w:t>2021年3月31日</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textAlignment w:val="auto"/>
        <w:rPr>
          <w:rFonts w:hint="eastAsia"/>
          <w:sz w:val="32"/>
          <w:szCs w:val="32"/>
          <w:lang w:val="en-US" w:eastAsia="zh-CN"/>
        </w:rPr>
      </w:pPr>
    </w:p>
    <w:p>
      <w:pPr>
        <w:pStyle w:val="5"/>
        <w:widowControl w:val="0"/>
        <w:numPr>
          <w:ilvl w:val="0"/>
          <w:numId w:val="0"/>
        </w:numPr>
        <w:autoSpaceDE w:val="0"/>
        <w:autoSpaceDN w:val="0"/>
        <w:rPr>
          <w:rFonts w:hint="eastAsia"/>
          <w:sz w:val="32"/>
          <w:szCs w:val="32"/>
          <w:lang w:val="en-US" w:eastAsia="zh-CN"/>
        </w:rPr>
      </w:pPr>
    </w:p>
    <w:p>
      <w:pPr>
        <w:pStyle w:val="5"/>
        <w:widowControl w:val="0"/>
        <w:numPr>
          <w:ilvl w:val="0"/>
          <w:numId w:val="0"/>
        </w:numPr>
        <w:autoSpaceDE w:val="0"/>
        <w:autoSpaceDN w:val="0"/>
        <w:rPr>
          <w:rFonts w:hint="eastAsia"/>
          <w:sz w:val="32"/>
          <w:szCs w:val="32"/>
          <w:lang w:val="en-US" w:eastAsia="zh-CN"/>
        </w:rPr>
      </w:pPr>
    </w:p>
    <w:p>
      <w:pPr>
        <w:pStyle w:val="5"/>
        <w:widowControl w:val="0"/>
        <w:numPr>
          <w:ilvl w:val="0"/>
          <w:numId w:val="0"/>
        </w:numPr>
        <w:autoSpaceDE w:val="0"/>
        <w:autoSpaceDN w:val="0"/>
        <w:rPr>
          <w:rFonts w:hint="eastAsia"/>
          <w:sz w:val="32"/>
          <w:szCs w:val="32"/>
          <w:lang w:val="en-US" w:eastAsia="zh-CN"/>
        </w:rPr>
      </w:pPr>
    </w:p>
    <w:p>
      <w:pPr>
        <w:tabs>
          <w:tab w:val="left" w:pos="4739"/>
        </w:tabs>
        <w:spacing w:before="14"/>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sz w:val="21"/>
        </w:rPr>
      </w:pPr>
    </w:p>
    <w:p>
      <w:pPr>
        <w:pStyle w:val="2"/>
        <w:rPr>
          <w:sz w:val="21"/>
        </w:rPr>
      </w:pPr>
    </w:p>
    <w:p>
      <w:pPr>
        <w:pStyle w:val="3"/>
        <w:rPr>
          <w:sz w:val="21"/>
        </w:rPr>
      </w:pPr>
    </w:p>
    <w:p>
      <w:pPr>
        <w:pStyle w:val="3"/>
        <w:rPr>
          <w:sz w:val="21"/>
        </w:rPr>
      </w:pPr>
    </w:p>
    <w:p>
      <w:pPr>
        <w:pStyle w:val="3"/>
        <w:rPr>
          <w:sz w:val="21"/>
        </w:rPr>
      </w:pPr>
      <w:bookmarkStart w:id="1" w:name="_GoBack"/>
      <w:bookmarkEnd w:id="1"/>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rFonts w:hint="eastAsia"/>
          <w:spacing w:val="-2"/>
          <w:sz w:val="32"/>
          <w:szCs w:val="32"/>
          <w:lang w:val="en-US"/>
        </w:rPr>
        <w:sectPr>
          <w:footerReference r:id="rId3" w:type="default"/>
          <w:type w:val="continuous"/>
          <w:pgSz w:w="11910" w:h="16840"/>
          <w:pgMar w:top="1580" w:right="1540" w:bottom="280" w:left="1680" w:header="1020" w:footer="1134" w:gutter="0"/>
          <w:cols w:space="720" w:num="1"/>
        </w:sectPr>
      </w:pPr>
      <w:r>
        <w:rPr>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sz w:val="21"/>
        </w:rPr>
        <w:t>抄送：保定市生态环境局徐水区分局</w:t>
      </w:r>
      <w:r>
        <w:rPr>
          <w:sz w:val="21"/>
        </w:rPr>
        <w:tab/>
      </w:r>
      <w:r>
        <w:rPr>
          <w:rFonts w:hint="eastAsia"/>
          <w:sz w:val="21"/>
          <w:lang w:val="en-US" w:eastAsia="zh-CN"/>
        </w:rPr>
        <w:t xml:space="preserve">  保定腾堃新型建材科技有限公司</w:t>
      </w:r>
    </w:p>
    <w:p>
      <w:pPr>
        <w:tabs>
          <w:tab w:val="left" w:pos="4739"/>
        </w:tabs>
        <w:spacing w:before="14"/>
        <w:rPr>
          <w:sz w:val="21"/>
        </w:rPr>
      </w:pPr>
    </w:p>
    <w:sectPr>
      <w:pgSz w:w="11910" w:h="16840"/>
      <w:pgMar w:top="142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63F0F"/>
    <w:multiLevelType w:val="singleLevel"/>
    <w:tmpl w:val="0C363F0F"/>
    <w:lvl w:ilvl="0" w:tentative="0">
      <w:start w:val="5"/>
      <w:numFmt w:val="decimal"/>
      <w:suff w:val="nothing"/>
      <w:lvlText w:val="%1、"/>
      <w:lvlJc w:val="left"/>
    </w:lvl>
  </w:abstractNum>
  <w:abstractNum w:abstractNumId="1">
    <w:nsid w:val="54F24B03"/>
    <w:multiLevelType w:val="singleLevel"/>
    <w:tmpl w:val="54F24B03"/>
    <w:lvl w:ilvl="0" w:tentative="0">
      <w:start w:val="7"/>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4F65EE5"/>
    <w:rsid w:val="05631D9D"/>
    <w:rsid w:val="05835C58"/>
    <w:rsid w:val="05E62F43"/>
    <w:rsid w:val="082A3699"/>
    <w:rsid w:val="088124B5"/>
    <w:rsid w:val="09211986"/>
    <w:rsid w:val="093E07C1"/>
    <w:rsid w:val="0A732EE2"/>
    <w:rsid w:val="0AAB16B7"/>
    <w:rsid w:val="0B2A2971"/>
    <w:rsid w:val="0BA1296D"/>
    <w:rsid w:val="0D2B61BA"/>
    <w:rsid w:val="0DEF638A"/>
    <w:rsid w:val="0E1B57EE"/>
    <w:rsid w:val="0E750962"/>
    <w:rsid w:val="0E8C118A"/>
    <w:rsid w:val="10C41951"/>
    <w:rsid w:val="11CE423C"/>
    <w:rsid w:val="122B288B"/>
    <w:rsid w:val="1290345F"/>
    <w:rsid w:val="129D2782"/>
    <w:rsid w:val="13114CFB"/>
    <w:rsid w:val="13AB2EDF"/>
    <w:rsid w:val="13C10E5D"/>
    <w:rsid w:val="155B4E8D"/>
    <w:rsid w:val="16507A8B"/>
    <w:rsid w:val="16AB5805"/>
    <w:rsid w:val="17016262"/>
    <w:rsid w:val="178B0482"/>
    <w:rsid w:val="17A03938"/>
    <w:rsid w:val="197235DA"/>
    <w:rsid w:val="19E42752"/>
    <w:rsid w:val="1A950C4B"/>
    <w:rsid w:val="1B35262F"/>
    <w:rsid w:val="1B486418"/>
    <w:rsid w:val="1B615F73"/>
    <w:rsid w:val="1C4F1A8D"/>
    <w:rsid w:val="1C550973"/>
    <w:rsid w:val="1E0572EF"/>
    <w:rsid w:val="1E69239C"/>
    <w:rsid w:val="1ED53EF8"/>
    <w:rsid w:val="1F3469BB"/>
    <w:rsid w:val="1FA42E79"/>
    <w:rsid w:val="1FD83163"/>
    <w:rsid w:val="208D6310"/>
    <w:rsid w:val="20C748E4"/>
    <w:rsid w:val="210510C8"/>
    <w:rsid w:val="2146060D"/>
    <w:rsid w:val="21963295"/>
    <w:rsid w:val="231E0851"/>
    <w:rsid w:val="24374C17"/>
    <w:rsid w:val="245B0EED"/>
    <w:rsid w:val="250A61A6"/>
    <w:rsid w:val="255467E2"/>
    <w:rsid w:val="25CC3869"/>
    <w:rsid w:val="25ED0CD7"/>
    <w:rsid w:val="25F72458"/>
    <w:rsid w:val="264151D6"/>
    <w:rsid w:val="26B103CA"/>
    <w:rsid w:val="271C51C6"/>
    <w:rsid w:val="274D122B"/>
    <w:rsid w:val="27C60C96"/>
    <w:rsid w:val="27D94DBA"/>
    <w:rsid w:val="28322C4E"/>
    <w:rsid w:val="29B52F8B"/>
    <w:rsid w:val="2ABD2B99"/>
    <w:rsid w:val="2B752734"/>
    <w:rsid w:val="2BB403D8"/>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6D35B0"/>
    <w:rsid w:val="31F40AD8"/>
    <w:rsid w:val="3212521B"/>
    <w:rsid w:val="33860852"/>
    <w:rsid w:val="343437ED"/>
    <w:rsid w:val="344F58DF"/>
    <w:rsid w:val="34625C6F"/>
    <w:rsid w:val="34E13D8E"/>
    <w:rsid w:val="34E73DF6"/>
    <w:rsid w:val="351D691C"/>
    <w:rsid w:val="364735A3"/>
    <w:rsid w:val="36DB733E"/>
    <w:rsid w:val="37BE2190"/>
    <w:rsid w:val="383932EA"/>
    <w:rsid w:val="38E1196C"/>
    <w:rsid w:val="39474760"/>
    <w:rsid w:val="39894B76"/>
    <w:rsid w:val="3A270935"/>
    <w:rsid w:val="3AC053A4"/>
    <w:rsid w:val="3B6925CD"/>
    <w:rsid w:val="3BFA2CFD"/>
    <w:rsid w:val="3CCE34AB"/>
    <w:rsid w:val="3D3B478E"/>
    <w:rsid w:val="3D536DB5"/>
    <w:rsid w:val="3D652D9C"/>
    <w:rsid w:val="3E6355C6"/>
    <w:rsid w:val="3E6C1AE3"/>
    <w:rsid w:val="3E8C5C2C"/>
    <w:rsid w:val="3EBB4791"/>
    <w:rsid w:val="3ED8079B"/>
    <w:rsid w:val="3F11673B"/>
    <w:rsid w:val="3F5A5BE9"/>
    <w:rsid w:val="3F7D64B7"/>
    <w:rsid w:val="3F9E4184"/>
    <w:rsid w:val="409C0FBE"/>
    <w:rsid w:val="41050EE9"/>
    <w:rsid w:val="41D24909"/>
    <w:rsid w:val="427B7880"/>
    <w:rsid w:val="42F71540"/>
    <w:rsid w:val="43961150"/>
    <w:rsid w:val="449E1D0D"/>
    <w:rsid w:val="44D4584C"/>
    <w:rsid w:val="454C2F0A"/>
    <w:rsid w:val="45DE2CF4"/>
    <w:rsid w:val="46C27E73"/>
    <w:rsid w:val="475B6C93"/>
    <w:rsid w:val="475E06BC"/>
    <w:rsid w:val="47CF0EED"/>
    <w:rsid w:val="48022E71"/>
    <w:rsid w:val="484F1989"/>
    <w:rsid w:val="490808E8"/>
    <w:rsid w:val="499D4138"/>
    <w:rsid w:val="49BC15F3"/>
    <w:rsid w:val="4A0D2198"/>
    <w:rsid w:val="4AB43A94"/>
    <w:rsid w:val="4B1D039C"/>
    <w:rsid w:val="4BAC4908"/>
    <w:rsid w:val="4D2E285F"/>
    <w:rsid w:val="4DC72F51"/>
    <w:rsid w:val="4E532DF4"/>
    <w:rsid w:val="4E5B51EF"/>
    <w:rsid w:val="4F081AFC"/>
    <w:rsid w:val="4FB569AA"/>
    <w:rsid w:val="503100D1"/>
    <w:rsid w:val="5115465C"/>
    <w:rsid w:val="517B2FD5"/>
    <w:rsid w:val="51E9382B"/>
    <w:rsid w:val="526B6A07"/>
    <w:rsid w:val="53B171C1"/>
    <w:rsid w:val="55196421"/>
    <w:rsid w:val="56591C70"/>
    <w:rsid w:val="56706A5F"/>
    <w:rsid w:val="5709490B"/>
    <w:rsid w:val="57DB53D0"/>
    <w:rsid w:val="581C4103"/>
    <w:rsid w:val="58517449"/>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ED5785"/>
    <w:rsid w:val="6140448D"/>
    <w:rsid w:val="62077DBB"/>
    <w:rsid w:val="624F4842"/>
    <w:rsid w:val="626A14AF"/>
    <w:rsid w:val="62BC5A7F"/>
    <w:rsid w:val="63611DC3"/>
    <w:rsid w:val="63B0621A"/>
    <w:rsid w:val="64FD7424"/>
    <w:rsid w:val="65214E3D"/>
    <w:rsid w:val="65345925"/>
    <w:rsid w:val="65B63B4F"/>
    <w:rsid w:val="673E607A"/>
    <w:rsid w:val="674E29E4"/>
    <w:rsid w:val="67533BCF"/>
    <w:rsid w:val="684E2722"/>
    <w:rsid w:val="68661500"/>
    <w:rsid w:val="68A36F19"/>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2E92CF2"/>
    <w:rsid w:val="741D6174"/>
    <w:rsid w:val="7442550E"/>
    <w:rsid w:val="74747B70"/>
    <w:rsid w:val="74FE2899"/>
    <w:rsid w:val="75E0628D"/>
    <w:rsid w:val="763832A2"/>
    <w:rsid w:val="76BA4139"/>
    <w:rsid w:val="76C217B7"/>
    <w:rsid w:val="77AA5218"/>
    <w:rsid w:val="781758F0"/>
    <w:rsid w:val="799B56FA"/>
    <w:rsid w:val="79FE0873"/>
    <w:rsid w:val="7AE857D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customStyle="1" w:styleId="3">
    <w:name w:val="样式 正文文本 + 首行缩进:  2 字符"/>
    <w:basedOn w:val="4"/>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qFormat/>
    <w:uiPriority w:val="1"/>
    <w:pPr>
      <w:ind w:left="120"/>
    </w:pPr>
    <w:rPr>
      <w:sz w:val="28"/>
      <w:szCs w:val="28"/>
    </w:rPr>
  </w:style>
  <w:style w:type="paragraph" w:styleId="5">
    <w:name w:val="List Bullet 5"/>
    <w:basedOn w:val="1"/>
    <w:qFormat/>
    <w:uiPriority w:val="0"/>
    <w:pPr>
      <w:numPr>
        <w:ilvl w:val="0"/>
        <w:numId w:val="1"/>
      </w:numPr>
    </w:p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next w:val="1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Char Char Char Char Char Char Char Char Char Char Char Char Char"/>
    <w:basedOn w:val="1"/>
    <w:next w:val="12"/>
    <w:qFormat/>
    <w:uiPriority w:val="0"/>
  </w:style>
  <w:style w:type="paragraph" w:customStyle="1" w:styleId="12">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9"/>
    <w:link w:val="7"/>
    <w:qFormat/>
    <w:uiPriority w:val="0"/>
    <w:rPr>
      <w:rFonts w:ascii="仿宋" w:hAnsi="仿宋" w:eastAsia="仿宋" w:cs="仿宋"/>
      <w:sz w:val="18"/>
      <w:szCs w:val="18"/>
      <w:lang w:val="zh-CN" w:bidi="zh-CN"/>
    </w:rPr>
  </w:style>
  <w:style w:type="character" w:customStyle="1" w:styleId="17">
    <w:name w:val="页脚 Char"/>
    <w:basedOn w:val="9"/>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137</TotalTime>
  <ScaleCrop>false</ScaleCrop>
  <LinksUpToDate>false</LinksUpToDate>
  <CharactersWithSpaces>1780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Administrator</cp:lastModifiedBy>
  <cp:lastPrinted>2021-01-21T06:22:00Z</cp:lastPrinted>
  <dcterms:modified xsi:type="dcterms:W3CDTF">2021-03-30T06:07:10Z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2052-11.1.0.10356</vt:lpwstr>
  </property>
  <property fmtid="{D5CDD505-2E9C-101B-9397-08002B2CF9AE}" pid="6" name="ICV">
    <vt:lpwstr>E19FA3C18A2B4425852C8B3DF348CBE7</vt:lpwstr>
  </property>
</Properties>
</file>