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sz w:val="20"/>
          <w:szCs w:val="28"/>
          <w:lang w:val="zh-CN" w:eastAsia="zh-CN" w:bidi="zh-CN"/>
        </w:rPr>
      </w:pPr>
    </w:p>
    <w:p>
      <w:pPr>
        <w:widowControl w:val="0"/>
        <w:autoSpaceDE w:val="0"/>
        <w:autoSpaceDN w:val="0"/>
        <w:ind w:left="0"/>
        <w:rPr>
          <w:rFonts w:ascii="Times New Roman" w:hAnsi="仿宋" w:eastAsia="仿宋" w:cs="仿宋"/>
          <w:color w:val="7030A0"/>
          <w:sz w:val="20"/>
          <w:szCs w:val="28"/>
          <w:lang w:val="zh-CN" w:eastAsia="zh-CN" w:bidi="zh-CN"/>
        </w:rPr>
      </w:pPr>
    </w:p>
    <w:p>
      <w:pPr>
        <w:widowControl w:val="0"/>
        <w:autoSpaceDE w:val="0"/>
        <w:autoSpaceDN w:val="0"/>
        <w:ind w:left="0"/>
        <w:rPr>
          <w:rFonts w:ascii="Times New Roman" w:hAnsi="仿宋" w:eastAsia="仿宋" w:cs="仿宋"/>
          <w:color w:val="7030A0"/>
          <w:sz w:val="20"/>
          <w:szCs w:val="28"/>
          <w:lang w:val="zh-CN" w:eastAsia="zh-CN" w:bidi="zh-CN"/>
        </w:rPr>
      </w:pPr>
    </w:p>
    <w:p>
      <w:pPr>
        <w:autoSpaceDE/>
        <w:autoSpaceDN/>
        <w:snapToGrid w:val="0"/>
        <w:spacing w:line="660" w:lineRule="exact"/>
        <w:jc w:val="center"/>
        <w:outlineLvl w:val="0"/>
        <w:rPr>
          <w:rFonts w:ascii="Times New Roman" w:hAnsi="仿宋" w:eastAsia="仿宋" w:cs="仿宋"/>
          <w:color w:val="7030A0"/>
          <w:kern w:val="0"/>
          <w:sz w:val="27"/>
          <w:szCs w:val="22"/>
          <w:lang w:val="zh-CN" w:bidi="zh-CN"/>
        </w:rPr>
      </w:pPr>
    </w:p>
    <w:p>
      <w:pPr>
        <w:autoSpaceDE w:val="0"/>
        <w:autoSpaceDN w:val="0"/>
        <w:spacing w:before="55"/>
        <w:ind w:left="311" w:right="451"/>
        <w:jc w:val="center"/>
        <w:rPr>
          <w:rFonts w:ascii="仿宋" w:hAnsi="仿宋" w:eastAsia="仿宋" w:cs="仿宋"/>
          <w:color w:val="000000" w:themeColor="text1"/>
          <w:kern w:val="0"/>
          <w:sz w:val="32"/>
          <w:szCs w:val="22"/>
          <w:lang w:val="zh-CN" w:bidi="zh-CN"/>
          <w14:textFill>
            <w14:solidFill>
              <w14:schemeClr w14:val="tx1"/>
            </w14:solidFill>
          </w14:textFill>
        </w:rPr>
      </w:pPr>
      <w:r>
        <w:rPr>
          <w:rFonts w:ascii="仿宋" w:hAnsi="仿宋" w:eastAsia="仿宋" w:cs="仿宋"/>
          <w:color w:val="000000" w:themeColor="text1"/>
          <w:kern w:val="0"/>
          <w:sz w:val="32"/>
          <w:szCs w:val="22"/>
          <w:lang w:val="zh-CN" w:bidi="zh-CN"/>
          <w14:textFill>
            <w14:solidFill>
              <w14:schemeClr w14:val="tx1"/>
            </w14:solidFill>
          </w14:textFill>
        </w:rPr>
        <w:t>徐审环</w:t>
      </w:r>
      <w:r>
        <w:rPr>
          <w:rFonts w:hint="eastAsia" w:ascii="仿宋" w:hAnsi="仿宋" w:eastAsia="仿宋" w:cs="仿宋"/>
          <w:color w:val="000000" w:themeColor="text1"/>
          <w:kern w:val="0"/>
          <w:sz w:val="32"/>
          <w:szCs w:val="22"/>
          <w:lang w:val="zh-CN" w:bidi="zh-CN"/>
          <w14:textFill>
            <w14:solidFill>
              <w14:schemeClr w14:val="tx1"/>
            </w14:solidFill>
          </w14:textFill>
        </w:rPr>
        <w:t>书</w:t>
      </w:r>
      <w:r>
        <w:rPr>
          <w:rFonts w:ascii="仿宋" w:hAnsi="仿宋" w:eastAsia="仿宋" w:cs="仿宋"/>
          <w:color w:val="000000" w:themeColor="text1"/>
          <w:kern w:val="0"/>
          <w:sz w:val="32"/>
          <w:szCs w:val="22"/>
          <w:lang w:val="zh-CN" w:bidi="zh-CN"/>
          <w14:textFill>
            <w14:solidFill>
              <w14:schemeClr w14:val="tx1"/>
            </w14:solidFill>
          </w14:textFill>
        </w:rPr>
        <w:t>字〔20</w:t>
      </w:r>
      <w:r>
        <w:rPr>
          <w:rFonts w:hint="eastAsia" w:ascii="仿宋" w:hAnsi="仿宋" w:eastAsia="仿宋" w:cs="仿宋"/>
          <w:color w:val="000000" w:themeColor="text1"/>
          <w:kern w:val="0"/>
          <w:sz w:val="32"/>
          <w:szCs w:val="22"/>
          <w:lang w:val="en-US" w:eastAsia="zh-CN" w:bidi="zh-CN"/>
          <w14:textFill>
            <w14:solidFill>
              <w14:schemeClr w14:val="tx1"/>
            </w14:solidFill>
          </w14:textFill>
        </w:rPr>
        <w:t>21</w:t>
      </w:r>
      <w:r>
        <w:rPr>
          <w:rFonts w:ascii="仿宋" w:hAnsi="仿宋" w:eastAsia="仿宋" w:cs="仿宋"/>
          <w:color w:val="000000" w:themeColor="text1"/>
          <w:kern w:val="0"/>
          <w:sz w:val="32"/>
          <w:szCs w:val="22"/>
          <w:lang w:val="zh-CN" w:bidi="zh-CN"/>
          <w14:textFill>
            <w14:solidFill>
              <w14:schemeClr w14:val="tx1"/>
            </w14:solidFill>
          </w14:textFill>
        </w:rPr>
        <w:t>〕</w:t>
      </w:r>
      <w:r>
        <w:rPr>
          <w:rFonts w:hint="eastAsia" w:ascii="仿宋" w:hAnsi="仿宋" w:eastAsia="仿宋" w:cs="仿宋"/>
          <w:color w:val="000000" w:themeColor="text1"/>
          <w:kern w:val="0"/>
          <w:sz w:val="32"/>
          <w:szCs w:val="22"/>
          <w:lang w:val="en-US" w:eastAsia="zh-CN" w:bidi="zh-CN"/>
          <w14:textFill>
            <w14:solidFill>
              <w14:schemeClr w14:val="tx1"/>
            </w14:solidFill>
          </w14:textFill>
        </w:rPr>
        <w:t>1</w:t>
      </w:r>
      <w:r>
        <w:rPr>
          <w:rFonts w:ascii="仿宋" w:hAnsi="仿宋" w:eastAsia="仿宋" w:cs="仿宋"/>
          <w:color w:val="000000" w:themeColor="text1"/>
          <w:kern w:val="0"/>
          <w:sz w:val="32"/>
          <w:szCs w:val="22"/>
          <w:lang w:val="zh-CN" w:bidi="zh-CN"/>
          <w14:textFill>
            <w14:solidFill>
              <w14:schemeClr w14:val="tx1"/>
            </w14:solidFill>
          </w14:textFill>
        </w:rPr>
        <w:t>号</w:t>
      </w:r>
    </w:p>
    <w:p>
      <w:pPr>
        <w:widowControl w:val="0"/>
        <w:autoSpaceDE w:val="0"/>
        <w:autoSpaceDN w:val="0"/>
        <w:ind w:left="0"/>
        <w:rPr>
          <w:rFonts w:ascii="仿宋" w:hAnsi="仿宋" w:eastAsia="仿宋" w:cs="仿宋"/>
          <w:color w:val="000000" w:themeColor="text1"/>
          <w:sz w:val="32"/>
          <w:szCs w:val="28"/>
          <w:lang w:val="zh-CN" w:eastAsia="zh-CN" w:bidi="zh-CN"/>
          <w14:textFill>
            <w14:solidFill>
              <w14:schemeClr w14:val="tx1"/>
            </w14:solidFill>
          </w14:textFill>
        </w:rPr>
      </w:pPr>
    </w:p>
    <w:p>
      <w:pPr>
        <w:widowControl w:val="0"/>
        <w:autoSpaceDE w:val="0"/>
        <w:autoSpaceDN w:val="0"/>
        <w:spacing w:before="3"/>
        <w:ind w:left="0"/>
        <w:rPr>
          <w:rFonts w:ascii="仿宋" w:hAnsi="仿宋" w:eastAsia="仿宋" w:cs="仿宋"/>
          <w:color w:val="000000" w:themeColor="text1"/>
          <w:sz w:val="23"/>
          <w:szCs w:val="28"/>
          <w:lang w:val="zh-CN" w:eastAsia="zh-CN" w:bidi="zh-CN"/>
          <w14:textFill>
            <w14:solidFill>
              <w14:schemeClr w14:val="tx1"/>
            </w14:solidFill>
          </w14:textFill>
        </w:rPr>
      </w:pPr>
    </w:p>
    <w:p>
      <w:pPr>
        <w:autoSpaceDE/>
        <w:autoSpaceDN/>
        <w:snapToGrid w:val="0"/>
        <w:spacing w:line="660" w:lineRule="exact"/>
        <w:jc w:val="center"/>
        <w:outlineLvl w:val="0"/>
        <w:rPr>
          <w:rFonts w:hint="eastAsia" w:ascii="方正小标宋简体" w:hAnsi="宋体" w:eastAsia="方正小标宋简体" w:cs="Times New Roman"/>
          <w:bCs/>
          <w:color w:val="000000" w:themeColor="text1"/>
          <w:kern w:val="2"/>
          <w:sz w:val="44"/>
          <w:szCs w:val="44"/>
          <w:lang w:val="en-US" w:eastAsia="zh-CN" w:bidi="ar-SA"/>
          <w14:textFill>
            <w14:solidFill>
              <w14:schemeClr w14:val="tx1"/>
            </w14:solidFill>
          </w14:textFill>
        </w:rPr>
      </w:pPr>
      <w:bookmarkStart w:id="0" w:name="保定市徐水区行政审批局"/>
      <w:bookmarkEnd w:id="0"/>
      <w:r>
        <w:rPr>
          <w:rFonts w:hint="eastAsia" w:ascii="方正小标宋简体" w:hAnsi="宋体" w:eastAsia="方正小标宋简体" w:cs="Times New Roman"/>
          <w:bCs/>
          <w:color w:val="000000" w:themeColor="text1"/>
          <w:kern w:val="2"/>
          <w:sz w:val="44"/>
          <w:szCs w:val="44"/>
          <w:lang w:val="en-US" w:eastAsia="zh-CN" w:bidi="ar-SA"/>
          <w14:textFill>
            <w14:solidFill>
              <w14:schemeClr w14:val="tx1"/>
            </w14:solidFill>
          </w14:textFill>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000000" w:themeColor="text1"/>
          <w:kern w:val="2"/>
          <w:sz w:val="44"/>
          <w:szCs w:val="44"/>
          <w:lang w:val="en-US" w:eastAsia="zh-CN" w:bidi="ar-SA"/>
          <w14:textFill>
            <w14:solidFill>
              <w14:schemeClr w14:val="tx1"/>
            </w14:solidFill>
          </w14:textFill>
        </w:rPr>
      </w:pPr>
      <w:r>
        <w:rPr>
          <w:rFonts w:hint="eastAsia" w:ascii="方正小标宋简体" w:hAnsi="宋体" w:eastAsia="方正小标宋简体" w:cs="Times New Roman"/>
          <w:bCs/>
          <w:color w:val="000000" w:themeColor="text1"/>
          <w:kern w:val="2"/>
          <w:sz w:val="44"/>
          <w:szCs w:val="44"/>
          <w:lang w:val="en-US" w:eastAsia="zh-CN" w:bidi="ar-SA"/>
          <w14:textFill>
            <w14:solidFill>
              <w14:schemeClr w14:val="tx1"/>
            </w14:solidFill>
          </w14:textFill>
        </w:rPr>
        <w:t xml:space="preserve"> 关于河北大午畜禽屠宰有限公司年屠宰毛鸡 1400万只技改扩建项目环境影响报告书的</w:t>
      </w:r>
    </w:p>
    <w:p>
      <w:pPr>
        <w:autoSpaceDE/>
        <w:autoSpaceDN/>
        <w:snapToGrid w:val="0"/>
        <w:spacing w:line="660" w:lineRule="exact"/>
        <w:jc w:val="center"/>
        <w:outlineLvl w:val="0"/>
        <w:rPr>
          <w:rFonts w:hint="eastAsia" w:ascii="方正小标宋简体" w:hAnsi="宋体" w:eastAsia="方正小标宋简体" w:cs="Times New Roman"/>
          <w:bCs/>
          <w:color w:val="000000" w:themeColor="text1"/>
          <w:kern w:val="2"/>
          <w:sz w:val="44"/>
          <w:szCs w:val="44"/>
          <w:lang w:val="en-US" w:eastAsia="zh-CN" w:bidi="ar-SA"/>
          <w14:textFill>
            <w14:solidFill>
              <w14:schemeClr w14:val="tx1"/>
            </w14:solidFill>
          </w14:textFill>
        </w:rPr>
      </w:pPr>
      <w:r>
        <w:rPr>
          <w:rFonts w:hint="eastAsia" w:ascii="方正小标宋简体" w:hAnsi="宋体" w:eastAsia="方正小标宋简体" w:cs="Times New Roman"/>
          <w:bCs/>
          <w:color w:val="000000" w:themeColor="text1"/>
          <w:kern w:val="2"/>
          <w:sz w:val="44"/>
          <w:szCs w:val="44"/>
          <w:lang w:val="en-US" w:eastAsia="zh-CN" w:bidi="ar-SA"/>
          <w14:textFill>
            <w14:solidFill>
              <w14:schemeClr w14:val="tx1"/>
            </w14:solidFill>
          </w14:textFill>
        </w:rPr>
        <w:t>批  复</w:t>
      </w:r>
    </w:p>
    <w:p>
      <w:pPr>
        <w:autoSpaceDE/>
        <w:autoSpaceDN/>
        <w:snapToGrid w:val="0"/>
        <w:spacing w:line="660" w:lineRule="exact"/>
        <w:jc w:val="both"/>
        <w:outlineLvl w:val="0"/>
        <w:rPr>
          <w:rFonts w:ascii="仿宋" w:hAnsi="仿宋" w:eastAsia="仿宋" w:cs="仿宋"/>
          <w:color w:val="000000" w:themeColor="text1"/>
          <w:kern w:val="0"/>
          <w:sz w:val="22"/>
          <w:szCs w:val="22"/>
          <w:lang w:val="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40" w:line="520" w:lineRule="exact"/>
        <w:ind w:left="120" w:right="115"/>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河北大午畜禽屠宰有限公司</w:t>
      </w:r>
      <w:r>
        <w:rPr>
          <w:rFonts w:ascii="仿宋" w:hAnsi="仿宋" w:eastAsia="仿宋" w:cs="仿宋"/>
          <w:color w:val="000000" w:themeColor="text1"/>
          <w:sz w:val="32"/>
          <w:szCs w:val="32"/>
          <w:lang w:val="zh-CN" w:eastAsia="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40" w:line="520" w:lineRule="exact"/>
        <w:ind w:left="120" w:right="115"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hint="eastAsia" w:ascii="仿宋" w:hAnsi="仿宋" w:eastAsia="仿宋" w:cs="仿宋"/>
          <w:color w:val="000000" w:themeColor="text1"/>
          <w:sz w:val="32"/>
          <w:szCs w:val="32"/>
          <w:lang w:val="zh-CN" w:eastAsia="zh-CN" w:bidi="zh-CN"/>
          <w14:textFill>
            <w14:solidFill>
              <w14:schemeClr w14:val="tx1"/>
            </w14:solidFill>
          </w14:textFill>
        </w:rPr>
        <w:t>你单位</w:t>
      </w:r>
      <w:r>
        <w:rPr>
          <w:rFonts w:ascii="仿宋" w:hAnsi="仿宋" w:eastAsia="仿宋" w:cs="仿宋"/>
          <w:color w:val="000000" w:themeColor="text1"/>
          <w:sz w:val="32"/>
          <w:szCs w:val="32"/>
          <w:lang w:val="zh-CN" w:eastAsia="zh-CN" w:bidi="zh-CN"/>
          <w14:textFill>
            <w14:solidFill>
              <w14:schemeClr w14:val="tx1"/>
            </w14:solidFill>
          </w14:textFill>
        </w:rPr>
        <w:t>所报《</w:t>
      </w:r>
      <w:r>
        <w:rPr>
          <w:rFonts w:hint="eastAsia" w:ascii="仿宋" w:hAnsi="仿宋" w:eastAsia="仿宋" w:cs="仿宋"/>
          <w:color w:val="000000" w:themeColor="text1"/>
          <w:sz w:val="32"/>
          <w:szCs w:val="32"/>
          <w:lang w:val="en-US" w:eastAsia="zh-CN" w:bidi="zh-CN"/>
          <w14:textFill>
            <w14:solidFill>
              <w14:schemeClr w14:val="tx1"/>
            </w14:solidFill>
          </w14:textFill>
        </w:rPr>
        <w:t>河北大午畜禽屠宰有限公司年屠宰毛鸡 1400万只技改扩建项目环境影响报告书</w:t>
      </w:r>
      <w:r>
        <w:rPr>
          <w:rFonts w:ascii="仿宋" w:hAnsi="仿宋" w:eastAsia="仿宋" w:cs="仿宋"/>
          <w:color w:val="000000" w:themeColor="text1"/>
          <w:sz w:val="32"/>
          <w:szCs w:val="32"/>
          <w:lang w:val="zh-CN" w:eastAsia="zh-CN" w:bidi="zh-CN"/>
          <w14:textFill>
            <w14:solidFill>
              <w14:schemeClr w14:val="tx1"/>
            </w14:solidFill>
          </w14:textFill>
        </w:rPr>
        <w:t>》收悉，根据《</w:t>
      </w:r>
      <w:r>
        <w:rPr>
          <w:rFonts w:ascii="仿宋" w:hAnsi="仿宋" w:eastAsia="仿宋" w:cs="仿宋"/>
          <w:color w:val="000000" w:themeColor="text1"/>
          <w:spacing w:val="-26"/>
          <w:sz w:val="32"/>
          <w:szCs w:val="32"/>
          <w:lang w:val="zh-CN" w:eastAsia="zh-CN" w:bidi="zh-CN"/>
          <w14:textFill>
            <w14:solidFill>
              <w14:schemeClr w14:val="tx1"/>
            </w14:solidFill>
          </w14:textFill>
        </w:rPr>
        <w:t>环境影响评价文件可行性技术评估报告》</w:t>
      </w:r>
      <w:r>
        <w:rPr>
          <w:rFonts w:ascii="仿宋" w:hAnsi="仿宋" w:eastAsia="仿宋" w:cs="仿宋"/>
          <w:color w:val="000000" w:themeColor="text1"/>
          <w:spacing w:val="-6"/>
          <w:sz w:val="32"/>
          <w:szCs w:val="32"/>
          <w:lang w:val="zh-CN" w:eastAsia="zh-CN" w:bidi="zh-CN"/>
          <w14:textFill>
            <w14:solidFill>
              <w14:schemeClr w14:val="tx1"/>
            </w14:solidFill>
          </w14:textFill>
        </w:rPr>
        <w:t>环境影响评价结论</w:t>
      </w:r>
      <w:r>
        <w:rPr>
          <w:rFonts w:hint="eastAsia" w:ascii="仿宋" w:hAnsi="仿宋" w:eastAsia="仿宋" w:cs="仿宋"/>
          <w:color w:val="000000" w:themeColor="text1"/>
          <w:spacing w:val="-6"/>
          <w:sz w:val="32"/>
          <w:szCs w:val="32"/>
          <w:lang w:val="zh-CN" w:eastAsia="zh-CN" w:bidi="zh-CN"/>
          <w14:textFill>
            <w14:solidFill>
              <w14:schemeClr w14:val="tx1"/>
            </w14:solidFill>
          </w14:textFill>
        </w:rPr>
        <w:t>，</w:t>
      </w:r>
      <w:r>
        <w:rPr>
          <w:rFonts w:ascii="仿宋" w:hAnsi="仿宋" w:eastAsia="仿宋" w:cs="仿宋"/>
          <w:color w:val="000000" w:themeColor="text1"/>
          <w:spacing w:val="-6"/>
          <w:sz w:val="32"/>
          <w:szCs w:val="32"/>
          <w:lang w:val="zh-CN" w:eastAsia="zh-CN" w:bidi="zh-CN"/>
          <w14:textFill>
            <w14:solidFill>
              <w14:schemeClr w14:val="tx1"/>
            </w14:solidFill>
          </w14:textFill>
        </w:rPr>
        <w:t>污染防治措施可行，经研究批复如下：</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42" w:line="520" w:lineRule="exact"/>
        <w:ind w:left="120" w:right="115" w:firstLine="640" w:firstLineChars="200"/>
        <w:jc w:val="both"/>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改扩建项目位于保定市徐水区高林村镇郎五庄村南，项目东侧为产业园路，南侧为农业科技园、食品产业园，西侧为食品生产楼、农业科技园，北侧为食品生产楼、食品产业园办公楼。距本项目最近的敏感点为东北580米处的袁家坟村。厂区面积由5333㎡扩大到10000㎡，总建筑面积 3868.24㎡，包括屠宰车间2952㎡（含冷库）、污水处理站 57.24㎡、锅炉房224㎡、辅助车间635㎡；新增一条屠宰生产线，新建一座污水处理站，用热由现有天然气锅炉改为电锅炉，年屠宰毛鸡生产规模由600万只改扩建到1400万只。</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2" w:line="520" w:lineRule="exact"/>
        <w:ind w:right="115" w:rightChars="0" w:firstLine="640" w:firstLineChars="200"/>
        <w:jc w:val="both"/>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保定市徐水区发展和改革局已于2021年1月22日为该项目出具了《企业投资项目备案信息》，备案编号：徐水发改备字[2020]57号。根据保定市自然资源和规划局徐水区分局关于对河北大午畜禽屠宰有限公司拟占地的地类意见和规划意见，企业占地地类为采矿用地，为允许建设用地区，符合徐水区土地利用总体规划。</w:t>
      </w:r>
    </w:p>
    <w:p>
      <w:pPr>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二、项目总投资996万元，其中环保投资150万元，环保投资占总投资比例为15.06%。在屠宰车间新增一条屠宰生产线，购置宰杀流水线、自动分级称等设备45台（套）。改扩建后，全厂共两条屠宰生产线，主要设备有卧式脱毛机、真空包装机等共计71台（套）。主要原辅材料：毛鸡、包装袋、PAC、PAM、84消毒液、环保型制冷剂R507；生产规模：年生产白条鸡1400 万只。项目用水依托现有供水设施，由郎五庄村供水管网提供，年用水量为11.07万m3 ；项目用电由当地供电电网提供，年用电量为35.78万kwh。全厂生产用热由1台1t电锅炉供给。</w:t>
      </w:r>
    </w:p>
    <w:p>
      <w:pPr>
        <w:keepNext w:val="0"/>
        <w:keepLines w:val="0"/>
        <w:pageBreakBefore w:val="0"/>
        <w:widowControl w:val="0"/>
        <w:kinsoku/>
        <w:wordWrap/>
        <w:overflowPunct/>
        <w:topLinePunct w:val="0"/>
        <w:autoSpaceDE w:val="0"/>
        <w:autoSpaceDN w:val="0"/>
        <w:bidi w:val="0"/>
        <w:adjustRightInd/>
        <w:snapToGrid/>
        <w:spacing w:before="14" w:line="520" w:lineRule="exact"/>
        <w:ind w:left="120" w:right="257" w:firstLine="559"/>
        <w:jc w:val="both"/>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pacing w:val="-11"/>
          <w:sz w:val="32"/>
          <w:szCs w:val="32"/>
          <w:lang w:val="zh-CN" w:eastAsia="zh-CN" w:bidi="zh-CN"/>
          <w14:textFill>
            <w14:solidFill>
              <w14:schemeClr w14:val="tx1"/>
            </w14:solidFill>
          </w14:textFill>
        </w:rPr>
        <w:t>三、在落实报告</w:t>
      </w:r>
      <w:r>
        <w:rPr>
          <w:rFonts w:hint="eastAsia" w:ascii="仿宋" w:hAnsi="仿宋" w:eastAsia="仿宋" w:cs="仿宋"/>
          <w:color w:val="000000" w:themeColor="text1"/>
          <w:spacing w:val="-11"/>
          <w:sz w:val="32"/>
          <w:szCs w:val="32"/>
          <w:lang w:val="zh-CN" w:eastAsia="zh-CN" w:bidi="zh-CN"/>
          <w14:textFill>
            <w14:solidFill>
              <w14:schemeClr w14:val="tx1"/>
            </w14:solidFill>
          </w14:textFill>
        </w:rPr>
        <w:t>书</w:t>
      </w:r>
      <w:r>
        <w:rPr>
          <w:rFonts w:ascii="仿宋" w:hAnsi="仿宋" w:eastAsia="仿宋" w:cs="仿宋"/>
          <w:color w:val="000000" w:themeColor="text1"/>
          <w:spacing w:val="-11"/>
          <w:sz w:val="32"/>
          <w:szCs w:val="32"/>
          <w:lang w:val="zh-CN" w:eastAsia="zh-CN" w:bidi="zh-CN"/>
          <w14:textFill>
            <w14:solidFill>
              <w14:schemeClr w14:val="tx1"/>
            </w14:solidFill>
          </w14:textFill>
        </w:rPr>
        <w:t>提出的各项污染防治和环境风险防范措施的前提下，项目建设从环境保护角度可行。同意本报告</w:t>
      </w:r>
      <w:r>
        <w:rPr>
          <w:rFonts w:hint="eastAsia" w:ascii="仿宋" w:hAnsi="仿宋" w:eastAsia="仿宋" w:cs="仿宋"/>
          <w:color w:val="000000" w:themeColor="text1"/>
          <w:spacing w:val="-11"/>
          <w:sz w:val="32"/>
          <w:szCs w:val="32"/>
          <w:lang w:val="zh-CN" w:eastAsia="zh-CN" w:bidi="zh-CN"/>
          <w14:textFill>
            <w14:solidFill>
              <w14:schemeClr w14:val="tx1"/>
            </w14:solidFill>
          </w14:textFill>
        </w:rPr>
        <w:t>书</w:t>
      </w:r>
      <w:r>
        <w:rPr>
          <w:rFonts w:ascii="仿宋" w:hAnsi="仿宋" w:eastAsia="仿宋" w:cs="仿宋"/>
          <w:color w:val="000000" w:themeColor="text1"/>
          <w:spacing w:val="-11"/>
          <w:sz w:val="32"/>
          <w:szCs w:val="32"/>
          <w:lang w:val="zh-CN" w:eastAsia="zh-CN" w:bidi="zh-CN"/>
          <w14:textFill>
            <w14:solidFill>
              <w14:schemeClr w14:val="tx1"/>
            </w14:solidFill>
          </w14:textFill>
        </w:rPr>
        <w:t>作为项目建设和</w:t>
      </w:r>
      <w:r>
        <w:rPr>
          <w:rFonts w:ascii="仿宋" w:hAnsi="仿宋" w:eastAsia="仿宋" w:cs="仿宋"/>
          <w:color w:val="000000" w:themeColor="text1"/>
          <w:spacing w:val="-5"/>
          <w:sz w:val="32"/>
          <w:szCs w:val="32"/>
          <w:lang w:val="zh-CN" w:eastAsia="zh-CN" w:bidi="zh-CN"/>
          <w14:textFill>
            <w14:solidFill>
              <w14:schemeClr w14:val="tx1"/>
            </w14:solidFill>
          </w14:textFill>
        </w:rPr>
        <w:t>运营中环境管理的依据。</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jc w:val="both"/>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pacing w:val="-11"/>
          <w:sz w:val="32"/>
          <w:szCs w:val="32"/>
          <w:lang w:val="zh-CN" w:eastAsia="zh-CN" w:bidi="zh-CN"/>
          <w14:textFill>
            <w14:solidFill>
              <w14:schemeClr w14:val="tx1"/>
            </w14:solidFill>
          </w14:textFill>
        </w:rPr>
        <w:t>四、你单位在建设和日常管理过程中，要严格落实该报告</w:t>
      </w:r>
      <w:r>
        <w:rPr>
          <w:rFonts w:hint="eastAsia" w:ascii="仿宋" w:hAnsi="仿宋" w:eastAsia="仿宋" w:cs="仿宋"/>
          <w:color w:val="000000" w:themeColor="text1"/>
          <w:spacing w:val="-11"/>
          <w:sz w:val="32"/>
          <w:szCs w:val="32"/>
          <w:lang w:val="zh-CN" w:eastAsia="zh-CN" w:bidi="zh-CN"/>
          <w14:textFill>
            <w14:solidFill>
              <w14:schemeClr w14:val="tx1"/>
            </w14:solidFill>
          </w14:textFill>
        </w:rPr>
        <w:t>书</w:t>
      </w:r>
      <w:r>
        <w:rPr>
          <w:rFonts w:ascii="仿宋" w:hAnsi="仿宋" w:eastAsia="仿宋" w:cs="仿宋"/>
          <w:color w:val="000000" w:themeColor="text1"/>
          <w:spacing w:val="-11"/>
          <w:sz w:val="32"/>
          <w:szCs w:val="32"/>
          <w:lang w:val="zh-CN" w:eastAsia="zh-CN" w:bidi="zh-CN"/>
          <w14:textFill>
            <w14:solidFill>
              <w14:schemeClr w14:val="tx1"/>
            </w14:solidFill>
          </w14:textFill>
        </w:rPr>
        <w:t>中的建设内容、各项污染防治、环境风险防范措施及要求，并重点做好以</w:t>
      </w:r>
      <w:r>
        <w:rPr>
          <w:rFonts w:ascii="仿宋" w:hAnsi="仿宋" w:eastAsia="仿宋" w:cs="仿宋"/>
          <w:color w:val="000000" w:themeColor="text1"/>
          <w:spacing w:val="-5"/>
          <w:sz w:val="32"/>
          <w:szCs w:val="32"/>
          <w:lang w:val="zh-CN" w:eastAsia="zh-CN" w:bidi="zh-CN"/>
          <w14:textFill>
            <w14:solidFill>
              <w14:schemeClr w14:val="tx1"/>
            </w14:solidFill>
          </w14:textFill>
        </w:rPr>
        <w:t>下工作：</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1</w:t>
      </w:r>
      <w:r>
        <w:rPr>
          <w:rFonts w:ascii="仿宋" w:hAnsi="仿宋" w:eastAsia="仿宋" w:cs="仿宋"/>
          <w:color w:val="000000" w:themeColor="text1"/>
          <w:spacing w:val="-12"/>
          <w:sz w:val="32"/>
          <w:szCs w:val="32"/>
          <w:lang w:val="zh-CN" w:eastAsia="zh-CN" w:bidi="zh-CN"/>
          <w14:textFill>
            <w14:solidFill>
              <w14:schemeClr w14:val="tx1"/>
            </w14:solidFill>
          </w14:textFill>
        </w:rPr>
        <w:t>、建立日常环境管理制度、组织机构和管理台帐,项目投入运行</w:t>
      </w:r>
      <w:r>
        <w:rPr>
          <w:rFonts w:ascii="仿宋" w:hAnsi="仿宋" w:eastAsia="仿宋" w:cs="仿宋"/>
          <w:color w:val="000000" w:themeColor="text1"/>
          <w:spacing w:val="-5"/>
          <w:sz w:val="32"/>
          <w:szCs w:val="32"/>
          <w:lang w:val="zh-CN" w:eastAsia="zh-CN" w:bidi="zh-CN"/>
          <w14:textFill>
            <w14:solidFill>
              <w14:schemeClr w14:val="tx1"/>
            </w14:solidFill>
          </w14:textFill>
        </w:rPr>
        <w:t>前报</w:t>
      </w:r>
      <w:r>
        <w:rPr>
          <w:rFonts w:ascii="仿宋" w:hAnsi="仿宋" w:eastAsia="仿宋" w:cs="仿宋"/>
          <w:color w:val="000000" w:themeColor="text1"/>
          <w:sz w:val="32"/>
          <w:szCs w:val="32"/>
          <w:lang w:val="zh-CN" w:eastAsia="zh-CN" w:bidi="zh-CN"/>
          <w14:textFill>
            <w14:solidFill>
              <w14:schemeClr w14:val="tx1"/>
            </w14:solidFill>
          </w14:textFill>
        </w:rPr>
        <w:t>保定市生态环境局徐水区分局</w:t>
      </w:r>
      <w:r>
        <w:rPr>
          <w:rFonts w:ascii="仿宋" w:hAnsi="仿宋" w:eastAsia="仿宋" w:cs="仿宋"/>
          <w:color w:val="000000" w:themeColor="text1"/>
          <w:spacing w:val="-5"/>
          <w:sz w:val="32"/>
          <w:szCs w:val="32"/>
          <w:lang w:val="zh-CN" w:eastAsia="zh-CN" w:bidi="zh-CN"/>
          <w14:textFill>
            <w14:solidFill>
              <w14:schemeClr w14:val="tx1"/>
            </w14:solidFill>
          </w14:textFill>
        </w:rPr>
        <w:t>备案。</w:t>
      </w:r>
    </w:p>
    <w:p>
      <w:pPr>
        <w:keepNext w:val="0"/>
        <w:keepLines w:val="0"/>
        <w:pageBreakBefore w:val="0"/>
        <w:widowControl w:val="0"/>
        <w:kinsoku/>
        <w:wordWrap/>
        <w:overflowPunct/>
        <w:topLinePunct w:val="0"/>
        <w:autoSpaceDE w:val="0"/>
        <w:autoSpaceDN w:val="0"/>
        <w:bidi w:val="0"/>
        <w:adjustRightInd/>
        <w:snapToGrid/>
        <w:spacing w:before="3" w:line="520" w:lineRule="exact"/>
        <w:ind w:left="120" w:right="257"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2、施工期间要严格落实环评文件提出的污染防治措施及相关规定，有效减轻施工对环境的影响。</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ascii="仿宋" w:hAnsi="仿宋" w:eastAsia="仿宋" w:cs="仿宋"/>
          <w:color w:val="000000" w:themeColor="text1"/>
          <w:spacing w:val="-12"/>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3</w:t>
      </w:r>
      <w:r>
        <w:rPr>
          <w:rFonts w:ascii="仿宋" w:hAnsi="仿宋" w:eastAsia="仿宋" w:cs="仿宋"/>
          <w:color w:val="000000" w:themeColor="text1"/>
          <w:spacing w:val="-12"/>
          <w:sz w:val="32"/>
          <w:szCs w:val="32"/>
          <w:lang w:val="zh-CN" w:eastAsia="zh-CN" w:bidi="zh-CN"/>
          <w14:textFill>
            <w14:solidFill>
              <w14:schemeClr w14:val="tx1"/>
            </w14:solidFill>
          </w14:textFill>
        </w:rPr>
        <w:t>、废气：</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改扩建完成后，运营期废气主要为家禽屠宰产生的恶臭气体和污水处理站产生的恶臭气体。</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（1）有组织排放</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屠宰车间废气由吸风管道收集后，经“活性炭吸附+水喷淋装置”处理后由 15m高排气筒（P1）排放。NH3 、H2S 、臭气浓度，排放应满足《恶臭污染物排放标准》（GB14554-93）表2标准（排气筒高度15m）。</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污水处理站异味单元加盖封闭安装集气装置，污泥脱水机、干湿分离机上方设置集气罩，将废气收集后由管道送至一套活性炭吸附+水喷淋装置+15m 排气筒（P2）。NH3 、H2S 排放应满足《恶臭污染物排放标准》（GB14554－93）表2排放标准。</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（2）恶臭气体无组织排放</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待宰区定期清洗，屠宰过程中产生的鸡粪便及肠内容物及时清理；定期在屠宰车间喷洒消毒剂及空气清洁剂，并对车间地面和设备定期清洗。待宰区、屠宰车间、污水处理站恶臭经采取措施后，各污染物浓度应达到《恶臭污染物排放标准》（GB14554-93）表 1 二级新扩改建恶臭污染物厂界标准值。</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zh-CN" w:eastAsia="zh-CN" w:bidi="zh-CN"/>
          <w14:textFill>
            <w14:solidFill>
              <w14:schemeClr w14:val="tx1"/>
            </w14:solidFill>
          </w14:textFill>
        </w:rPr>
      </w:pPr>
      <w:r>
        <w:rPr>
          <w:rFonts w:ascii="仿宋" w:hAnsi="仿宋" w:eastAsia="仿宋" w:cs="仿宋"/>
          <w:color w:val="000000" w:themeColor="text1"/>
          <w:spacing w:val="-12"/>
          <w:sz w:val="32"/>
          <w:szCs w:val="32"/>
          <w:lang w:val="zh-CN" w:eastAsia="zh-CN" w:bidi="zh-CN"/>
          <w14:textFill>
            <w14:solidFill>
              <w14:schemeClr w14:val="tx1"/>
            </w14:solidFill>
          </w14:textFill>
        </w:rPr>
        <w:t>4、废水：</w:t>
      </w:r>
      <w:r>
        <w:rPr>
          <w:rFonts w:hint="eastAsia" w:ascii="仿宋" w:hAnsi="仿宋" w:eastAsia="仿宋" w:cs="仿宋"/>
          <w:color w:val="000000" w:themeColor="text1"/>
          <w:spacing w:val="-12"/>
          <w:sz w:val="32"/>
          <w:szCs w:val="32"/>
          <w:lang w:val="zh-CN" w:eastAsia="zh-CN" w:bidi="zh-CN"/>
          <w14:textFill>
            <w14:solidFill>
              <w14:schemeClr w14:val="tx1"/>
            </w14:solidFill>
          </w14:textFill>
        </w:rPr>
        <w:t>改扩建项目在厂区南部新建污水处理站1座，设计处理能力为 500m3/d，处理工艺为”格栅+隔油+调节+气浮+混凝沉淀+两级 AO（接触法）+沉淀+消毒”。屠宰废水经隔油池处理后,生活污水经化粪池后，与锅炉排水、喷淋塔排水一起进入污水处理站处理，出水应达到《农田灌溉水质标准》（GB5084-2005）中旱作标准和《城市污水再生利用 城市杂用水水质》GB/T 18920-2020）表1中绿化用水标准，达标出水春、夏、秋季用于厂区绿化和由罐车运至河北大午农业科技园开发有限公司田地进行灌溉；冬季除灌溉棚地外，其余储存在储水池中用作第二年田地灌溉。</w:t>
      </w:r>
    </w:p>
    <w:p>
      <w:pPr>
        <w:keepNext w:val="0"/>
        <w:keepLines w:val="0"/>
        <w:pageBreakBefore w:val="0"/>
        <w:widowControl w:val="0"/>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zh-CN" w:eastAsia="zh-CN" w:bidi="zh-CN"/>
          <w14:textFill>
            <w14:solidFill>
              <w14:schemeClr w14:val="tx1"/>
            </w14:solidFill>
          </w14:textFill>
        </w:rPr>
      </w:pPr>
      <w:r>
        <w:rPr>
          <w:rFonts w:hint="eastAsia" w:ascii="仿宋" w:hAnsi="仿宋" w:eastAsia="仿宋" w:cs="仿宋"/>
          <w:color w:val="000000" w:themeColor="text1"/>
          <w:spacing w:val="-12"/>
          <w:sz w:val="32"/>
          <w:szCs w:val="32"/>
          <w:lang w:val="zh-CN" w:eastAsia="zh-CN" w:bidi="zh-CN"/>
          <w14:textFill>
            <w14:solidFill>
              <w14:schemeClr w14:val="tx1"/>
            </w14:solidFill>
          </w14:textFill>
        </w:rPr>
        <w:t>针对项目可能发生的地下水污染，建设单位对地下水污染防治措施按照“源头控制、分区防治、污染监控、应急响应”相结合的原则采取防治措施；项目地下水污染防治措施应符合《环境影响评价技术导则-地下水环境》（HJ610-2016）的要求。</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5" w:line="520" w:lineRule="exact"/>
        <w:ind w:left="120" w:right="257" w:firstLine="559"/>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噪声：优先选用低噪声设备，车间设备置于车间内，采取基础减振、厂房隔声等措施；风机、水泵置于隔声间内，底座固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5" w:line="520" w:lineRule="exact"/>
        <w:ind w:right="257" w:rightChars="0"/>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振。经采取上述措施后，再经距离衰减，改扩建完成后南厂界噪声排放应符合《工业企业厂界环境噪声排放标准》（GB12348-2008）4 类标准要求，其余厂界噪声排放满足3类标准。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5" w:line="520" w:lineRule="exact"/>
        <w:ind w:right="257" w:rightChars="0" w:firstLine="592" w:firstLineChars="200"/>
        <w:textAlignment w:val="auto"/>
        <w:outlineLvl w:val="9"/>
        <w:rPr>
          <w:rFonts w:hint="eastAsia" w:ascii="仿宋" w:hAnsi="仿宋" w:eastAsia="仿宋" w:cs="仿宋"/>
          <w:color w:val="000000" w:themeColor="text1"/>
          <w:spacing w:val="-12"/>
          <w:sz w:val="32"/>
          <w:szCs w:val="32"/>
          <w:lang w:val="en-US" w:eastAsia="zh-CN" w:bidi="zh-CN"/>
          <w14:textFill>
            <w14:solidFill>
              <w14:schemeClr w14:val="tx1"/>
            </w14:solidFill>
          </w14:textFill>
        </w:rPr>
      </w:pPr>
      <w:r>
        <w:rPr>
          <w:rFonts w:hint="eastAsia" w:ascii="仿宋" w:hAnsi="仿宋" w:eastAsia="仿宋" w:cs="仿宋"/>
          <w:color w:val="000000" w:themeColor="text1"/>
          <w:spacing w:val="-12"/>
          <w:sz w:val="32"/>
          <w:szCs w:val="32"/>
          <w:lang w:val="en-US" w:eastAsia="zh-CN" w:bidi="zh-CN"/>
          <w14:textFill>
            <w14:solidFill>
              <w14:schemeClr w14:val="tx1"/>
            </w14:solidFill>
          </w14:textFill>
        </w:rPr>
        <w:t>6、固废：鸡粪便分别收集后交由肥业公司处理；病死鸡、肠内容物、鸡内脏清理下的游离脂肪、组织等，收集后由无害化处理公司处理；鸡毛收集后外售；栅渣和污泥，脱水消毒后运至肥业公司制作肥料；废活性炭收集后由厂家回收；废包装袋收集后外售；废包装桶收集后厂家回收；生活垃圾由环卫部门统一处理。危险废物污水自动监测废液暂存于危废暂存间，交具有危废处置资质单位处置。项目产生的固体废物均妥善处置，不对周围环境产生影响。</w:t>
      </w:r>
    </w:p>
    <w:p>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五、项目卫生防护距离范围内，严禁规划建设居民住宅、学校、医院等环境敏感建筑。</w:t>
      </w:r>
    </w:p>
    <w:p>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六、污染物排放总量控制结论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163" w:rightChars="0" w:firstLine="640" w:firstLineChars="200"/>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项目建成后全厂污染物排放总量控制指标为： COD 0t/a，氨氮0t/a，总氮 0t/a，总磷 0t/a，颗粒物 0t/a，SO 2 0t/a，NO x 0t/a，VOC S 0t/a。</w:t>
      </w:r>
    </w:p>
    <w:p>
      <w:pPr>
        <w:keepNext w:val="0"/>
        <w:keepLines w:val="0"/>
        <w:pageBreakBefore w:val="0"/>
        <w:widowControl w:val="0"/>
        <w:numPr>
          <w:ilvl w:val="0"/>
          <w:numId w:val="3"/>
        </w:numPr>
        <w:kinsoku/>
        <w:wordWrap/>
        <w:overflowPunct/>
        <w:topLinePunct w:val="0"/>
        <w:autoSpaceDE w:val="0"/>
        <w:autoSpaceDN w:val="0"/>
        <w:bidi w:val="0"/>
        <w:adjustRightInd/>
        <w:snapToGrid/>
        <w:spacing w:line="520" w:lineRule="exact"/>
        <w:ind w:left="120" w:right="163"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项目建成后应先行按照排污许可管理要求办理排污许可证，并按规定程序实施竣工环境保护验收。</w:t>
      </w:r>
    </w:p>
    <w:p>
      <w:pPr>
        <w:keepNext w:val="0"/>
        <w:keepLines w:val="0"/>
        <w:pageBreakBefore w:val="0"/>
        <w:widowControl w:val="0"/>
        <w:numPr>
          <w:ilvl w:val="0"/>
          <w:numId w:val="3"/>
        </w:numPr>
        <w:kinsoku/>
        <w:wordWrap/>
        <w:overflowPunct/>
        <w:topLinePunct w:val="0"/>
        <w:autoSpaceDE w:val="0"/>
        <w:autoSpaceDN w:val="0"/>
        <w:bidi w:val="0"/>
        <w:adjustRightInd/>
        <w:snapToGrid/>
        <w:spacing w:line="520" w:lineRule="exact"/>
        <w:ind w:left="120" w:right="163"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请保定市生态环境局徐水区分局负责项目的日常监督</w:t>
      </w:r>
      <w:r>
        <w:rPr>
          <w:rFonts w:hint="eastAsia" w:ascii="仿宋" w:hAnsi="仿宋" w:eastAsia="仿宋" w:cs="仿宋"/>
          <w:color w:val="000000" w:themeColor="text1"/>
          <w:sz w:val="32"/>
          <w:szCs w:val="32"/>
          <w:lang w:val="zh-CN" w:eastAsia="zh-CN" w:bidi="zh-CN"/>
          <w14:textFill>
            <w14:solidFill>
              <w14:schemeClr w14:val="tx1"/>
            </w14:solidFill>
          </w14:textFill>
        </w:rPr>
        <w:t>管理。</w:t>
      </w:r>
    </w:p>
    <w:p>
      <w:pPr>
        <w:keepNext w:val="0"/>
        <w:keepLines w:val="0"/>
        <w:pageBreakBefore w:val="0"/>
        <w:widowControl w:val="0"/>
        <w:numPr>
          <w:ilvl w:val="0"/>
          <w:numId w:val="3"/>
        </w:numPr>
        <w:kinsoku/>
        <w:wordWrap/>
        <w:overflowPunct/>
        <w:topLinePunct w:val="0"/>
        <w:autoSpaceDE w:val="0"/>
        <w:autoSpaceDN w:val="0"/>
        <w:bidi w:val="0"/>
        <w:adjustRightInd/>
        <w:snapToGrid/>
        <w:spacing w:line="520" w:lineRule="exact"/>
        <w:ind w:left="120" w:right="163" w:firstLine="559"/>
        <w:textAlignment w:val="auto"/>
        <w:outlineLvl w:val="9"/>
        <w:rPr>
          <w:rFonts w:ascii="仿宋" w:hAnsi="仿宋" w:eastAsia="仿宋" w:cs="仿宋"/>
          <w:color w:val="000000" w:themeColor="text1"/>
          <w:sz w:val="32"/>
          <w:szCs w:val="32"/>
          <w:lang w:val="zh-CN" w:eastAsia="zh-CN" w:bidi="zh-CN"/>
          <w14:textFill>
            <w14:solidFill>
              <w14:schemeClr w14:val="tx1"/>
            </w14:solidFill>
          </w14:textFill>
        </w:rPr>
      </w:pPr>
      <w:r>
        <w:rPr>
          <w:rFonts w:ascii="仿宋" w:hAnsi="仿宋" w:eastAsia="仿宋" w:cs="仿宋"/>
          <w:color w:val="000000" w:themeColor="text1"/>
          <w:sz w:val="32"/>
          <w:szCs w:val="32"/>
          <w:lang w:val="zh-CN" w:eastAsia="zh-CN" w:bidi="zh-CN"/>
          <w14:textFill>
            <w14:solidFill>
              <w14:schemeClr w14:val="tx1"/>
            </w14:solidFill>
          </w14:textFill>
        </w:rPr>
        <w:t>你单位应在收到本批复起10个工作日内，将环境影响报告</w:t>
      </w:r>
      <w:r>
        <w:rPr>
          <w:rFonts w:hint="eastAsia" w:ascii="仿宋" w:hAnsi="仿宋" w:eastAsia="仿宋" w:cs="仿宋"/>
          <w:color w:val="000000" w:themeColor="text1"/>
          <w:spacing w:val="-8"/>
          <w:sz w:val="32"/>
          <w:szCs w:val="32"/>
          <w:lang w:val="zh-CN" w:eastAsia="zh-CN" w:bidi="zh-CN"/>
          <w14:textFill>
            <w14:solidFill>
              <w14:schemeClr w14:val="tx1"/>
            </w14:solidFill>
          </w14:textFill>
        </w:rPr>
        <w:t>书</w:t>
      </w:r>
      <w:r>
        <w:rPr>
          <w:rFonts w:ascii="仿宋" w:hAnsi="仿宋" w:eastAsia="仿宋" w:cs="仿宋"/>
          <w:color w:val="000000" w:themeColor="text1"/>
          <w:spacing w:val="-8"/>
          <w:sz w:val="32"/>
          <w:szCs w:val="32"/>
          <w:lang w:val="zh-CN" w:eastAsia="zh-CN" w:bidi="zh-CN"/>
          <w14:textFill>
            <w14:solidFill>
              <w14:schemeClr w14:val="tx1"/>
            </w14:solidFill>
          </w14:textFill>
        </w:rPr>
        <w:t>及批复送保定市生态环境局徐水区分局，并按规定接受各级生态</w:t>
      </w:r>
      <w:r>
        <w:rPr>
          <w:rFonts w:hint="eastAsia" w:ascii="仿宋" w:hAnsi="仿宋" w:eastAsia="仿宋" w:cs="仿宋"/>
          <w:color w:val="000000" w:themeColor="text1"/>
          <w:spacing w:val="-8"/>
          <w:sz w:val="32"/>
          <w:szCs w:val="32"/>
          <w:lang w:val="zh-CN" w:eastAsia="zh-CN" w:bidi="zh-CN"/>
          <w14:textFill>
            <w14:solidFill>
              <w14:schemeClr w14:val="tx1"/>
            </w14:solidFill>
          </w14:textFill>
        </w:rPr>
        <w:t>环</w:t>
      </w:r>
      <w:r>
        <w:rPr>
          <w:rFonts w:ascii="仿宋" w:hAnsi="仿宋" w:eastAsia="仿宋" w:cs="仿宋"/>
          <w:color w:val="000000" w:themeColor="text1"/>
          <w:spacing w:val="-3"/>
          <w:sz w:val="32"/>
          <w:szCs w:val="32"/>
          <w:lang w:val="zh-CN" w:eastAsia="zh-CN" w:bidi="zh-CN"/>
          <w14:textFill>
            <w14:solidFill>
              <w14:schemeClr w14:val="tx1"/>
            </w14:solidFill>
          </w14:textFill>
        </w:rPr>
        <w:t>境部门的监督检查。</w:t>
      </w:r>
    </w:p>
    <w:p>
      <w:pPr>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保定市徐水区行政审批局</w:t>
      </w:r>
    </w:p>
    <w:p>
      <w:pPr>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ascii="仿宋" w:hAnsi="仿宋" w:eastAsia="仿宋" w:cs="仿宋"/>
          <w:color w:val="000000" w:themeColor="text1"/>
          <w:sz w:val="32"/>
          <w:szCs w:val="32"/>
          <w:lang w:val="en-US" w:eastAsia="zh-CN" w:bidi="zh-CN"/>
          <w14:textFill>
            <w14:solidFill>
              <w14:schemeClr w14:val="tx1"/>
            </w14:solidFill>
          </w14:textFill>
        </w:rPr>
      </w:pPr>
      <w:r>
        <w:rPr>
          <w:rFonts w:hint="eastAsia" w:ascii="仿宋" w:hAnsi="仿宋" w:eastAsia="仿宋" w:cs="仿宋"/>
          <w:color w:val="000000" w:themeColor="text1"/>
          <w:sz w:val="32"/>
          <w:szCs w:val="32"/>
          <w:lang w:val="en-US" w:eastAsia="zh-CN" w:bidi="zh-CN"/>
          <w14:textFill>
            <w14:solidFill>
              <w14:schemeClr w14:val="tx1"/>
            </w14:solidFill>
          </w14:textFill>
        </w:rPr>
        <w:t>2021年3月29日</w:t>
      </w:r>
    </w:p>
    <w:p>
      <w:pPr>
        <w:widowControl w:val="0"/>
        <w:numPr>
          <w:ilvl w:val="0"/>
          <w:numId w:val="0"/>
        </w:numPr>
        <w:tabs>
          <w:tab w:val="left" w:pos="2040"/>
        </w:tabs>
        <w:autoSpaceDE w:val="0"/>
        <w:autoSpaceDN w:val="0"/>
        <w:rPr>
          <w:rFonts w:hint="eastAsia" w:ascii="仿宋" w:hAnsi="仿宋" w:eastAsia="仿宋" w:cs="仿宋"/>
          <w:color w:val="000000" w:themeColor="text1"/>
          <w:sz w:val="32"/>
          <w:szCs w:val="32"/>
          <w:lang w:val="en-US" w:eastAsia="zh-CN" w:bidi="zh-CN"/>
          <w14:textFill>
            <w14:solidFill>
              <w14:schemeClr w14:val="tx1"/>
            </w14:solidFill>
          </w14:textFill>
        </w:rPr>
      </w:pPr>
    </w:p>
    <w:p>
      <w:pPr>
        <w:widowControl w:val="0"/>
        <w:numPr>
          <w:ilvl w:val="0"/>
          <w:numId w:val="0"/>
        </w:numPr>
        <w:tabs>
          <w:tab w:val="left" w:pos="2040"/>
        </w:tabs>
        <w:autoSpaceDE w:val="0"/>
        <w:autoSpaceDN w:val="0"/>
        <w:rPr>
          <w:rFonts w:hint="eastAsia" w:ascii="仿宋" w:hAnsi="仿宋" w:eastAsia="仿宋" w:cs="仿宋"/>
          <w:color w:val="000000" w:themeColor="text1"/>
          <w:sz w:val="32"/>
          <w:szCs w:val="32"/>
          <w:lang w:val="en-US" w:eastAsia="zh-CN" w:bidi="zh-CN"/>
          <w14:textFill>
            <w14:solidFill>
              <w14:schemeClr w14:val="tx1"/>
            </w14:solidFill>
          </w14:textFill>
        </w:rPr>
      </w:pPr>
    </w:p>
    <w:p>
      <w:pPr>
        <w:widowControl w:val="0"/>
        <w:numPr>
          <w:ilvl w:val="0"/>
          <w:numId w:val="0"/>
        </w:numPr>
        <w:tabs>
          <w:tab w:val="left" w:pos="2040"/>
        </w:tabs>
        <w:autoSpaceDE w:val="0"/>
        <w:autoSpaceDN w:val="0"/>
        <w:rPr>
          <w:rFonts w:hint="eastAsia" w:ascii="仿宋" w:hAnsi="仿宋" w:eastAsia="仿宋" w:cs="仿宋"/>
          <w:color w:val="000000" w:themeColor="text1"/>
          <w:sz w:val="32"/>
          <w:szCs w:val="32"/>
          <w:lang w:val="en-US" w:eastAsia="zh-CN" w:bidi="zh-CN"/>
          <w14:textFill>
            <w14:solidFill>
              <w14:schemeClr w14:val="tx1"/>
            </w14:solidFill>
          </w14:textFill>
        </w:rPr>
      </w:pPr>
    </w:p>
    <w:p>
      <w:pPr>
        <w:widowControl w:val="0"/>
        <w:numPr>
          <w:ilvl w:val="0"/>
          <w:numId w:val="0"/>
        </w:numPr>
        <w:tabs>
          <w:tab w:val="left" w:pos="2040"/>
        </w:tabs>
        <w:autoSpaceDE w:val="0"/>
        <w:autoSpaceDN w:val="0"/>
        <w:rPr>
          <w:rFonts w:hint="eastAsia" w:ascii="仿宋" w:hAnsi="仿宋" w:eastAsia="仿宋" w:cs="仿宋"/>
          <w:color w:val="000000" w:themeColor="text1"/>
          <w:sz w:val="32"/>
          <w:szCs w:val="32"/>
          <w:lang w:val="en-US" w:eastAsia="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bookmarkStart w:id="1" w:name="_GoBack"/>
      <w:bookmarkEnd w:id="1"/>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tabs>
          <w:tab w:val="left" w:pos="4739"/>
        </w:tabs>
        <w:autoSpaceDE w:val="0"/>
        <w:autoSpaceDN w:val="0"/>
        <w:spacing w:before="14"/>
        <w:jc w:val="left"/>
        <w:rPr>
          <w:rFonts w:ascii="仿宋" w:hAnsi="仿宋" w:eastAsia="仿宋" w:cs="仿宋"/>
          <w:color w:val="000000" w:themeColor="text1"/>
          <w:kern w:val="0"/>
          <w:sz w:val="21"/>
          <w:szCs w:val="22"/>
          <w:lang w:val="zh-CN" w:bidi="zh-CN"/>
          <w14:textFill>
            <w14:solidFill>
              <w14:schemeClr w14:val="tx1"/>
            </w14:solidFill>
          </w14:textFill>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rFonts w:hint="eastAsia" w:ascii="仿宋" w:hAnsi="仿宋" w:eastAsia="仿宋" w:cs="仿宋"/>
          <w:color w:val="000000" w:themeColor="text1"/>
          <w:spacing w:val="-2"/>
          <w:kern w:val="0"/>
          <w:sz w:val="21"/>
          <w:szCs w:val="22"/>
          <w:lang w:val="zh-CN" w:bidi="zh-CN"/>
          <w14:textFill>
            <w14:solidFill>
              <w14:schemeClr w14:val="tx1"/>
            </w14:solidFill>
          </w14:textFill>
        </w:rPr>
        <w:sectPr>
          <w:footerReference r:id="rId3" w:type="default"/>
          <w:pgSz w:w="11910" w:h="16840"/>
          <w:pgMar w:top="1580" w:right="1540" w:bottom="280" w:left="1680" w:header="1020" w:footer="1134" w:gutter="0"/>
          <w:cols w:space="720" w:num="1"/>
        </w:sectPr>
      </w:pPr>
      <w:r>
        <w:rPr>
          <w:rFonts w:ascii="仿宋" w:hAnsi="仿宋" w:eastAsia="仿宋" w:cs="仿宋"/>
          <w:color w:val="000000" w:themeColor="text1"/>
          <w:kern w:val="0"/>
          <w:sz w:val="22"/>
          <w:szCs w:val="22"/>
          <w:lang w:val="en-US" w:bidi="ar-SA"/>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8240;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rFonts w:ascii="仿宋" w:hAnsi="仿宋" w:eastAsia="仿宋" w:cs="仿宋"/>
          <w:color w:val="000000" w:themeColor="text1"/>
          <w:kern w:val="0"/>
          <w:sz w:val="21"/>
          <w:szCs w:val="22"/>
          <w:lang w:val="zh-CN" w:bidi="zh-CN"/>
          <w14:textFill>
            <w14:solidFill>
              <w14:schemeClr w14:val="tx1"/>
            </w14:solidFill>
          </w14:textFill>
        </w:rPr>
        <w:t>抄送：保定市生态环境局徐水区分局</w:t>
      </w:r>
      <w:r>
        <w:rPr>
          <w:rFonts w:ascii="仿宋" w:hAnsi="仿宋" w:eastAsia="仿宋" w:cs="仿宋"/>
          <w:color w:val="000000" w:themeColor="text1"/>
          <w:kern w:val="0"/>
          <w:sz w:val="21"/>
          <w:szCs w:val="22"/>
          <w:lang w:val="zh-CN" w:bidi="zh-CN"/>
          <w14:textFill>
            <w14:solidFill>
              <w14:schemeClr w14:val="tx1"/>
            </w14:solidFill>
          </w14:textFill>
        </w:rPr>
        <w:tab/>
      </w:r>
      <w:r>
        <w:rPr>
          <w:rFonts w:hint="eastAsia" w:ascii="仿宋" w:hAnsi="仿宋" w:eastAsia="仿宋" w:cs="仿宋"/>
          <w:color w:val="000000" w:themeColor="text1"/>
          <w:kern w:val="0"/>
          <w:sz w:val="21"/>
          <w:szCs w:val="22"/>
          <w:lang w:val="en-US" w:bidi="zh-CN"/>
          <w14:textFill>
            <w14:solidFill>
              <w14:schemeClr w14:val="tx1"/>
            </w14:solidFill>
          </w14:textFill>
        </w:rPr>
        <w:t xml:space="preserve">            </w:t>
      </w:r>
      <w:r>
        <w:rPr>
          <w:rFonts w:hint="eastAsia" w:ascii="仿宋" w:hAnsi="仿宋" w:eastAsia="仿宋" w:cs="仿宋"/>
          <w:color w:val="000000" w:themeColor="text1"/>
          <w:kern w:val="0"/>
          <w:sz w:val="21"/>
          <w:szCs w:val="22"/>
          <w:lang w:val="zh-CN" w:bidi="zh-CN"/>
          <w14:textFill>
            <w14:solidFill>
              <w14:schemeClr w14:val="tx1"/>
            </w14:solidFill>
          </w14:textFill>
        </w:rPr>
        <w:t>河北大午畜禽屠宰有限公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rPr>
        <w:rFonts w:ascii="仿宋" w:hAnsi="仿宋" w:eastAsia="仿宋" w:cs="仿宋"/>
        <w:sz w:val="18"/>
        <w:szCs w:val="18"/>
        <w:lang w:val="zh-CN" w:eastAsia="zh-CN" w:bidi="zh-CN"/>
      </w:rPr>
    </w:pPr>
    <w:r>
      <w:rPr>
        <w:rFonts w:ascii="仿宋" w:hAnsi="仿宋" w:eastAsia="仿宋" w:cs="仿宋"/>
        <w:sz w:val="18"/>
        <w:szCs w:val="18"/>
        <w:lang w:val="zh-CN" w:eastAsia="zh-CN" w:bidi="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utoSpaceDE w:val="0"/>
                            <w:autoSpaceDN w:val="0"/>
                            <w:snapToGrid w:val="0"/>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fldChar w:fldCharType="begin"/>
                          </w:r>
                          <w:r>
                            <w:rPr>
                              <w:rFonts w:hint="eastAsia" w:ascii="仿宋" w:hAnsi="仿宋" w:eastAsia="仿宋" w:cs="仿宋"/>
                              <w:sz w:val="18"/>
                              <w:szCs w:val="18"/>
                              <w:lang w:val="zh-CN" w:eastAsia="zh-CN" w:bidi="zh-CN"/>
                            </w:rPr>
                            <w:instrText xml:space="preserve"> PAGE  \* MERGEFORMAT </w:instrText>
                          </w:r>
                          <w:r>
                            <w:rPr>
                              <w:rFonts w:hint="eastAsia" w:ascii="仿宋" w:hAnsi="仿宋" w:eastAsia="仿宋" w:cs="仿宋"/>
                              <w:sz w:val="18"/>
                              <w:szCs w:val="18"/>
                              <w:lang w:val="zh-CN" w:eastAsia="zh-CN" w:bidi="zh-CN"/>
                            </w:rPr>
                            <w:fldChar w:fldCharType="separate"/>
                          </w:r>
                          <w:r>
                            <w:rPr>
                              <w:rFonts w:hint="eastAsia" w:ascii="仿宋" w:hAnsi="仿宋" w:eastAsia="仿宋" w:cs="仿宋"/>
                              <w:sz w:val="18"/>
                              <w:szCs w:val="18"/>
                              <w:lang w:val="zh-CN" w:eastAsia="zh-CN" w:bidi="zh-CN"/>
                            </w:rPr>
                            <w:t>1</w:t>
                          </w:r>
                          <w:r>
                            <w:rPr>
                              <w:rFonts w:hint="eastAsia" w:ascii="仿宋" w:hAnsi="仿宋" w:eastAsia="仿宋" w:cs="仿宋"/>
                              <w:sz w:val="18"/>
                              <w:szCs w:val="18"/>
                              <w:lang w:val="zh-CN" w:eastAsia="zh-CN" w:bidi="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fldChar w:fldCharType="begin"/>
                    </w:r>
                    <w:r>
                      <w:rPr>
                        <w:rFonts w:hint="eastAsia" w:ascii="仿宋" w:hAnsi="仿宋" w:eastAsia="仿宋" w:cs="仿宋"/>
                        <w:sz w:val="18"/>
                        <w:szCs w:val="18"/>
                        <w:lang w:val="zh-CN" w:eastAsia="zh-CN" w:bidi="zh-CN"/>
                      </w:rPr>
                      <w:instrText xml:space="preserve"> PAGE  \* MERGEFORMAT </w:instrText>
                    </w:r>
                    <w:r>
                      <w:rPr>
                        <w:rFonts w:hint="eastAsia" w:ascii="仿宋" w:hAnsi="仿宋" w:eastAsia="仿宋" w:cs="仿宋"/>
                        <w:sz w:val="18"/>
                        <w:szCs w:val="18"/>
                        <w:lang w:val="zh-CN" w:eastAsia="zh-CN" w:bidi="zh-CN"/>
                      </w:rPr>
                      <w:fldChar w:fldCharType="separate"/>
                    </w:r>
                    <w:r>
                      <w:rPr>
                        <w:rFonts w:hint="eastAsia" w:ascii="仿宋" w:hAnsi="仿宋" w:eastAsia="仿宋" w:cs="仿宋"/>
                        <w:sz w:val="18"/>
                        <w:szCs w:val="18"/>
                        <w:lang w:val="zh-CN" w:eastAsia="zh-CN" w:bidi="zh-CN"/>
                      </w:rPr>
                      <w:t>1</w:t>
                    </w:r>
                    <w:r>
                      <w:rPr>
                        <w:rFonts w:hint="eastAsia" w:ascii="仿宋" w:hAnsi="仿宋" w:eastAsia="仿宋" w:cs="仿宋"/>
                        <w:sz w:val="18"/>
                        <w:szCs w:val="18"/>
                        <w:lang w:val="zh-CN" w:eastAsia="zh-CN" w:bidi="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3F0F"/>
    <w:multiLevelType w:val="singleLevel"/>
    <w:tmpl w:val="0C363F0F"/>
    <w:lvl w:ilvl="0" w:tentative="0">
      <w:start w:val="5"/>
      <w:numFmt w:val="decimal"/>
      <w:suff w:val="nothing"/>
      <w:lvlText w:val="%1、"/>
      <w:lvlJc w:val="left"/>
    </w:lvl>
  </w:abstractNum>
  <w:abstractNum w:abstractNumId="1">
    <w:nsid w:val="5207011B"/>
    <w:multiLevelType w:val="singleLevel"/>
    <w:tmpl w:val="5207011B"/>
    <w:lvl w:ilvl="0" w:tentative="0">
      <w:start w:val="1"/>
      <w:numFmt w:val="chineseCounting"/>
      <w:suff w:val="nothing"/>
      <w:lvlText w:val="%1、"/>
      <w:lvlJc w:val="left"/>
      <w:rPr>
        <w:rFonts w:hint="eastAsia"/>
      </w:rPr>
    </w:lvl>
  </w:abstractNum>
  <w:abstractNum w:abstractNumId="2">
    <w:nsid w:val="54F24B03"/>
    <w:multiLevelType w:val="singleLevel"/>
    <w:tmpl w:val="54F24B03"/>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84416"/>
    <w:rsid w:val="0AE33A45"/>
    <w:rsid w:val="0CAA4133"/>
    <w:rsid w:val="0FCE135E"/>
    <w:rsid w:val="13836FB7"/>
    <w:rsid w:val="15AA414B"/>
    <w:rsid w:val="164E56C3"/>
    <w:rsid w:val="1A6676F4"/>
    <w:rsid w:val="1AA17807"/>
    <w:rsid w:val="1E1D3D6F"/>
    <w:rsid w:val="1F823770"/>
    <w:rsid w:val="20A8204A"/>
    <w:rsid w:val="247734FB"/>
    <w:rsid w:val="24C76370"/>
    <w:rsid w:val="27784416"/>
    <w:rsid w:val="288A76ED"/>
    <w:rsid w:val="2976380B"/>
    <w:rsid w:val="2A353965"/>
    <w:rsid w:val="41383CFE"/>
    <w:rsid w:val="4BEC5022"/>
    <w:rsid w:val="4FDE3688"/>
    <w:rsid w:val="7DF7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2021-03-01T00:48:00Z</dcterms:created>
  <dc:creator>波妞</dc:creator>
  <cp:lastModifiedBy>Administrator</cp:lastModifiedBy>
  <cp:lastPrinted>2021-03-17T08:17:00Z</cp:lastPrinted>
  <dcterms:modified xsi:type="dcterms:W3CDTF">2021-03-18T02:25:00Z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