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《徐水区</w:t>
      </w:r>
      <w:r>
        <w:rPr>
          <w:sz w:val="52"/>
          <w:szCs w:val="52"/>
        </w:rPr>
        <w:t>停车场建设发展规划</w:t>
      </w:r>
      <w:bookmarkEnd w:id="0"/>
      <w:r>
        <w:rPr>
          <w:rFonts w:hint="eastAsia"/>
          <w:sz w:val="52"/>
          <w:szCs w:val="52"/>
        </w:rPr>
        <w:t>(2020-2035年)》（草案）主要内容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cs="Times New Roman" w:asciiTheme="minorEastAsia" w:hAnsiTheme="minorEastAsia"/>
          <w:sz w:val="30"/>
          <w:szCs w:val="30"/>
        </w:rPr>
        <w:t>规划</w:t>
      </w:r>
      <w:r>
        <w:rPr>
          <w:rFonts w:hint="eastAsia" w:cs="Times New Roman" w:asciiTheme="minorEastAsia" w:hAnsiTheme="minorEastAsia"/>
          <w:sz w:val="30"/>
          <w:szCs w:val="30"/>
        </w:rPr>
        <w:t>范围和年限</w:t>
      </w:r>
    </w:p>
    <w:p>
      <w:pPr>
        <w:pStyle w:val="10"/>
        <w:spacing w:beforeLines="0" w:afterLines="0" w:line="360" w:lineRule="auto"/>
        <w:ind w:left="420" w:firstLine="0" w:firstLineChars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规划范围与《</w:t>
      </w:r>
      <w:r>
        <w:rPr>
          <w:rFonts w:hint="eastAsia" w:cs="Times New Roman" w:asciiTheme="minorEastAsia" w:hAnsiTheme="minorEastAsia" w:eastAsiaTheme="minorEastAsia"/>
        </w:rPr>
        <w:t>徐水县</w:t>
      </w:r>
      <w:r>
        <w:rPr>
          <w:rFonts w:cs="Times New Roman" w:asciiTheme="minorEastAsia" w:hAnsiTheme="minorEastAsia" w:eastAsiaTheme="minorEastAsia"/>
        </w:rPr>
        <w:t>城</w:t>
      </w:r>
      <w:r>
        <w:rPr>
          <w:rFonts w:hint="eastAsia" w:cs="Times New Roman" w:asciiTheme="minorEastAsia" w:hAnsiTheme="minorEastAsia" w:eastAsiaTheme="minorEastAsia"/>
        </w:rPr>
        <w:t>乡</w:t>
      </w:r>
      <w:r>
        <w:rPr>
          <w:rFonts w:cs="Times New Roman" w:asciiTheme="minorEastAsia" w:hAnsiTheme="minorEastAsia" w:eastAsiaTheme="minorEastAsia"/>
        </w:rPr>
        <w:t>总体规划（201</w:t>
      </w: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cs="Times New Roman" w:asciiTheme="minorEastAsia" w:hAnsiTheme="minorEastAsia" w:eastAsiaTheme="minorEastAsia"/>
        </w:rPr>
        <w:t>-20</w:t>
      </w:r>
      <w:r>
        <w:rPr>
          <w:rFonts w:hint="eastAsia" w:cs="Times New Roman" w:asciiTheme="minorEastAsia" w:hAnsiTheme="minorEastAsia" w:eastAsiaTheme="minorEastAsia"/>
        </w:rPr>
        <w:t>3</w:t>
      </w:r>
      <w:r>
        <w:rPr>
          <w:rFonts w:cs="Times New Roman" w:asciiTheme="minorEastAsia" w:hAnsiTheme="minorEastAsia" w:eastAsiaTheme="minorEastAsia"/>
        </w:rPr>
        <w:t>0）》的中心城区一致。</w:t>
      </w:r>
    </w:p>
    <w:p>
      <w:pPr>
        <w:pStyle w:val="10"/>
        <w:spacing w:beforeLines="0" w:afterLines="0" w:line="360" w:lineRule="auto"/>
        <w:ind w:left="420" w:firstLine="0" w:firstLineChars="0"/>
        <w:rPr>
          <w:rFonts w:cs="Times New Roman" w:asciiTheme="minorEastAsia" w:hAnsiTheme="minorEastAsia" w:eastAsiaTheme="minorEastAsia"/>
        </w:rPr>
      </w:pPr>
      <w:r>
        <w:rPr>
          <w:rFonts w:cs="Times New Roman" w:asciiTheme="minorEastAsia" w:hAnsiTheme="minorEastAsia" w:eastAsiaTheme="minorEastAsia"/>
        </w:rPr>
        <w:t>规划期限</w:t>
      </w:r>
      <w:r>
        <w:rPr>
          <w:rFonts w:hint="eastAsia" w:cs="Times New Roman" w:asciiTheme="minorEastAsia" w:hAnsiTheme="minorEastAsia" w:eastAsiaTheme="minorEastAsia"/>
        </w:rPr>
        <w:t>2020年-2035年。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规划重点与内容</w:t>
      </w:r>
    </w:p>
    <w:p>
      <w:pPr>
        <w:pStyle w:val="10"/>
        <w:spacing w:beforeLines="0" w:afterLines="0" w:line="360" w:lineRule="auto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系统性分析中心城区机动车交通和各类停车设施的现状，提出徐水区中心城区停车设施发展的战略目标及分区发展战略，合理预测停车需求量，并明确各类停车设施提供的泊位量。规划公共停车场的布点、规模、供应泊位以及相应的管理机制。规划路内停车泊位设置形式、数量、停放时段以及管理机制。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分区发展策略</w:t>
      </w:r>
    </w:p>
    <w:p>
      <w:pPr>
        <w:pStyle w:val="10"/>
        <w:spacing w:beforeLines="0" w:afterLines="0" w:line="360" w:lineRule="auto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一般限制区</w:t>
      </w:r>
      <w:r>
        <w:rPr>
          <w:rFonts w:hint="eastAsia" w:cs="Times New Roman" w:asciiTheme="minorEastAsia" w:hAnsiTheme="minorEastAsia" w:eastAsiaTheme="minorEastAsia"/>
          <w:szCs w:val="21"/>
        </w:rPr>
        <w:t>：</w:t>
      </w:r>
      <w:r>
        <w:rPr>
          <w:rFonts w:cs="Times New Roman" w:asciiTheme="minorEastAsia" w:hAnsiTheme="minorEastAsia" w:eastAsiaTheme="minorEastAsia"/>
          <w:szCs w:val="21"/>
        </w:rPr>
        <w:t>指</w:t>
      </w:r>
      <w:r>
        <w:rPr>
          <w:rFonts w:hint="eastAsia" w:cs="Times New Roman" w:asciiTheme="minorEastAsia" w:hAnsiTheme="minorEastAsia" w:eastAsiaTheme="minorEastAsia"/>
          <w:szCs w:val="21"/>
        </w:rPr>
        <w:t>华龙路、晨阳大街、刘玲路、长城北大街围合</w:t>
      </w:r>
      <w:r>
        <w:rPr>
          <w:rFonts w:cs="Times New Roman" w:asciiTheme="minorEastAsia" w:hAnsiTheme="minorEastAsia" w:eastAsiaTheme="minorEastAsia"/>
          <w:szCs w:val="21"/>
        </w:rPr>
        <w:t>区域</w:t>
      </w:r>
      <w:r>
        <w:rPr>
          <w:rFonts w:hint="eastAsia" w:cs="Times New Roman" w:asciiTheme="minorEastAsia" w:hAnsiTheme="minorEastAsia" w:eastAsiaTheme="minorEastAsia"/>
          <w:szCs w:val="21"/>
        </w:rPr>
        <w:t>。</w:t>
      </w:r>
    </w:p>
    <w:p>
      <w:pPr>
        <w:pStyle w:val="10"/>
        <w:spacing w:beforeLines="0" w:afterLines="0" w:line="360" w:lineRule="auto"/>
        <w:rPr>
          <w:rFonts w:cs="Times New Roman" w:asciiTheme="minorEastAsia" w:hAnsiTheme="minorEastAsia" w:eastAsiaTheme="minorEastAsia"/>
          <w:szCs w:val="21"/>
        </w:rPr>
      </w:pPr>
      <w:r>
        <w:rPr>
          <w:rFonts w:cs="Times New Roman" w:asciiTheme="minorEastAsia" w:hAnsiTheme="minorEastAsia" w:eastAsiaTheme="minorEastAsia"/>
          <w:szCs w:val="21"/>
        </w:rPr>
        <w:t>适度发展区</w:t>
      </w:r>
      <w:r>
        <w:rPr>
          <w:rFonts w:hint="eastAsia" w:cs="Times New Roman" w:asciiTheme="minorEastAsia" w:hAnsiTheme="minorEastAsia" w:eastAsiaTheme="minorEastAsia"/>
          <w:szCs w:val="21"/>
        </w:rPr>
        <w:t>：</w:t>
      </w:r>
      <w:r>
        <w:rPr>
          <w:rFonts w:cs="Times New Roman" w:asciiTheme="minorEastAsia" w:hAnsiTheme="minorEastAsia" w:eastAsiaTheme="minorEastAsia"/>
          <w:szCs w:val="21"/>
        </w:rPr>
        <w:t>指主城区除上述地区以外的区域</w:t>
      </w:r>
      <w:r>
        <w:rPr>
          <w:rFonts w:hint="eastAsia" w:cs="Times New Roman" w:asciiTheme="minorEastAsia" w:hAnsiTheme="minorEastAsia" w:eastAsiaTheme="minorEastAsia"/>
          <w:szCs w:val="21"/>
        </w:rPr>
        <w:t>。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公共停车场规划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>为便于控规对应，在控规覆盖的区域内将停车设施落实到地块，现对本次控规依据图范围内的5个社会公共停车场的规划布局整理</w:t>
      </w:r>
      <w:r>
        <w:rPr>
          <w:rFonts w:hint="eastAsia" w:cs="Times New Roman" w:asciiTheme="minorEastAsia" w:hAnsiTheme="minorEastAsia" w:eastAsiaTheme="minorEastAsia"/>
        </w:rPr>
        <w:t>。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在停车供需矛盾特别突出，规划无社会公共停车场的地区，为了填补停车位缺口，建议利用城市绿地、广场，建设地下公共停车场，提高土地的利用率。对徐水区主城区内绿地进行梳理，近期适宜建设地下停车场的广场、绿地有7处。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路内停车规划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</w:rPr>
        <w:t xml:space="preserve">根据道路条件、现状交通流量以及道路两侧用地发展情况，制定路内停车方案。通过不断的强化路内停车管理，规范路内停车秩序，逐步地减小路内泊位的比例，考虑到路内停车的实际情况，远期规划将路内停车需求控制在5%左右。 </w:t>
      </w:r>
    </w:p>
    <w:p>
      <w:pPr>
        <w:pStyle w:val="11"/>
        <w:numPr>
          <w:ilvl w:val="0"/>
          <w:numId w:val="1"/>
        </w:numPr>
        <w:spacing w:before="50" w:line="360" w:lineRule="auto"/>
        <w:ind w:firstLineChars="0"/>
        <w:outlineLvl w:val="1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停车配建指标</w:t>
      </w:r>
    </w:p>
    <w:p>
      <w:pPr>
        <w:pStyle w:val="10"/>
        <w:spacing w:beforeLines="0" w:afterLines="0"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参照保定市综合交通规划以及河北省停车设施配置及建设导则，对徐水的停车配建指标进行调整。</w:t>
      </w:r>
    </w:p>
    <w:p>
      <w:pPr>
        <w:pStyle w:val="10"/>
        <w:spacing w:beforeLines="0" w:afterLines="0" w:line="360" w:lineRule="auto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  <w:lang w:eastAsia="zh-CN"/>
        </w:rPr>
        <w:drawing>
          <wp:inline distT="0" distB="0" distL="114300" distR="114300">
            <wp:extent cx="3680460" cy="6019800"/>
            <wp:effectExtent l="0" t="0" r="7620" b="0"/>
            <wp:docPr id="4" name="图片 4" descr="e2dc6363ea046250b8464766c8a3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dc6363ea046250b8464766c8a31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spacing w:before="50" w:line="360" w:lineRule="auto"/>
        <w:ind w:left="420" w:firstLine="0" w:firstLineChars="0"/>
        <w:outlineLvl w:val="1"/>
        <w:rPr>
          <w:rFonts w:cs="Times New Roman" w:asciiTheme="minorEastAsia" w:hAnsiTheme="minorEastAsia"/>
          <w:sz w:val="30"/>
          <w:szCs w:val="30"/>
        </w:rPr>
      </w:pPr>
    </w:p>
    <w:p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</w:pPr>
      <w:r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  <w:drawing>
          <wp:inline distT="0" distB="0" distL="114300" distR="114300">
            <wp:extent cx="5262880" cy="3720465"/>
            <wp:effectExtent l="0" t="0" r="10160" b="13335"/>
            <wp:docPr id="1" name="图片 1" descr="96bd237eef65aa22b6684b3d0fa8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bd237eef65aa22b6684b3d0fa8c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</w:pPr>
      <w:r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  <w:drawing>
          <wp:inline distT="0" distB="0" distL="114300" distR="114300">
            <wp:extent cx="5262880" cy="3720465"/>
            <wp:effectExtent l="0" t="0" r="10160" b="13335"/>
            <wp:docPr id="2" name="图片 2" descr="e82d6ec8ee9d3a5f0ea017f42de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2d6ec8ee9d3a5f0ea017f42de17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</w:pPr>
      <w:r>
        <w:rPr>
          <w:rFonts w:hint="eastAsia" w:cs="Times New Roman" w:asciiTheme="minorEastAsia" w:hAnsiTheme="minorEastAsia" w:eastAsiaTheme="minorEastAsia"/>
          <w:sz w:val="48"/>
          <w:szCs w:val="48"/>
          <w:lang w:eastAsia="zh-CN"/>
        </w:rPr>
        <w:drawing>
          <wp:inline distT="0" distB="0" distL="114300" distR="114300">
            <wp:extent cx="5262880" cy="3720465"/>
            <wp:effectExtent l="0" t="0" r="10160" b="13335"/>
            <wp:docPr id="3" name="图片 3" descr="0ce5734153db93719ca79d66ae72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e5734153db93719ca79d66ae72a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6AD"/>
    <w:multiLevelType w:val="multilevel"/>
    <w:tmpl w:val="549466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2"/>
    <w:rsid w:val="001027AA"/>
    <w:rsid w:val="001D3B34"/>
    <w:rsid w:val="005A5EC9"/>
    <w:rsid w:val="00633849"/>
    <w:rsid w:val="00746102"/>
    <w:rsid w:val="00971396"/>
    <w:rsid w:val="00A563AC"/>
    <w:rsid w:val="00C00CA2"/>
    <w:rsid w:val="00D804F0"/>
    <w:rsid w:val="00F87A2F"/>
    <w:rsid w:val="43997108"/>
    <w:rsid w:val="4CC76C4D"/>
    <w:rsid w:val="779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JS Char"/>
    <w:link w:val="10"/>
    <w:qFormat/>
    <w:uiPriority w:val="0"/>
    <w:rPr>
      <w:rFonts w:eastAsia="宋体"/>
      <w:sz w:val="24"/>
      <w:szCs w:val="24"/>
    </w:rPr>
  </w:style>
  <w:style w:type="paragraph" w:customStyle="1" w:styleId="10">
    <w:name w:val="正文JS"/>
    <w:basedOn w:val="1"/>
    <w:link w:val="9"/>
    <w:qFormat/>
    <w:uiPriority w:val="0"/>
    <w:pPr>
      <w:widowControl w:val="0"/>
      <w:adjustRightInd/>
      <w:snapToGrid/>
      <w:spacing w:beforeLines="50" w:afterLines="50" w:line="336" w:lineRule="auto"/>
      <w:ind w:firstLine="480" w:firstLineChars="200"/>
      <w:jc w:val="both"/>
    </w:pPr>
    <w:rPr>
      <w:rFonts w:eastAsia="宋体" w:asciiTheme="minorHAnsi" w:hAnsiTheme="minorHAnsi"/>
      <w:kern w:val="2"/>
      <w:sz w:val="24"/>
      <w:szCs w:val="24"/>
    </w:rPr>
  </w:style>
  <w:style w:type="paragraph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94</Words>
  <Characters>541</Characters>
  <Lines>4</Lines>
  <Paragraphs>1</Paragraphs>
  <TotalTime>12</TotalTime>
  <ScaleCrop>false</ScaleCrop>
  <LinksUpToDate>false</LinksUpToDate>
  <CharactersWithSpaces>634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User</dc:creator>
  <cp:lastModifiedBy>Administrator</cp:lastModifiedBy>
  <dcterms:modified xsi:type="dcterms:W3CDTF">2020-09-25T08:16:06Z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