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保定市徐水区发展和改革局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default"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lang w:val="en-US" w:eastAsia="zh-CN"/>
        </w:rPr>
        <w:t>年工作情况和</w:t>
      </w:r>
      <w:r>
        <w:rPr>
          <w:rFonts w:hint="default"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lang w:val="en-US" w:eastAsia="zh-CN"/>
        </w:rPr>
        <w:t>年工作谋划情况汇</w:t>
      </w:r>
      <w:r>
        <w:rPr>
          <w:rFonts w:hint="default"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val="en-US" w:eastAsia="zh-CN"/>
        </w:rPr>
        <w:t>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6"/>
          <w:szCs w:val="36"/>
          <w:lang w:val="en-US" w:eastAsia="zh-CN"/>
        </w:rPr>
      </w:pPr>
      <w:r>
        <w:rPr>
          <w:rFonts w:hint="eastAsia" w:ascii="仿宋_GB2312" w:hAnsi="仿宋_GB2312" w:eastAsia="仿宋_GB2312" w:cs="仿宋_GB2312"/>
          <w:sz w:val="32"/>
          <w:szCs w:val="32"/>
        </w:rPr>
        <w:t>近年来，徐水区发改局按照“内强素质，外树形象，争创一流工作业绩”的总体要求，立足自身职能，强化协调服务，坚持以科学发展观为统揽,大力实施项目带动战略,全面履行发改部门工作职能,切实加强国民经济运行监测分析,狠抓招商引资和投资争取工作,扎实推进各项改革,圆满完成了各项工作任务,促进了全区国民经济和社会事业持续、快速、健康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default" w:ascii="黑体" w:hAnsi="黑体" w:eastAsia="黑体" w:cs="黑体"/>
          <w:sz w:val="32"/>
          <w:szCs w:val="32"/>
          <w:lang w:val="en-US" w:eastAsia="zh-CN"/>
        </w:rPr>
        <w:t>2021</w:t>
      </w:r>
      <w:r>
        <w:rPr>
          <w:rFonts w:hint="eastAsia" w:ascii="黑体" w:hAnsi="黑体" w:eastAsia="黑体" w:cs="黑体"/>
          <w:sz w:val="32"/>
          <w:szCs w:val="32"/>
          <w:lang w:val="en-US" w:eastAsia="zh-CN"/>
        </w:rPr>
        <w:t>年重点工作情况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（一）狠抓应急保障，确保防控物资供应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区防控办工作安排，区发改局立足部门职能，在做好疫情防控的同时，切实做好疫情防控应急保障工作，加强疫情期间医疗物资、生活必需品、电力、天然气保障，确保供应正常。拟定疫情防控期间保供稳价方案，深入大型超市、粮油供应点等地，扎实开展粮油市场监督检查，全面掌握我区粮油供应现状，密切监测重要民生商品市场价格，督促相关企业加快粮油收购、加工、批发，确保全区主食品、蔬菜供应充足，市场价格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（二）狠抓指标调度，推动经济稳定增长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以来，区发展和改革局将继续按照区委、区政府的工作部署和要求，科学统筹疫情防控和经济社会发展各项工作，国民经济持续恢复发展，主要经济指标处于合理区间，经济结构调整优化，质量效益稳步提升。主要经济指标完成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、地方生产总值（GDP）。</w:t>
      </w:r>
      <w:r>
        <w:rPr>
          <w:rFonts w:hint="eastAsia" w:ascii="仿宋_GB2312" w:hAnsi="仿宋_GB2312" w:eastAsia="仿宋_GB2312" w:cs="仿宋_GB2312"/>
          <w:sz w:val="32"/>
          <w:szCs w:val="32"/>
        </w:rPr>
        <w:t>全年任务目标增速8.0%，1-9月份我区实现生产总值140.7亿元，同比增长11.8%，高于全市平均增速3个百分点，在全市排第1位。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、固定资产投资。</w:t>
      </w:r>
      <w:r>
        <w:rPr>
          <w:rFonts w:hint="eastAsia" w:ascii="仿宋_GB2312" w:hAnsi="仿宋_GB2312" w:eastAsia="仿宋_GB2312" w:cs="仿宋_GB2312"/>
          <w:sz w:val="32"/>
          <w:szCs w:val="32"/>
        </w:rPr>
        <w:t>全年任务目标增速11%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1-9月份，累计完成固定资产投资85.0亿元，同比增长17.8%，在全市排名第4位。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、限上社会消费品零售额。</w:t>
      </w:r>
      <w:r>
        <w:rPr>
          <w:rFonts w:hint="eastAsia" w:ascii="仿宋_GB2312" w:hAnsi="仿宋_GB2312" w:eastAsia="仿宋_GB2312" w:cs="仿宋_GB2312"/>
          <w:sz w:val="32"/>
          <w:szCs w:val="32"/>
        </w:rPr>
        <w:t>全年任务目标增速8.5%，1-9月份，社会消费品零售总额完成88.07亿元，同比增长13.18%。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、实际利用外资。</w:t>
      </w:r>
      <w:r>
        <w:rPr>
          <w:rFonts w:hint="eastAsia" w:ascii="仿宋_GB2312" w:hAnsi="仿宋_GB2312" w:eastAsia="仿宋_GB2312" w:cs="仿宋_GB2312"/>
          <w:sz w:val="32"/>
          <w:szCs w:val="32"/>
        </w:rPr>
        <w:t>全年任务目标10000万美元，1-10月份实际利用外资6705万美元，完成全年目标比重为67.1%，在全市排位第3位。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en-US" w:eastAsia="zh-CN"/>
        </w:rPr>
        <w:t>、外贸进出口指标。</w:t>
      </w:r>
      <w:r>
        <w:rPr>
          <w:rFonts w:hint="eastAsia" w:ascii="仿宋_GB2312" w:hAnsi="仿宋_GB2312" w:eastAsia="仿宋_GB2312" w:cs="仿宋_GB2312"/>
          <w:sz w:val="32"/>
          <w:szCs w:val="32"/>
        </w:rPr>
        <w:t>2021年全年进口增速任务8%，进出口任务金额为11.0474亿元，出口任务增速6%，出口任务金额9.497亿元。1-10月份徐水区完成进出口约12.4亿元，完成全年进出口计划的122.3%，出口总额约10.65亿元，完成全年任务的121.26%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（三）狠抓项目建设，全力督导项目推进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、今年省市重点项目情况。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021年，是重点项目三年倍增的开局之年，我区共列入省市</w:t>
      </w:r>
      <w:bookmarkStart w:id="0" w:name="_GoBack"/>
      <w:bookmarkEnd w:id="0"/>
      <w:r>
        <w:rPr>
          <w:rFonts w:hint="eastAsia" w:ascii="仿宋_GB2312" w:hAnsi="仿宋_GB2312" w:eastAsia="仿宋_GB2312" w:cs="仿宋_GB2312"/>
          <w:sz w:val="32"/>
          <w:szCs w:val="32"/>
        </w:rPr>
        <w:t>重点项目28项，总投资305.7亿元。其中：省重点项目5项，总投资25.1亿元；市重点项目23项，总投资280.6亿元。全区计划新开工省市重点项目14个，现已全部开工建设，开工率达到100%；1-10月，全区省市重点建设项目完成投资48.09亿元，占全年投资计划（40亿元）的120.2%。提前启动前期项目2个，总投资9.91亿元，完成投资3.62亿元。竣工项目7个，总投资24.99亿元的南水北调雄安新区调蓄库弃渣综合利用等7个项目，已竣工投产或投入运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、集中开工项目情况。</w:t>
      </w:r>
      <w:r>
        <w:rPr>
          <w:rFonts w:hint="eastAsia" w:ascii="仿宋_GB2312" w:hAnsi="仿宋_GB2312" w:eastAsia="仿宋_GB2312" w:cs="仿宋_GB2312"/>
          <w:sz w:val="32"/>
          <w:szCs w:val="32"/>
        </w:rPr>
        <w:t>今年以来共组织四次重点项目集中开工活动，累计集中开工重点项目达到23个，总投资81.49亿元，其中第一次集开工重点项目4个，总投资45.5亿元；第二次集中开工重点项目4个，总投资10.8亿元；第三次集中开工重点项目10个，总投资18.7亿元；第四次集中开工重点项目5个，总投资6.49亿元。上述项目主要涉及新一代信息技术、新型建材、新能源、基础设施、高端装备制造等多个领域，为全区主导产业升级、保障服务雄安新区建设、提升全区经济质量、增进民生福祉集聚强大发展势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（四）狠抓服务保障，推进“一扩两稳”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坚决贯彻“六稳”工作部署，把稳外贸作为重中之重，聚焦全区外贸企业在疫情防控和生产经营中面临的困难和问题，积极帮助企业复工复产，坚持“两手抓、两不误、两促进”。成立稳外贸工作专班，制定《保定市徐水区精准帮扶外贸企业工作实施方案》，调动发挥各级领导干部在服务企业中的表率作用,健全巩固包联帮扶机制,为企业增信心、解难题、办实事、促发展,使新冠肺炎疫情对企业造成的影响降到最低程度,为完成全年外贸目标任务奠定坚实基础。</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成立稳外资工作专班，健全重大外资项目跟踪服务机制。按月更新合同外资1000万美元以上外资项目进展，推进总投资500万美元以上在谈项目落地进程。推动合同外资1000万美元项目建立跟踪服务机制，责任单位积极跟进。扎实开展“三创四建”和“三包四帮六保五到位”等活动，进一步完善区领导包联帮扶机制，支持外贸外资外经企业高质量发展，通过实地调研、定期调度、工作约谈等方式，加大督促推动力度。对投资总额500万美元以上的外商投资企业实行周联络、月走访和月反馈制度。</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积极开展商贸流通企业金融服务，组织我区商贸流通企业，开展“消费嘉年华”“幸福河北欢乐购”等活动，指导企业同步开展周末促销活动、制作档期电子海报推送发布信息、开通线上消费通道，研发送货到家小程序，线上购物消费，送货上门等一系列促销活动，拉动消费回暖，促进经济增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（五）狠抓政策调控，科学制定发展规划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rPr>
        <w:t>一是</w:t>
      </w:r>
      <w:r>
        <w:rPr>
          <w:rFonts w:hint="eastAsia" w:ascii="仿宋_GB2312" w:hAnsi="仿宋_GB2312" w:eastAsia="仿宋_GB2312" w:cs="仿宋_GB2312"/>
          <w:sz w:val="32"/>
          <w:szCs w:val="32"/>
          <w:lang w:val="en-US"/>
        </w:rPr>
        <w:t>科学制定国民经济和社会发展计划。在2021年1月29日区人大二届五次会议上《保定市徐水区2020年国民经济和社会发展计划执行情况和2021年计划（草案）的报告》审议通过。</w:t>
      </w:r>
      <w:r>
        <w:rPr>
          <w:rFonts w:hint="eastAsia" w:ascii="仿宋_GB2312" w:hAnsi="仿宋_GB2312" w:eastAsia="仿宋_GB2312" w:cs="仿宋_GB2312"/>
          <w:b/>
          <w:bCs/>
          <w:sz w:val="32"/>
          <w:szCs w:val="32"/>
          <w:lang w:val="en-US"/>
        </w:rPr>
        <w:t>二是</w:t>
      </w:r>
      <w:r>
        <w:rPr>
          <w:rFonts w:hint="eastAsia" w:ascii="仿宋_GB2312" w:hAnsi="仿宋_GB2312" w:eastAsia="仿宋_GB2312" w:cs="仿宋_GB2312"/>
          <w:sz w:val="32"/>
          <w:szCs w:val="32"/>
          <w:lang w:val="en-US"/>
        </w:rPr>
        <w:t>高标准完成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十四五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规划的编制。在区人大二届五次会议上徐水区“十四五”规划获得审议通过。</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en-US"/>
        </w:rPr>
        <w:t>是</w:t>
      </w:r>
      <w:r>
        <w:rPr>
          <w:rFonts w:hint="eastAsia"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lang w:val="en-US"/>
        </w:rPr>
        <w:t>成立徐水区县城智慧化创建工作专班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制定了保定市徐水区县城智慧化创建工作责任分工和评分标准。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（六）狠抓产业布局，加快推进招商工作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始终把招商引资工作作为中心工作来抓，对照区里下达的招商引资任务目标，进行层层分解，制定了招商引资考核办法，逢会必讲招商引资，及时传达、通报招商引资的各种信息和情况，全</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上下招商引资积极性空前高涨。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、全面展开新旧动能转换，推动产业转型升级。</w:t>
      </w:r>
      <w:r>
        <w:rPr>
          <w:rFonts w:hint="eastAsia" w:ascii="仿宋_GB2312" w:hAnsi="仿宋_GB2312" w:eastAsia="仿宋_GB2312" w:cs="仿宋_GB2312"/>
          <w:sz w:val="32"/>
          <w:szCs w:val="32"/>
          <w:lang w:val="en-US" w:eastAsia="zh-CN"/>
        </w:rPr>
        <w:t>紧紧抓住项目、企业、平台、基地、人才五大载体，按照主动融入京津冀协同发展战略和对接服务雄安新区建设的要求，集聚全球高端创新资源，重点培育发展高端装备制造产业、生物医药健康产业、新材料和节能环保产业、新一代信息技术产业等四大战略性新兴产业。推动战略性新兴产业规模化、集聚化、融合化发展，提升产业基础能力和产业链现代化水平，增强战略性新兴产业支撑新旧动能转换、带动产业转型升级、引领创造新需求的能力，为构建现代化经济体系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、落实“京保协作五个一”行动，全面加强与京津对接合作。</w:t>
      </w:r>
      <w:r>
        <w:rPr>
          <w:rFonts w:hint="default"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年市下达我区招商项目</w:t>
      </w:r>
      <w:r>
        <w:rPr>
          <w:rFonts w:hint="default"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val="en-US" w:eastAsia="zh-CN"/>
        </w:rPr>
        <w:t>个，</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月份我区已经完成任务。其中，对接一家央企或京企，对接北京一所科研机构，对接北京一所基础教育学校，对接一家北京三级医院，均已完成。共培育上市公司7家。其中保定安佑畜牧科技服务有限公司和保定北奥石油物探特种车辆制造有限公司准备在新三板上市，目前正在履行上市程序，其余5家企业正在积极培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（七）狠抓统筹督导，做好“双代”保供工作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、“双代”完成使用情况。</w:t>
      </w:r>
      <w:r>
        <w:rPr>
          <w:rFonts w:hint="eastAsia" w:ascii="仿宋_GB2312" w:hAnsi="仿宋_GB2312" w:eastAsia="仿宋_GB2312" w:cs="仿宋_GB2312"/>
          <w:sz w:val="32"/>
          <w:szCs w:val="32"/>
        </w:rPr>
        <w:t>徐水区自2016年启动“双代”工程以来，完成了除山区23个村（不具备改造条件）外所有农村居民的清洁取暖改造任务，验收改造总户数为178264户，其中：电代煤3737户，由于采用的蓄热式取暖设备取暖效果不显著，区委、区政府已对涉及的6个村全部实施了天然气改造，气代煤174527户（包括：2017年的119484户、2018年的39599户、2019年的7800户，2020年11381户）。目前，已全部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、节能降耗工作。</w:t>
      </w:r>
      <w:r>
        <w:rPr>
          <w:rFonts w:hint="eastAsia" w:ascii="仿宋_GB2312" w:hAnsi="仿宋_GB2312" w:eastAsia="仿宋_GB2312" w:cs="仿宋_GB2312"/>
          <w:sz w:val="32"/>
          <w:szCs w:val="32"/>
        </w:rPr>
        <w:t>我区紧紧围绕工业节能降耗这一主线，加大监察工作力度，以“淘汰落后用能设备和高耗能产品能耗限额标准执行情况”为监察重点，按照省市关于节能监察工作的要求，制定下发《徐水区2021年节能监察实施方案》，依据年耗能5000吨标煤以上的企业由省市监察、5000吨标煤以下规上企业由当地监察的原则，对我区规上企业和非入统重点用能企业能源利用情况进行监督监察，对企业能耗基础台账的建立、节能工作各项制度等基础情况进行了监督、监察，发现问题现场即对企业提出整改措施。力争对高耗能行业、企业和规上工业企业的监察、监测覆盖率达到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、能源保供工作情况。一是</w:t>
      </w:r>
      <w:r>
        <w:rPr>
          <w:rFonts w:hint="eastAsia" w:ascii="仿宋_GB2312" w:hAnsi="仿宋_GB2312" w:eastAsia="仿宋_GB2312" w:cs="仿宋_GB2312"/>
          <w:sz w:val="32"/>
          <w:szCs w:val="32"/>
        </w:rPr>
        <w:t>天然气保供情况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根据已完成的178264户气代改造工程量，并结合2019年-2020年取暖季使用天然气实际用气量超1.8亿立方情况，预计今年取暖季天然气用量约1.95亿立方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目前已签满天然气合同总量1.95亿立方。</w:t>
      </w:r>
      <w:r>
        <w:rPr>
          <w:rFonts w:hint="eastAsia" w:ascii="仿宋_GB2312" w:hAnsi="仿宋_GB2312" w:eastAsia="仿宋_GB2312" w:cs="仿宋_GB2312"/>
          <w:sz w:val="32"/>
          <w:szCs w:val="32"/>
          <w:lang w:val="en-US" w:eastAsia="zh-CN"/>
        </w:rPr>
        <w:t>五家</w:t>
      </w:r>
      <w:r>
        <w:rPr>
          <w:rFonts w:hint="eastAsia" w:ascii="仿宋_GB2312" w:hAnsi="仿宋_GB2312" w:eastAsia="仿宋_GB2312" w:cs="仿宋_GB2312"/>
          <w:sz w:val="32"/>
          <w:szCs w:val="32"/>
        </w:rPr>
        <w:t>燃气公司</w:t>
      </w:r>
      <w:r>
        <w:rPr>
          <w:rFonts w:hint="eastAsia" w:ascii="仿宋_GB2312" w:hAnsi="仿宋_GB2312" w:eastAsia="仿宋_GB2312" w:cs="仿宋_GB2312"/>
          <w:sz w:val="32"/>
          <w:szCs w:val="32"/>
          <w:lang w:val="en-US" w:eastAsia="zh-CN"/>
        </w:rPr>
        <w:t>均</w:t>
      </w:r>
      <w:r>
        <w:rPr>
          <w:rFonts w:hint="eastAsia" w:ascii="仿宋_GB2312" w:hAnsi="仿宋_GB2312" w:eastAsia="仿宋_GB2312" w:cs="仿宋_GB2312"/>
          <w:sz w:val="32"/>
          <w:szCs w:val="32"/>
        </w:rPr>
        <w:t>无缺口。</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型煤保供情况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全区型煤供应户有3262户，今年洁净型煤需求量约为6597吨。型煤中标企业为保定市鑫金燃料有限公司，目前配送量已完成中标数量。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（八）狠抓粮食管理，筑牢粮食安全体系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1、贯彻粮食政策法规，维护种粮农民利益。</w:t>
      </w:r>
      <w:r>
        <w:rPr>
          <w:rFonts w:hint="eastAsia" w:ascii="仿宋_GB2312" w:hAnsi="仿宋_GB2312" w:eastAsia="仿宋_GB2312" w:cs="仿宋_GB2312"/>
          <w:sz w:val="32"/>
          <w:szCs w:val="32"/>
          <w:lang w:val="en-US" w:eastAsia="zh-CN"/>
        </w:rPr>
        <w:t>积极宣传小麦最低收购价政策，贯彻落实新修订的《粮食流通管理条例》，把政策法规宣传与日常监督检查相结合，检查指导粮食企业搞好粮食购销服务、依法经营，满足种粮农民售粮需求，防止发生区域性“卖粮难”问题。在疫情不断反复的情况下，全区粮食购销保持了平稳运行，截止10月底，全区仅入统粮食企业就收购粮食204104吨，其中小麦133705吨、玉米70399吨，销售并加工转化粮食210082吨，其中小麦132786吨、玉米77296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、加强储备粮食管理，提高县级储备保障能力。一是</w:t>
      </w:r>
      <w:r>
        <w:rPr>
          <w:rFonts w:hint="eastAsia" w:ascii="仿宋_GB2312" w:hAnsi="仿宋_GB2312" w:eastAsia="仿宋_GB2312" w:cs="仿宋_GB2312"/>
          <w:sz w:val="32"/>
          <w:szCs w:val="32"/>
          <w:lang w:val="en-US" w:eastAsia="zh-CN"/>
        </w:rPr>
        <w:t>加强储备粮轮换管理，顺利完成2021年县储轮换工作；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按照省市进一步加强粮食储备和能源安全的意见措施，认真谋划、及时行动，克服当时价格不稳的不利条件，顺利完成储备粮新增任务；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加强质量安全管理，对轮换和新入库的粮食进行第三方质量安全检验，达到储备粮要求才确认为县级储备粮。目前全部县储均达到数量真实、质量良好、粮情稳定、储存安全。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、完善行政管理职能，为粮食安全保驾护航</w:t>
      </w:r>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加强粮食应急网点管理，重新对应急网点进行梳理核查，对经营正常、有意应急工作的20家网点重新签订协议予以确认，确保应急网点的稳定性；</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执行粮情监测，做好价格信息采集，特别是疫情紧张时，每天上报粮油价格、成品库存等信息，日报、周报和月报有序衔接，较好地完善了预警机制；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按照新修订《粮食流通管理条例》要求，及时与审批、市场部门接洽对全区涉粮企业进行了梳理，深入企业进行政策宣传，完成了11家企业的备案工作；</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实行“一岗双责”，把安全生产各项工作部署落到实处，重点开展了涉有限空间企业的排查治理工作，有效地利用典型事例的警示作用，促进企业加强重视引以为戒；</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加强粮食流通监督检查，在新粮质量监测、库存量核定、收购专项检查、安全储粮检查、“亮剑2021”专项执法等行动中，日常检查与专项检查相结合，有组织、有方案，发起检查22次、出动检查人员61人次，依法规范了相关企业行为，保证了粮食市场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（九）狠抓服务理念，持续优化营商环境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区发改局全面贯彻落实市委全会精神，以切实增强企业和群众获得感为出发点，以深化“放管服”改革为突破口，加大补强短板弱项力度，着力推动高质量发展，持续优化营商环境。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优化政务服务环境。加大改革创新力度，提高审批效能，更好更快方便企业和群众办事，服务全区招商引资，积极推进“两个专区”建设，即企业开办专区和工程项目联动审批专区。</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落实纾困惠企政策。为支持新洋丰肥业发展，区政府支持企业节能技术改造及产业发展资金奖励1100万元；同时，积极落实招商引资，根据中然宝公司对徐水纳税贡献率，拟给予798万元一次性奖励。</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 xml:space="preserve">开展优化营商环境测评。积极组织审批局、执法局、法院、普晨燃气、供电公司等单位及部门参加全市优化营商环境测评，经过市培训区调度，主要领导亲自抓，综合排名略有提升。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二、2022年工作谋划</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（一）突出规划引领，实现经济社会跨越发展。</w:t>
      </w:r>
      <w:r>
        <w:rPr>
          <w:rFonts w:hint="eastAsia" w:ascii="仿宋_GB2312" w:hAnsi="仿宋_GB2312" w:eastAsia="仿宋_GB2312" w:cs="仿宋_GB2312"/>
          <w:sz w:val="32"/>
          <w:szCs w:val="32"/>
        </w:rPr>
        <w:t>充分发挥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规划领导小组及办公室的作用，统筹负责规划的组织实施。强化项目、资金和政策保障，加强规划监督，确保规划</w:t>
      </w:r>
      <w:r>
        <w:rPr>
          <w:rFonts w:hint="eastAsia" w:ascii="仿宋_GB2312" w:hAnsi="仿宋_GB2312" w:eastAsia="仿宋_GB2312" w:cs="仿宋_GB2312"/>
          <w:sz w:val="32"/>
          <w:szCs w:val="32"/>
          <w:lang w:val="en-US" w:eastAsia="zh-CN"/>
        </w:rPr>
        <w:t>顺利</w:t>
      </w:r>
      <w:r>
        <w:rPr>
          <w:rFonts w:hint="eastAsia" w:ascii="仿宋_GB2312" w:hAnsi="仿宋_GB2312" w:eastAsia="仿宋_GB2312" w:cs="仿宋_GB2312"/>
          <w:sz w:val="32"/>
          <w:szCs w:val="32"/>
        </w:rPr>
        <w:t>实施。抓好区域规划、专项规划和重大工程的编制和实施，把经济社会发展目标落到实处。</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（二）突出强化服务，推动县域特色产业发展壮大。</w:t>
      </w:r>
      <w:r>
        <w:rPr>
          <w:rFonts w:hint="eastAsia" w:ascii="仿宋_GB2312" w:hAnsi="仿宋_GB2312" w:eastAsia="仿宋_GB2312" w:cs="仿宋_GB2312"/>
          <w:sz w:val="32"/>
          <w:szCs w:val="32"/>
          <w:lang w:val="en-US" w:eastAsia="zh-CN"/>
        </w:rPr>
        <w:t>继续把发展各具特色的现代乡村富民产业，推动县域特色朝阳园提质量、创品牌、增效益，打造新的经济增长点作为重要工作来抓，指导和支持特色农业品牌创建工作，帮助河北德力食品有限公司、保定世纪美森年产6万吨银杏饮品生产基地等企业、项目规范管理体系，搞好技术创新，打造一批竞争力强、知名度高的特色农业品牌，支持龙头企业引领产业发展，更好的带动群众增收致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（三）突出项目建设，加快新型产业和新型城镇建设。</w:t>
      </w:r>
      <w:r>
        <w:rPr>
          <w:rFonts w:hint="eastAsia" w:ascii="仿宋_GB2312" w:hAnsi="仿宋_GB2312" w:eastAsia="仿宋_GB2312" w:cs="仿宋_GB2312"/>
          <w:sz w:val="32"/>
          <w:szCs w:val="32"/>
          <w:lang w:val="en-US" w:eastAsia="zh-CN"/>
        </w:rPr>
        <w:t>2022年继续把项目建设作为第一要务，围绕“两新一重”，利用综合交通和区位优势，促进投资较快增长。根据市大项目办《关于申报2022年省市重点项目的通知》要求，我区目前谋划筛选37个项目，总投资338.27亿元。其中：续建项目13个，总投资231.07亿元；建成投产项目4个，总投资6.32亿元；计划新开工项目15个，总投资36.57亿元；前期项目6个，总投资64.3亿元。其中拟申报省重点在建项目4个，包括：戴纳可持续实验室智造产业化基地项目、铭锐汽车年产5000万件汽车冲压件、东方雨虹建筑材料生产基地项目、雷弗流体科技总部及生产研发基地项目。谋划前期项目4个，包括：投资9亿元的普洛斯保定徐水智慧供应链结算中心、投资10亿元河北创标科技有限公司保定·云致科技谷项目、投资25亿元的河北捷信投资有限公司瀑河生态农文旅大健康产业园项目、投资6.39亿元的河北捷信投资有限公司瀑河航天农文旅高科技产业示范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（四）突出协同发展，加快融入京雄保一体化。</w:t>
      </w:r>
      <w:r>
        <w:rPr>
          <w:rFonts w:hint="eastAsia" w:ascii="仿宋_GB2312" w:hAnsi="仿宋_GB2312" w:eastAsia="仿宋_GB2312" w:cs="仿宋_GB2312"/>
          <w:sz w:val="32"/>
          <w:szCs w:val="32"/>
          <w:lang w:val="en-US" w:eastAsia="zh-CN"/>
        </w:rPr>
        <w:t>在对接北京中深化协同，在无条件服务保障雄安中壮大发展。继续落实“京保协作五个一”行动，全面加强与京津对接合作，在东三镇超前谋划高品位特色小镇建设，大力发展绿色生态和现代农业。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（五）突出招商引领，持续扩大有效投资。</w:t>
      </w:r>
      <w:r>
        <w:rPr>
          <w:rFonts w:hint="eastAsia" w:ascii="仿宋_GB2312" w:hAnsi="仿宋_GB2312" w:eastAsia="仿宋_GB2312" w:cs="仿宋_GB2312"/>
          <w:sz w:val="32"/>
          <w:szCs w:val="32"/>
          <w:lang w:val="en-US" w:eastAsia="zh-CN"/>
        </w:rPr>
        <w:t>坚持把项目建设和招商引资作为实现高质量发展的强大动力，不断增蓄发展持久动能。创新招商模式，开展市场化、专业化、精准化招商。出台优惠政策，支持发展总部经济。落实招商奖励机制，重奖招商功臣，形成“八仙过海、各显神通”的大招商氛围。积极争取上级债券，认真谋划重大基础设施、市政设施项目，以政府投资撬动社会投资，激发投资活力。落实项目建设“五个一”机制，在资金扶持、税费减免、融资渠道、要素支撑等方面加大支持力度，促进签约项目早开工、开工项目早投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（六）突出节能降耗，推动光伏发电高质量跃升发展。</w:t>
      </w:r>
      <w:r>
        <w:rPr>
          <w:rFonts w:hint="eastAsia" w:ascii="仿宋_GB2312" w:hAnsi="仿宋_GB2312" w:eastAsia="仿宋_GB2312" w:cs="仿宋_GB2312"/>
          <w:sz w:val="32"/>
          <w:szCs w:val="32"/>
          <w:lang w:val="en-US" w:eastAsia="zh-CN"/>
        </w:rPr>
        <w:t>根据市发改委转发《河北省发展和改革委员会关于开展整县 (市 、区)屋顶分布式光伏开发试点的通知》精神，我区被列入整（县、市）推进屋顶分布式光伏开发试点名单。2022年，继续贯彻习近平生态文明思想和能源安全新战略的重要论述，积极落实“碳达峰、碳中和”与两大战略，坚持目标导向，完善发展机制，优化发展环境，发挥地方主导作用，推动光伏发电高质量跃升发展，所发电量占全社会用电量比重逐年提高，通过政府引导、市场参与，充分利用丰富的屋顶资源，围绕调整能源结构、节能减排工作要求，以分布式光伏应用为重点，大力推进光伏应用进党政机关、工商企业和进村入户，进一步提升光伏发电应用水平，确保实现2025年非化石能源占一次能源消费比重提高至20%左右的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（七）突出扩大内需，持续增强消费对经济增长的拉动作用。</w:t>
      </w:r>
      <w:r>
        <w:rPr>
          <w:rFonts w:hint="eastAsia" w:ascii="仿宋_GB2312" w:hAnsi="仿宋_GB2312" w:eastAsia="仿宋_GB2312" w:cs="仿宋_GB2312"/>
          <w:sz w:val="32"/>
          <w:szCs w:val="32"/>
          <w:lang w:val="en-US" w:eastAsia="zh-CN"/>
        </w:rPr>
        <w:t>牢牢把握扩大内需这个战略基点，大力发展高端化、专业化的生产性服务业，加快提升现代物流、科技服务、创意设计、中介等服务业竞争力。积极培育消费新业态新模式，大力发展电商经济，开展城乡高效配送专项行动，加强城乡商贸设施和乡村物流站点建设，全面激活消费市场。加快推进“奥莱”项目改造，打造大型商业综合体。</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（八）突出园区规划，培育打造优势产业集群。</w:t>
      </w:r>
      <w:r>
        <w:rPr>
          <w:rFonts w:hint="eastAsia" w:ascii="仿宋_GB2312" w:hAnsi="仿宋_GB2312" w:eastAsia="仿宋_GB2312" w:cs="仿宋_GB2312"/>
          <w:sz w:val="32"/>
          <w:szCs w:val="32"/>
          <w:lang w:val="en-US" w:eastAsia="zh-CN"/>
        </w:rPr>
        <w:t>开展“亩均论英雄”综合评价，确保亩均税收达到15万元以上。完善城区中小企业园基础设施，全力推进园区双丰大街、园区三街建设。加快城区中小企业园入驻企业德力食品、硕为电气、科华地板、新洋丰等二十多家企业开工建设。推进</w:t>
      </w:r>
      <w:r>
        <w:rPr>
          <w:rFonts w:hint="eastAsia" w:ascii="仿宋_GB2312" w:hAnsi="仿宋_GB2312" w:eastAsia="仿宋_GB2312" w:cs="仿宋_GB2312"/>
          <w:sz w:val="32"/>
          <w:szCs w:val="32"/>
          <w:lang w:val="en-US" w:eastAsia="zh-CN"/>
        </w:rPr>
        <w:t>城区中小企业园采用</w:t>
      </w:r>
      <w:r>
        <w:rPr>
          <w:rFonts w:hint="eastAsia" w:ascii="仿宋_GB2312" w:hAnsi="仿宋_GB2312" w:eastAsia="仿宋_GB2312" w:cs="仿宋_GB2312"/>
          <w:sz w:val="32"/>
          <w:szCs w:val="32"/>
          <w:lang w:val="en-US" w:eastAsia="zh-CN"/>
        </w:rPr>
        <w:t>“一区多园”形式由徐水经济开发区托管。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numPr>
          <w:numId w:val="0"/>
        </w:numPr>
        <w:rPr>
          <w:rFonts w:hint="eastAsia"/>
        </w:rPr>
      </w:pPr>
    </w:p>
    <w:p>
      <w:pPr>
        <w:rPr>
          <w:rFonts w:hint="eastAsia"/>
        </w:rPr>
      </w:pP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保定市徐水区发展和改革局</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2021年12月3日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07277"/>
    <w:rsid w:val="425E6BB7"/>
    <w:rsid w:val="44645D0C"/>
    <w:rsid w:val="46B320BF"/>
    <w:rsid w:val="4A154634"/>
    <w:rsid w:val="5A49407F"/>
    <w:rsid w:val="5D6713C0"/>
    <w:rsid w:val="600B74B2"/>
    <w:rsid w:val="6505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2021-11-29T02:10:00Z</dcterms:created>
  <dc:creator>Administrator</dc:creator>
  <cp:lastModifiedBy>Administrator</cp:lastModifiedBy>
  <dcterms:modified xsi:type="dcterms:W3CDTF">2021-12-03T12:01:07Z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32A663965D5643D3BFCF5ABA2F26570B</vt:lpwstr>
  </property>
</Properties>
</file>