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sz w:val="32"/>
          <w:szCs w:val="32"/>
        </w:rPr>
      </w:pPr>
    </w:p>
    <w:p>
      <w:pPr>
        <w:spacing w:line="360" w:lineRule="auto"/>
        <w:jc w:val="center"/>
        <w:rPr>
          <w:sz w:val="52"/>
          <w:szCs w:val="52"/>
        </w:rPr>
      </w:pPr>
      <w:r>
        <w:rPr>
          <w:sz w:val="52"/>
          <w:szCs w:val="52"/>
        </w:rPr>
        <w:t>保定市徐水区畜禽养殖污染防治</w:t>
      </w:r>
    </w:p>
    <w:p>
      <w:pPr>
        <w:spacing w:line="360" w:lineRule="auto"/>
        <w:jc w:val="center"/>
        <w:rPr>
          <w:sz w:val="52"/>
          <w:szCs w:val="52"/>
        </w:rPr>
      </w:pPr>
      <w:r>
        <w:rPr>
          <w:sz w:val="52"/>
          <w:szCs w:val="52"/>
        </w:rPr>
        <w:t>“十四五”规划</w:t>
      </w:r>
    </w:p>
    <w:p>
      <w:pPr>
        <w:spacing w:line="360" w:lineRule="auto"/>
        <w:jc w:val="center"/>
        <w:rPr>
          <w:sz w:val="52"/>
          <w:szCs w:val="52"/>
        </w:rPr>
      </w:pPr>
    </w:p>
    <w:p>
      <w:pPr>
        <w:spacing w:line="360" w:lineRule="auto"/>
        <w:jc w:val="center"/>
        <w:rPr>
          <w:sz w:val="52"/>
          <w:szCs w:val="52"/>
        </w:rPr>
      </w:pPr>
      <w:bookmarkStart w:id="456" w:name="_GoBack"/>
      <w:bookmarkEnd w:id="456"/>
      <w:bookmarkStart w:id="0" w:name="_Toc2561"/>
      <w:bookmarkStart w:id="1" w:name="_Toc29739"/>
    </w:p>
    <w:p>
      <w:pPr>
        <w:spacing w:line="360" w:lineRule="auto"/>
        <w:jc w:val="center"/>
        <w:rPr>
          <w:sz w:val="52"/>
          <w:szCs w:val="52"/>
        </w:rPr>
      </w:pPr>
    </w:p>
    <w:p>
      <w:pPr>
        <w:spacing w:line="360" w:lineRule="auto"/>
        <w:jc w:val="center"/>
        <w:rPr>
          <w:sz w:val="52"/>
          <w:szCs w:val="52"/>
        </w:rPr>
      </w:pPr>
    </w:p>
    <w:p>
      <w:pPr>
        <w:spacing w:line="360" w:lineRule="auto"/>
        <w:jc w:val="center"/>
        <w:rPr>
          <w:sz w:val="52"/>
          <w:szCs w:val="52"/>
        </w:rPr>
      </w:pPr>
    </w:p>
    <w:p>
      <w:pPr>
        <w:spacing w:line="360" w:lineRule="auto"/>
        <w:jc w:val="center"/>
        <w:rPr>
          <w:sz w:val="52"/>
          <w:szCs w:val="52"/>
        </w:rPr>
      </w:pPr>
    </w:p>
    <w:p>
      <w:pPr>
        <w:spacing w:line="360" w:lineRule="auto"/>
        <w:jc w:val="center"/>
        <w:rPr>
          <w:sz w:val="52"/>
          <w:szCs w:val="52"/>
        </w:rPr>
      </w:pPr>
    </w:p>
    <w:p>
      <w:pPr>
        <w:spacing w:line="360" w:lineRule="auto"/>
        <w:jc w:val="center"/>
        <w:rPr>
          <w:sz w:val="52"/>
          <w:szCs w:val="52"/>
        </w:rPr>
      </w:pPr>
    </w:p>
    <w:p>
      <w:pPr>
        <w:spacing w:line="360" w:lineRule="auto"/>
        <w:jc w:val="center"/>
        <w:rPr>
          <w:sz w:val="52"/>
          <w:szCs w:val="52"/>
        </w:rPr>
      </w:pPr>
    </w:p>
    <w:p>
      <w:pPr>
        <w:spacing w:line="360" w:lineRule="auto"/>
        <w:jc w:val="center"/>
        <w:rPr>
          <w:sz w:val="52"/>
          <w:szCs w:val="52"/>
        </w:rPr>
      </w:pPr>
    </w:p>
    <w:p>
      <w:pPr>
        <w:spacing w:line="360" w:lineRule="auto"/>
        <w:jc w:val="center"/>
        <w:rPr>
          <w:sz w:val="52"/>
          <w:szCs w:val="52"/>
        </w:rPr>
      </w:pPr>
    </w:p>
    <w:p>
      <w:pPr>
        <w:spacing w:line="360" w:lineRule="auto"/>
        <w:jc w:val="center"/>
        <w:rPr>
          <w:sz w:val="52"/>
          <w:szCs w:val="52"/>
        </w:rPr>
      </w:pPr>
    </w:p>
    <w:p>
      <w:pPr>
        <w:pStyle w:val="2"/>
        <w:rPr>
          <w:rFonts w:ascii="Times New Roman" w:hAnsi="Times New Roman"/>
          <w:sz w:val="52"/>
          <w:szCs w:val="52"/>
        </w:rPr>
      </w:pPr>
    </w:p>
    <w:p>
      <w:pPr>
        <w:spacing w:line="360" w:lineRule="auto"/>
        <w:rPr>
          <w:sz w:val="52"/>
          <w:szCs w:val="52"/>
        </w:rPr>
      </w:pPr>
    </w:p>
    <w:p>
      <w:pPr>
        <w:pStyle w:val="2"/>
        <w:rPr>
          <w:rFonts w:ascii="Times New Roman" w:hAnsi="Times New Roman"/>
        </w:rPr>
      </w:pPr>
    </w:p>
    <w:p>
      <w:pPr>
        <w:spacing w:line="360" w:lineRule="auto"/>
        <w:jc w:val="center"/>
        <w:rPr>
          <w:sz w:val="52"/>
          <w:szCs w:val="52"/>
        </w:rPr>
      </w:pPr>
      <w:r>
        <w:rPr>
          <w:rFonts w:hint="eastAsia"/>
          <w:sz w:val="36"/>
          <w:szCs w:val="36"/>
        </w:rPr>
        <w:t>保定市徐水区人民政府</w:t>
      </w:r>
    </w:p>
    <w:p>
      <w:pPr>
        <w:spacing w:line="360" w:lineRule="auto"/>
        <w:jc w:val="center"/>
        <w:rPr>
          <w:sz w:val="36"/>
          <w:szCs w:val="36"/>
        </w:rPr>
      </w:pPr>
      <w:r>
        <w:rPr>
          <w:sz w:val="36"/>
          <w:szCs w:val="36"/>
        </w:rPr>
        <w:t>二〇二二年九月</w:t>
      </w:r>
    </w:p>
    <w:p>
      <w:pPr>
        <w:spacing w:line="360" w:lineRule="auto"/>
        <w:jc w:val="center"/>
        <w:rPr>
          <w:sz w:val="44"/>
          <w:szCs w:val="44"/>
        </w:rPr>
        <w:sectPr>
          <w:footerReference r:id="rId3" w:type="default"/>
          <w:pgSz w:w="11906" w:h="16838"/>
          <w:pgMar w:top="1701" w:right="1418" w:bottom="1418" w:left="1701" w:header="851" w:footer="992" w:gutter="0"/>
          <w:cols w:space="720" w:num="1"/>
          <w:docGrid w:type="lines" w:linePitch="312" w:charSpace="0"/>
        </w:sectPr>
      </w:pPr>
    </w:p>
    <w:p>
      <w:pPr>
        <w:spacing w:before="312" w:beforeLines="100" w:after="312" w:afterLines="100" w:line="360" w:lineRule="auto"/>
        <w:jc w:val="center"/>
        <w:rPr>
          <w:sz w:val="48"/>
          <w:szCs w:val="48"/>
        </w:rPr>
      </w:pPr>
      <w:r>
        <w:rPr>
          <w:sz w:val="48"/>
          <w:szCs w:val="48"/>
        </w:rPr>
        <w:t>保定市徐水区畜禽养殖污染防治</w:t>
      </w:r>
    </w:p>
    <w:p>
      <w:pPr>
        <w:spacing w:before="312" w:beforeLines="100" w:after="312" w:afterLines="100" w:line="360" w:lineRule="auto"/>
        <w:jc w:val="center"/>
        <w:rPr>
          <w:sz w:val="48"/>
          <w:szCs w:val="48"/>
        </w:rPr>
      </w:pPr>
      <w:r>
        <w:rPr>
          <w:sz w:val="48"/>
          <w:szCs w:val="48"/>
        </w:rPr>
        <w:t>“十四五”规划</w:t>
      </w:r>
    </w:p>
    <w:p>
      <w:pPr>
        <w:spacing w:before="312" w:beforeLines="100" w:after="312" w:afterLines="100" w:line="400" w:lineRule="exact"/>
        <w:rPr>
          <w:sz w:val="32"/>
          <w:szCs w:val="32"/>
        </w:rPr>
      </w:pPr>
      <w:r>
        <w:rPr>
          <w:sz w:val="32"/>
          <w:szCs w:val="32"/>
        </w:rPr>
        <w:t>编制委员会：</w:t>
      </w:r>
    </w:p>
    <w:p>
      <w:pPr>
        <w:spacing w:before="312" w:beforeLines="100" w:after="312" w:afterLines="100" w:line="400" w:lineRule="exact"/>
        <w:ind w:firstLine="640" w:firstLineChars="200"/>
        <w:rPr>
          <w:sz w:val="32"/>
          <w:szCs w:val="32"/>
        </w:rPr>
      </w:pPr>
      <w:r>
        <w:rPr>
          <w:sz w:val="32"/>
          <w:szCs w:val="32"/>
        </w:rPr>
        <w:t>组</w:t>
      </w:r>
      <w:r>
        <w:rPr>
          <w:rFonts w:hint="eastAsia"/>
          <w:sz w:val="32"/>
          <w:szCs w:val="32"/>
        </w:rPr>
        <w:t xml:space="preserve">  </w:t>
      </w:r>
      <w:r>
        <w:rPr>
          <w:sz w:val="32"/>
          <w:szCs w:val="32"/>
        </w:rPr>
        <w:t>长：</w:t>
      </w:r>
      <w:r>
        <w:rPr>
          <w:rFonts w:hint="eastAsia"/>
          <w:sz w:val="32"/>
          <w:szCs w:val="32"/>
        </w:rPr>
        <w:t>梁  琪 保定市徐水区人民政府副区长</w:t>
      </w:r>
    </w:p>
    <w:p>
      <w:pPr>
        <w:spacing w:before="312" w:beforeLines="100" w:after="312" w:afterLines="100" w:line="400" w:lineRule="exact"/>
        <w:ind w:firstLine="640" w:firstLineChars="200"/>
        <w:rPr>
          <w:sz w:val="32"/>
          <w:szCs w:val="32"/>
        </w:rPr>
      </w:pPr>
      <w:r>
        <w:rPr>
          <w:sz w:val="32"/>
          <w:szCs w:val="32"/>
        </w:rPr>
        <w:t>副组长：</w:t>
      </w:r>
      <w:r>
        <w:rPr>
          <w:rFonts w:hint="eastAsia"/>
          <w:sz w:val="32"/>
          <w:szCs w:val="32"/>
        </w:rPr>
        <w:t xml:space="preserve">杨志强 保定市生态环境局徐水区分局局长 </w:t>
      </w:r>
    </w:p>
    <w:p>
      <w:pPr>
        <w:spacing w:before="312" w:beforeLines="100" w:after="312" w:afterLines="100" w:line="400" w:lineRule="exact"/>
        <w:ind w:firstLine="640" w:firstLineChars="200"/>
        <w:rPr>
          <w:sz w:val="32"/>
          <w:szCs w:val="32"/>
        </w:rPr>
      </w:pPr>
      <w:r>
        <w:rPr>
          <w:rFonts w:hint="eastAsia"/>
          <w:sz w:val="32"/>
          <w:szCs w:val="32"/>
        </w:rPr>
        <w:t xml:space="preserve">        刘振宇 保定市徐水区农业农村局局长</w:t>
      </w:r>
    </w:p>
    <w:p>
      <w:pPr>
        <w:spacing w:before="312" w:beforeLines="100" w:after="312" w:afterLines="100" w:line="400" w:lineRule="exact"/>
        <w:ind w:firstLine="640" w:firstLineChars="200"/>
        <w:rPr>
          <w:sz w:val="32"/>
          <w:szCs w:val="32"/>
        </w:rPr>
      </w:pPr>
      <w:r>
        <w:rPr>
          <w:sz w:val="32"/>
          <w:szCs w:val="32"/>
        </w:rPr>
        <w:t>成</w:t>
      </w:r>
      <w:r>
        <w:rPr>
          <w:rFonts w:hint="eastAsia"/>
          <w:sz w:val="32"/>
          <w:szCs w:val="32"/>
        </w:rPr>
        <w:t xml:space="preserve">  </w:t>
      </w:r>
      <w:r>
        <w:rPr>
          <w:sz w:val="32"/>
          <w:szCs w:val="32"/>
        </w:rPr>
        <w:t>员：</w:t>
      </w:r>
      <w:r>
        <w:rPr>
          <w:rFonts w:hint="eastAsia"/>
          <w:sz w:val="32"/>
          <w:szCs w:val="32"/>
        </w:rPr>
        <w:t>张曙光 霍晓鹏  李灵海</w:t>
      </w:r>
    </w:p>
    <w:p>
      <w:pPr>
        <w:spacing w:before="312" w:beforeLines="100" w:after="312" w:afterLines="100" w:line="400" w:lineRule="exact"/>
        <w:ind w:firstLine="320" w:firstLineChars="100"/>
        <w:rPr>
          <w:sz w:val="32"/>
          <w:szCs w:val="32"/>
        </w:rPr>
      </w:pPr>
      <w:r>
        <w:rPr>
          <w:sz w:val="32"/>
          <w:szCs w:val="32"/>
        </w:rPr>
        <w:t>编制人员：</w:t>
      </w:r>
    </w:p>
    <w:p>
      <w:pPr>
        <w:spacing w:before="312" w:beforeLines="100" w:after="312" w:afterLines="100" w:line="400" w:lineRule="exact"/>
        <w:ind w:firstLine="1920" w:firstLineChars="600"/>
        <w:rPr>
          <w:sz w:val="32"/>
          <w:szCs w:val="32"/>
        </w:rPr>
      </w:pPr>
      <w:r>
        <w:rPr>
          <w:rFonts w:hint="eastAsia"/>
          <w:sz w:val="32"/>
          <w:szCs w:val="32"/>
        </w:rPr>
        <w:t>王  磊 保定市生态环境局徐水区分局</w:t>
      </w:r>
    </w:p>
    <w:p>
      <w:pPr>
        <w:spacing w:before="312" w:beforeLines="100" w:after="312" w:afterLines="100" w:line="400" w:lineRule="exact"/>
        <w:ind w:firstLine="1920" w:firstLineChars="600"/>
        <w:rPr>
          <w:sz w:val="32"/>
          <w:szCs w:val="32"/>
        </w:rPr>
      </w:pPr>
      <w:r>
        <w:rPr>
          <w:rFonts w:hint="eastAsia"/>
          <w:sz w:val="32"/>
          <w:szCs w:val="32"/>
        </w:rPr>
        <w:t>纪慧敏 保定市生态环境局徐水区分局</w:t>
      </w:r>
    </w:p>
    <w:p>
      <w:pPr>
        <w:spacing w:before="312" w:beforeLines="100" w:after="312" w:afterLines="100" w:line="400" w:lineRule="exact"/>
        <w:ind w:firstLine="1920" w:firstLineChars="600"/>
        <w:rPr>
          <w:sz w:val="32"/>
          <w:szCs w:val="32"/>
        </w:rPr>
      </w:pPr>
      <w:r>
        <w:rPr>
          <w:rFonts w:hint="eastAsia"/>
          <w:sz w:val="32"/>
          <w:szCs w:val="32"/>
        </w:rPr>
        <w:t>郑红莉 保定市生态环境局徐水区分局</w:t>
      </w:r>
    </w:p>
    <w:p>
      <w:pPr>
        <w:pStyle w:val="2"/>
        <w:ind w:firstLine="1920" w:firstLineChars="600"/>
        <w:rPr>
          <w:lang w:val="en-US"/>
        </w:rPr>
      </w:pPr>
      <w:r>
        <w:rPr>
          <w:rFonts w:hint="eastAsia"/>
          <w:sz w:val="32"/>
          <w:szCs w:val="32"/>
          <w:lang w:val="en-US"/>
        </w:rPr>
        <w:t>靳  新 保定市生态环境局徐水区分局</w:t>
      </w:r>
    </w:p>
    <w:p>
      <w:pPr>
        <w:spacing w:before="312" w:beforeLines="100" w:after="312" w:afterLines="100" w:line="400" w:lineRule="exact"/>
        <w:ind w:firstLine="1920" w:firstLineChars="600"/>
        <w:rPr>
          <w:sz w:val="32"/>
          <w:szCs w:val="32"/>
        </w:rPr>
      </w:pPr>
      <w:r>
        <w:rPr>
          <w:sz w:val="32"/>
          <w:szCs w:val="32"/>
        </w:rPr>
        <w:t>徐</w:t>
      </w:r>
      <w:r>
        <w:rPr>
          <w:rFonts w:hint="eastAsia"/>
          <w:sz w:val="32"/>
          <w:szCs w:val="32"/>
        </w:rPr>
        <w:t xml:space="preserve">  </w:t>
      </w:r>
      <w:r>
        <w:rPr>
          <w:sz w:val="32"/>
          <w:szCs w:val="32"/>
        </w:rPr>
        <w:t>雪</w:t>
      </w:r>
      <w:r>
        <w:rPr>
          <w:rFonts w:hint="eastAsia"/>
          <w:sz w:val="32"/>
          <w:szCs w:val="32"/>
        </w:rPr>
        <w:t xml:space="preserve"> 保定市徐水区农业农村局</w:t>
      </w:r>
    </w:p>
    <w:p>
      <w:pPr>
        <w:spacing w:before="312" w:beforeLines="100" w:after="312" w:afterLines="100" w:line="400" w:lineRule="exact"/>
        <w:ind w:firstLine="1920" w:firstLineChars="600"/>
        <w:rPr>
          <w:sz w:val="32"/>
          <w:szCs w:val="32"/>
        </w:rPr>
      </w:pPr>
      <w:r>
        <w:rPr>
          <w:rFonts w:hint="eastAsia"/>
          <w:sz w:val="32"/>
          <w:szCs w:val="32"/>
        </w:rPr>
        <w:t>崔明新 保定市徐水区农业农村局</w:t>
      </w:r>
    </w:p>
    <w:p>
      <w:pPr>
        <w:spacing w:before="312" w:beforeLines="100" w:after="312" w:afterLines="100" w:line="400" w:lineRule="exact"/>
        <w:ind w:firstLine="1920" w:firstLineChars="600"/>
        <w:rPr>
          <w:sz w:val="32"/>
          <w:szCs w:val="32"/>
        </w:rPr>
      </w:pPr>
      <w:r>
        <w:rPr>
          <w:sz w:val="32"/>
          <w:szCs w:val="32"/>
        </w:rPr>
        <w:t>魏惠鑫</w:t>
      </w:r>
      <w:r>
        <w:rPr>
          <w:rFonts w:hint="eastAsia"/>
          <w:sz w:val="32"/>
          <w:szCs w:val="32"/>
        </w:rPr>
        <w:t xml:space="preserve"> 保定市徐水区农业农村局</w:t>
      </w:r>
    </w:p>
    <w:p>
      <w:pPr>
        <w:spacing w:before="312" w:beforeLines="100" w:after="312" w:afterLines="100" w:line="400" w:lineRule="exact"/>
        <w:ind w:firstLine="1920" w:firstLineChars="600"/>
        <w:rPr>
          <w:sz w:val="32"/>
          <w:szCs w:val="32"/>
        </w:rPr>
      </w:pPr>
      <w:r>
        <w:rPr>
          <w:sz w:val="32"/>
          <w:szCs w:val="32"/>
        </w:rPr>
        <w:t>秦</w:t>
      </w:r>
      <w:r>
        <w:rPr>
          <w:rFonts w:hint="eastAsia"/>
          <w:sz w:val="32"/>
          <w:szCs w:val="32"/>
        </w:rPr>
        <w:t xml:space="preserve">  </w:t>
      </w:r>
      <w:r>
        <w:rPr>
          <w:sz w:val="32"/>
          <w:szCs w:val="32"/>
        </w:rPr>
        <w:t>哲</w:t>
      </w:r>
      <w:r>
        <w:rPr>
          <w:rFonts w:hint="eastAsia"/>
          <w:sz w:val="32"/>
          <w:szCs w:val="32"/>
        </w:rPr>
        <w:t xml:space="preserve"> 河北大学</w:t>
      </w:r>
    </w:p>
    <w:p>
      <w:pPr>
        <w:spacing w:before="312" w:beforeLines="100" w:after="312" w:afterLines="100" w:line="400" w:lineRule="exact"/>
        <w:ind w:firstLine="1920" w:firstLineChars="600"/>
        <w:rPr>
          <w:sz w:val="32"/>
          <w:szCs w:val="32"/>
        </w:rPr>
      </w:pPr>
      <w:r>
        <w:rPr>
          <w:sz w:val="32"/>
          <w:szCs w:val="32"/>
        </w:rPr>
        <w:t>郝玉芬</w:t>
      </w:r>
      <w:r>
        <w:rPr>
          <w:rFonts w:hint="eastAsia"/>
          <w:sz w:val="32"/>
          <w:szCs w:val="32"/>
        </w:rPr>
        <w:t xml:space="preserve"> 河北大学</w:t>
      </w:r>
    </w:p>
    <w:p>
      <w:pPr>
        <w:spacing w:before="312" w:beforeLines="100" w:after="312" w:afterLines="100" w:line="400" w:lineRule="exact"/>
        <w:ind w:firstLine="1920" w:firstLineChars="600"/>
        <w:rPr>
          <w:sz w:val="32"/>
          <w:szCs w:val="32"/>
        </w:rPr>
        <w:sectPr>
          <w:pgSz w:w="11906" w:h="16838"/>
          <w:pgMar w:top="1701" w:right="1418" w:bottom="1418" w:left="1701" w:header="851" w:footer="992" w:gutter="0"/>
          <w:cols w:space="720" w:num="1"/>
          <w:docGrid w:type="lines" w:linePitch="312" w:charSpace="0"/>
        </w:sectPr>
      </w:pPr>
      <w:r>
        <w:rPr>
          <w:sz w:val="32"/>
          <w:szCs w:val="32"/>
        </w:rPr>
        <w:t>李凌瑶</w:t>
      </w:r>
      <w:r>
        <w:rPr>
          <w:rFonts w:hint="eastAsia"/>
          <w:sz w:val="32"/>
          <w:szCs w:val="32"/>
        </w:rPr>
        <w:t xml:space="preserve"> 河北寰瀛环保技术有限公司</w:t>
      </w:r>
    </w:p>
    <w:p>
      <w:pPr>
        <w:jc w:val="center"/>
        <w:rPr>
          <w:sz w:val="52"/>
          <w:szCs w:val="72"/>
        </w:rPr>
      </w:pPr>
      <w:r>
        <w:rPr>
          <w:sz w:val="52"/>
          <w:szCs w:val="72"/>
        </w:rPr>
        <w:t>目  录</w:t>
      </w:r>
    </w:p>
    <w:sdt>
      <w:sdtPr>
        <w:rPr>
          <w:color w:val="000000"/>
          <w:sz w:val="24"/>
          <w:szCs w:val="21"/>
          <w:lang w:val="zh-CN"/>
        </w:rPr>
        <w:id w:val="147465870"/>
      </w:sdtPr>
      <w:sdtEndPr>
        <w:rPr>
          <w:color w:val="000000"/>
          <w:sz w:val="24"/>
          <w:szCs w:val="21"/>
          <w:lang w:val="zh-CN"/>
        </w:rPr>
      </w:sdtEndPr>
      <w:sdtContent>
        <w:p>
          <w:pPr>
            <w:jc w:val="center"/>
          </w:pPr>
        </w:p>
        <w:p>
          <w:pPr>
            <w:pStyle w:val="19"/>
            <w:tabs>
              <w:tab w:val="right" w:leader="dot" w:pos="8787"/>
            </w:tabs>
          </w:pPr>
          <w:r>
            <w:rPr>
              <w:sz w:val="24"/>
              <w:szCs w:val="32"/>
            </w:rPr>
            <w:fldChar w:fldCharType="begin"/>
          </w:r>
          <w:r>
            <w:rPr>
              <w:sz w:val="24"/>
              <w:szCs w:val="32"/>
            </w:rPr>
            <w:instrText xml:space="preserve">TOC \o "1-2" \h \u </w:instrText>
          </w:r>
          <w:r>
            <w:rPr>
              <w:sz w:val="24"/>
              <w:szCs w:val="32"/>
            </w:rPr>
            <w:fldChar w:fldCharType="separate"/>
          </w:r>
          <w:r>
            <w:fldChar w:fldCharType="begin"/>
          </w:r>
          <w:r>
            <w:instrText xml:space="preserve"> HYPERLINK \l "_Toc6964" </w:instrText>
          </w:r>
          <w:r>
            <w:fldChar w:fldCharType="separate"/>
          </w:r>
          <w:r>
            <w:t>1.总论</w:t>
          </w:r>
          <w:r>
            <w:tab/>
          </w:r>
          <w:r>
            <w:fldChar w:fldCharType="begin"/>
          </w:r>
          <w:r>
            <w:instrText xml:space="preserve"> PAGEREF _Toc6964 \h </w:instrText>
          </w:r>
          <w:r>
            <w:fldChar w:fldCharType="separate"/>
          </w:r>
          <w:r>
            <w:t>1</w:t>
          </w:r>
          <w:r>
            <w:fldChar w:fldCharType="end"/>
          </w:r>
          <w:r>
            <w:fldChar w:fldCharType="end"/>
          </w:r>
        </w:p>
        <w:p>
          <w:pPr>
            <w:pStyle w:val="20"/>
            <w:tabs>
              <w:tab w:val="right" w:leader="dot" w:pos="8787"/>
            </w:tabs>
          </w:pPr>
          <w:r>
            <w:fldChar w:fldCharType="begin"/>
          </w:r>
          <w:r>
            <w:instrText xml:space="preserve"> HYPERLINK \l "_Toc645" </w:instrText>
          </w:r>
          <w:r>
            <w:fldChar w:fldCharType="separate"/>
          </w:r>
          <w:r>
            <w:t>1.1规划背景</w:t>
          </w:r>
          <w:r>
            <w:tab/>
          </w:r>
          <w:r>
            <w:fldChar w:fldCharType="begin"/>
          </w:r>
          <w:r>
            <w:instrText xml:space="preserve"> PAGEREF _Toc645 \h </w:instrText>
          </w:r>
          <w:r>
            <w:fldChar w:fldCharType="separate"/>
          </w:r>
          <w:r>
            <w:t>1</w:t>
          </w:r>
          <w:r>
            <w:fldChar w:fldCharType="end"/>
          </w:r>
          <w:r>
            <w:fldChar w:fldCharType="end"/>
          </w:r>
        </w:p>
        <w:p>
          <w:pPr>
            <w:pStyle w:val="20"/>
            <w:tabs>
              <w:tab w:val="right" w:leader="dot" w:pos="8787"/>
            </w:tabs>
          </w:pPr>
          <w:r>
            <w:fldChar w:fldCharType="begin"/>
          </w:r>
          <w:r>
            <w:instrText xml:space="preserve"> HYPERLINK \l "_Toc24218" </w:instrText>
          </w:r>
          <w:r>
            <w:fldChar w:fldCharType="separate"/>
          </w:r>
          <w:r>
            <w:t>1.2规划指导思想</w:t>
          </w:r>
          <w:r>
            <w:tab/>
          </w:r>
          <w:r>
            <w:fldChar w:fldCharType="begin"/>
          </w:r>
          <w:r>
            <w:instrText xml:space="preserve"> PAGEREF _Toc24218 \h </w:instrText>
          </w:r>
          <w:r>
            <w:fldChar w:fldCharType="separate"/>
          </w:r>
          <w:r>
            <w:t>2</w:t>
          </w:r>
          <w:r>
            <w:fldChar w:fldCharType="end"/>
          </w:r>
          <w:r>
            <w:fldChar w:fldCharType="end"/>
          </w:r>
        </w:p>
        <w:p>
          <w:pPr>
            <w:pStyle w:val="20"/>
            <w:tabs>
              <w:tab w:val="right" w:leader="dot" w:pos="8787"/>
            </w:tabs>
          </w:pPr>
          <w:r>
            <w:fldChar w:fldCharType="begin"/>
          </w:r>
          <w:r>
            <w:instrText xml:space="preserve"> HYPERLINK \l "_Toc28783" </w:instrText>
          </w:r>
          <w:r>
            <w:fldChar w:fldCharType="separate"/>
          </w:r>
          <w:r>
            <w:t>1.3规划编制的依据</w:t>
          </w:r>
          <w:r>
            <w:tab/>
          </w:r>
          <w:r>
            <w:fldChar w:fldCharType="begin"/>
          </w:r>
          <w:r>
            <w:instrText xml:space="preserve"> PAGEREF _Toc28783 \h </w:instrText>
          </w:r>
          <w:r>
            <w:fldChar w:fldCharType="separate"/>
          </w:r>
          <w:r>
            <w:t>3</w:t>
          </w:r>
          <w:r>
            <w:fldChar w:fldCharType="end"/>
          </w:r>
          <w:r>
            <w:fldChar w:fldCharType="end"/>
          </w:r>
        </w:p>
        <w:p>
          <w:pPr>
            <w:pStyle w:val="20"/>
            <w:tabs>
              <w:tab w:val="right" w:leader="dot" w:pos="8787"/>
            </w:tabs>
          </w:pPr>
          <w:r>
            <w:fldChar w:fldCharType="begin"/>
          </w:r>
          <w:r>
            <w:instrText xml:space="preserve"> HYPERLINK \l "_Toc29731" </w:instrText>
          </w:r>
          <w:r>
            <w:fldChar w:fldCharType="separate"/>
          </w:r>
          <w:r>
            <w:t>1.4规划范围和期限</w:t>
          </w:r>
          <w:r>
            <w:tab/>
          </w:r>
          <w:r>
            <w:fldChar w:fldCharType="begin"/>
          </w:r>
          <w:r>
            <w:instrText xml:space="preserve"> PAGEREF _Toc29731 \h </w:instrText>
          </w:r>
          <w:r>
            <w:fldChar w:fldCharType="separate"/>
          </w:r>
          <w:r>
            <w:t>7</w:t>
          </w:r>
          <w:r>
            <w:fldChar w:fldCharType="end"/>
          </w:r>
          <w:r>
            <w:fldChar w:fldCharType="end"/>
          </w:r>
        </w:p>
        <w:p>
          <w:pPr>
            <w:pStyle w:val="20"/>
            <w:tabs>
              <w:tab w:val="right" w:leader="dot" w:pos="8787"/>
            </w:tabs>
          </w:pPr>
          <w:r>
            <w:fldChar w:fldCharType="begin"/>
          </w:r>
          <w:r>
            <w:instrText xml:space="preserve"> HYPERLINK \l "_Toc14045" </w:instrText>
          </w:r>
          <w:r>
            <w:fldChar w:fldCharType="separate"/>
          </w:r>
          <w:r>
            <w:t>1.5规划保护目标</w:t>
          </w:r>
          <w:r>
            <w:tab/>
          </w:r>
          <w:r>
            <w:fldChar w:fldCharType="begin"/>
          </w:r>
          <w:r>
            <w:instrText xml:space="preserve"> PAGEREF _Toc14045 \h </w:instrText>
          </w:r>
          <w:r>
            <w:fldChar w:fldCharType="separate"/>
          </w:r>
          <w:r>
            <w:t>8</w:t>
          </w:r>
          <w:r>
            <w:fldChar w:fldCharType="end"/>
          </w:r>
          <w:r>
            <w:fldChar w:fldCharType="end"/>
          </w:r>
        </w:p>
        <w:p>
          <w:pPr>
            <w:pStyle w:val="20"/>
            <w:tabs>
              <w:tab w:val="right" w:leader="dot" w:pos="8787"/>
            </w:tabs>
          </w:pPr>
          <w:r>
            <w:fldChar w:fldCharType="begin"/>
          </w:r>
          <w:r>
            <w:instrText xml:space="preserve"> HYPERLINK \l "_Toc15550" </w:instrText>
          </w:r>
          <w:r>
            <w:fldChar w:fldCharType="separate"/>
          </w:r>
          <w:r>
            <w:t>1.6规划编制原则</w:t>
          </w:r>
          <w:r>
            <w:tab/>
          </w:r>
          <w:r>
            <w:fldChar w:fldCharType="begin"/>
          </w:r>
          <w:r>
            <w:instrText xml:space="preserve"> PAGEREF _Toc15550 \h </w:instrText>
          </w:r>
          <w:r>
            <w:fldChar w:fldCharType="separate"/>
          </w:r>
          <w:r>
            <w:t>13</w:t>
          </w:r>
          <w:r>
            <w:fldChar w:fldCharType="end"/>
          </w:r>
          <w:r>
            <w:fldChar w:fldCharType="end"/>
          </w:r>
        </w:p>
        <w:p>
          <w:pPr>
            <w:pStyle w:val="20"/>
            <w:tabs>
              <w:tab w:val="right" w:leader="dot" w:pos="8787"/>
            </w:tabs>
          </w:pPr>
          <w:r>
            <w:fldChar w:fldCharType="begin"/>
          </w:r>
          <w:r>
            <w:instrText xml:space="preserve"> HYPERLINK \l "_Toc15923" </w:instrText>
          </w:r>
          <w:r>
            <w:fldChar w:fldCharType="separate"/>
          </w:r>
          <w:r>
            <w:t>1.7规划编制目的和意义</w:t>
          </w:r>
          <w:r>
            <w:tab/>
          </w:r>
          <w:r>
            <w:fldChar w:fldCharType="begin"/>
          </w:r>
          <w:r>
            <w:instrText xml:space="preserve"> PAGEREF _Toc15923 \h </w:instrText>
          </w:r>
          <w:r>
            <w:fldChar w:fldCharType="separate"/>
          </w:r>
          <w:r>
            <w:t>14</w:t>
          </w:r>
          <w:r>
            <w:fldChar w:fldCharType="end"/>
          </w:r>
          <w:r>
            <w:fldChar w:fldCharType="end"/>
          </w:r>
        </w:p>
        <w:p>
          <w:pPr>
            <w:pStyle w:val="20"/>
            <w:tabs>
              <w:tab w:val="right" w:leader="dot" w:pos="8787"/>
            </w:tabs>
          </w:pPr>
          <w:r>
            <w:fldChar w:fldCharType="begin"/>
          </w:r>
          <w:r>
            <w:instrText xml:space="preserve"> HYPERLINK \l "_Toc1334" </w:instrText>
          </w:r>
          <w:r>
            <w:fldChar w:fldCharType="separate"/>
          </w:r>
          <w:r>
            <w:t>1.8规划技术路线</w:t>
          </w:r>
          <w:r>
            <w:tab/>
          </w:r>
          <w:r>
            <w:fldChar w:fldCharType="begin"/>
          </w:r>
          <w:r>
            <w:instrText xml:space="preserve"> PAGEREF _Toc1334 \h </w:instrText>
          </w:r>
          <w:r>
            <w:fldChar w:fldCharType="separate"/>
          </w:r>
          <w:r>
            <w:t>16</w:t>
          </w:r>
          <w:r>
            <w:fldChar w:fldCharType="end"/>
          </w:r>
          <w:r>
            <w:fldChar w:fldCharType="end"/>
          </w:r>
        </w:p>
        <w:p>
          <w:pPr>
            <w:pStyle w:val="19"/>
            <w:tabs>
              <w:tab w:val="right" w:leader="dot" w:pos="8787"/>
            </w:tabs>
          </w:pPr>
          <w:r>
            <w:fldChar w:fldCharType="begin"/>
          </w:r>
          <w:r>
            <w:instrText xml:space="preserve"> HYPERLINK \l "_Toc32755" </w:instrText>
          </w:r>
          <w:r>
            <w:fldChar w:fldCharType="separate"/>
          </w:r>
          <w:r>
            <w:t>2.区域基本情况</w:t>
          </w:r>
          <w:r>
            <w:tab/>
          </w:r>
          <w:r>
            <w:fldChar w:fldCharType="begin"/>
          </w:r>
          <w:r>
            <w:instrText xml:space="preserve"> PAGEREF _Toc32755 \h </w:instrText>
          </w:r>
          <w:r>
            <w:fldChar w:fldCharType="separate"/>
          </w:r>
          <w:r>
            <w:t>17</w:t>
          </w:r>
          <w:r>
            <w:fldChar w:fldCharType="end"/>
          </w:r>
          <w:r>
            <w:fldChar w:fldCharType="end"/>
          </w:r>
        </w:p>
        <w:p>
          <w:pPr>
            <w:pStyle w:val="20"/>
            <w:tabs>
              <w:tab w:val="right" w:leader="dot" w:pos="8787"/>
            </w:tabs>
          </w:pPr>
          <w:r>
            <w:fldChar w:fldCharType="begin"/>
          </w:r>
          <w:r>
            <w:instrText xml:space="preserve"> HYPERLINK \l "_Toc19102" </w:instrText>
          </w:r>
          <w:r>
            <w:fldChar w:fldCharType="separate"/>
          </w:r>
          <w:r>
            <w:t>2.1区域自然状况</w:t>
          </w:r>
          <w:r>
            <w:tab/>
          </w:r>
          <w:r>
            <w:fldChar w:fldCharType="begin"/>
          </w:r>
          <w:r>
            <w:instrText xml:space="preserve"> PAGEREF _Toc19102 \h </w:instrText>
          </w:r>
          <w:r>
            <w:fldChar w:fldCharType="separate"/>
          </w:r>
          <w:r>
            <w:t>17</w:t>
          </w:r>
          <w:r>
            <w:fldChar w:fldCharType="end"/>
          </w:r>
          <w:r>
            <w:fldChar w:fldCharType="end"/>
          </w:r>
        </w:p>
        <w:p>
          <w:pPr>
            <w:pStyle w:val="20"/>
            <w:tabs>
              <w:tab w:val="right" w:leader="dot" w:pos="8787"/>
            </w:tabs>
          </w:pPr>
          <w:r>
            <w:fldChar w:fldCharType="begin"/>
          </w:r>
          <w:r>
            <w:instrText xml:space="preserve"> HYPERLINK \l "_Toc31591" </w:instrText>
          </w:r>
          <w:r>
            <w:fldChar w:fldCharType="separate"/>
          </w:r>
          <w:r>
            <w:t>2.2区域社会经济现状</w:t>
          </w:r>
          <w:r>
            <w:tab/>
          </w:r>
          <w:r>
            <w:fldChar w:fldCharType="begin"/>
          </w:r>
          <w:r>
            <w:instrText xml:space="preserve"> PAGEREF _Toc31591 \h </w:instrText>
          </w:r>
          <w:r>
            <w:fldChar w:fldCharType="separate"/>
          </w:r>
          <w:r>
            <w:t>19</w:t>
          </w:r>
          <w:r>
            <w:fldChar w:fldCharType="end"/>
          </w:r>
          <w:r>
            <w:fldChar w:fldCharType="end"/>
          </w:r>
        </w:p>
        <w:p>
          <w:pPr>
            <w:pStyle w:val="20"/>
            <w:tabs>
              <w:tab w:val="right" w:leader="dot" w:pos="8787"/>
            </w:tabs>
          </w:pPr>
          <w:r>
            <w:fldChar w:fldCharType="begin"/>
          </w:r>
          <w:r>
            <w:instrText xml:space="preserve"> HYPERLINK \l "_Toc12892" </w:instrText>
          </w:r>
          <w:r>
            <w:fldChar w:fldCharType="separate"/>
          </w:r>
          <w:r>
            <w:t>2.3区域生态环境状况</w:t>
          </w:r>
          <w:r>
            <w:tab/>
          </w:r>
          <w:r>
            <w:fldChar w:fldCharType="begin"/>
          </w:r>
          <w:r>
            <w:instrText xml:space="preserve"> PAGEREF _Toc12892 \h </w:instrText>
          </w:r>
          <w:r>
            <w:fldChar w:fldCharType="separate"/>
          </w:r>
          <w:r>
            <w:t>20</w:t>
          </w:r>
          <w:r>
            <w:fldChar w:fldCharType="end"/>
          </w:r>
          <w:r>
            <w:fldChar w:fldCharType="end"/>
          </w:r>
        </w:p>
        <w:p>
          <w:pPr>
            <w:pStyle w:val="20"/>
            <w:tabs>
              <w:tab w:val="right" w:leader="dot" w:pos="8787"/>
            </w:tabs>
          </w:pPr>
          <w:r>
            <w:fldChar w:fldCharType="begin"/>
          </w:r>
          <w:r>
            <w:instrText xml:space="preserve"> HYPERLINK \l "_Toc32387" </w:instrText>
          </w:r>
          <w:r>
            <w:fldChar w:fldCharType="separate"/>
          </w:r>
          <w:r>
            <w:t>2.4畜禽养殖污染防治现状</w:t>
          </w:r>
          <w:r>
            <w:tab/>
          </w:r>
          <w:r>
            <w:fldChar w:fldCharType="begin"/>
          </w:r>
          <w:r>
            <w:instrText xml:space="preserve"> PAGEREF _Toc32387 \h </w:instrText>
          </w:r>
          <w:r>
            <w:fldChar w:fldCharType="separate"/>
          </w:r>
          <w:r>
            <w:t>21</w:t>
          </w:r>
          <w:r>
            <w:fldChar w:fldCharType="end"/>
          </w:r>
          <w:r>
            <w:fldChar w:fldCharType="end"/>
          </w:r>
        </w:p>
        <w:p>
          <w:pPr>
            <w:pStyle w:val="19"/>
            <w:tabs>
              <w:tab w:val="right" w:leader="dot" w:pos="8787"/>
            </w:tabs>
          </w:pPr>
          <w:r>
            <w:fldChar w:fldCharType="begin"/>
          </w:r>
          <w:r>
            <w:instrText xml:space="preserve"> HYPERLINK \l "_Toc8240" </w:instrText>
          </w:r>
          <w:r>
            <w:fldChar w:fldCharType="separate"/>
          </w:r>
          <w:r>
            <w:t>3.规划目标</w:t>
          </w:r>
          <w:r>
            <w:tab/>
          </w:r>
          <w:r>
            <w:fldChar w:fldCharType="begin"/>
          </w:r>
          <w:r>
            <w:instrText xml:space="preserve"> PAGEREF _Toc8240 \h </w:instrText>
          </w:r>
          <w:r>
            <w:fldChar w:fldCharType="separate"/>
          </w:r>
          <w:r>
            <w:t>51</w:t>
          </w:r>
          <w:r>
            <w:fldChar w:fldCharType="end"/>
          </w:r>
          <w:r>
            <w:fldChar w:fldCharType="end"/>
          </w:r>
        </w:p>
        <w:p>
          <w:pPr>
            <w:pStyle w:val="20"/>
            <w:tabs>
              <w:tab w:val="right" w:leader="dot" w:pos="8787"/>
            </w:tabs>
          </w:pPr>
          <w:r>
            <w:fldChar w:fldCharType="begin"/>
          </w:r>
          <w:r>
            <w:instrText xml:space="preserve"> HYPERLINK \l "_Toc23857" </w:instrText>
          </w:r>
          <w:r>
            <w:fldChar w:fldCharType="separate"/>
          </w:r>
          <w:r>
            <w:t>3.1总体目标</w:t>
          </w:r>
          <w:r>
            <w:tab/>
          </w:r>
          <w:r>
            <w:fldChar w:fldCharType="begin"/>
          </w:r>
          <w:r>
            <w:instrText xml:space="preserve"> PAGEREF _Toc23857 \h </w:instrText>
          </w:r>
          <w:r>
            <w:fldChar w:fldCharType="separate"/>
          </w:r>
          <w:r>
            <w:t>51</w:t>
          </w:r>
          <w:r>
            <w:fldChar w:fldCharType="end"/>
          </w:r>
          <w:r>
            <w:fldChar w:fldCharType="end"/>
          </w:r>
        </w:p>
        <w:p>
          <w:pPr>
            <w:pStyle w:val="20"/>
            <w:tabs>
              <w:tab w:val="right" w:leader="dot" w:pos="8787"/>
            </w:tabs>
          </w:pPr>
          <w:r>
            <w:fldChar w:fldCharType="begin"/>
          </w:r>
          <w:r>
            <w:instrText xml:space="preserve"> HYPERLINK \l "_Toc25282" </w:instrText>
          </w:r>
          <w:r>
            <w:fldChar w:fldCharType="separate"/>
          </w:r>
          <w:r>
            <w:t>3.2阶段目标</w:t>
          </w:r>
          <w:r>
            <w:tab/>
          </w:r>
          <w:r>
            <w:fldChar w:fldCharType="begin"/>
          </w:r>
          <w:r>
            <w:instrText xml:space="preserve"> PAGEREF _Toc25282 \h </w:instrText>
          </w:r>
          <w:r>
            <w:fldChar w:fldCharType="separate"/>
          </w:r>
          <w:r>
            <w:t>51</w:t>
          </w:r>
          <w:r>
            <w:fldChar w:fldCharType="end"/>
          </w:r>
          <w:r>
            <w:fldChar w:fldCharType="end"/>
          </w:r>
        </w:p>
        <w:p>
          <w:pPr>
            <w:pStyle w:val="20"/>
            <w:tabs>
              <w:tab w:val="right" w:leader="dot" w:pos="8787"/>
            </w:tabs>
          </w:pPr>
          <w:r>
            <w:fldChar w:fldCharType="begin"/>
          </w:r>
          <w:r>
            <w:instrText xml:space="preserve"> HYPERLINK \l "_Toc29759" </w:instrText>
          </w:r>
          <w:r>
            <w:fldChar w:fldCharType="separate"/>
          </w:r>
          <w:r>
            <w:t>3.3畜禽养殖环境承载力分析</w:t>
          </w:r>
          <w:r>
            <w:tab/>
          </w:r>
          <w:r>
            <w:fldChar w:fldCharType="begin"/>
          </w:r>
          <w:r>
            <w:instrText xml:space="preserve"> PAGEREF _Toc29759 \h </w:instrText>
          </w:r>
          <w:r>
            <w:fldChar w:fldCharType="separate"/>
          </w:r>
          <w:r>
            <w:t>52</w:t>
          </w:r>
          <w:r>
            <w:fldChar w:fldCharType="end"/>
          </w:r>
          <w:r>
            <w:fldChar w:fldCharType="end"/>
          </w:r>
        </w:p>
        <w:p>
          <w:pPr>
            <w:pStyle w:val="20"/>
            <w:tabs>
              <w:tab w:val="right" w:leader="dot" w:pos="8787"/>
            </w:tabs>
          </w:pPr>
          <w:r>
            <w:fldChar w:fldCharType="begin"/>
          </w:r>
          <w:r>
            <w:instrText xml:space="preserve"> HYPERLINK \l "_Toc4457" </w:instrText>
          </w:r>
          <w:r>
            <w:fldChar w:fldCharType="separate"/>
          </w:r>
          <w:r>
            <w:t>3.4目标可实现性分析</w:t>
          </w:r>
          <w:r>
            <w:tab/>
          </w:r>
          <w:r>
            <w:fldChar w:fldCharType="begin"/>
          </w:r>
          <w:r>
            <w:instrText xml:space="preserve"> PAGEREF _Toc4457 \h </w:instrText>
          </w:r>
          <w:r>
            <w:fldChar w:fldCharType="separate"/>
          </w:r>
          <w:r>
            <w:t>54</w:t>
          </w:r>
          <w:r>
            <w:fldChar w:fldCharType="end"/>
          </w:r>
          <w:r>
            <w:fldChar w:fldCharType="end"/>
          </w:r>
        </w:p>
        <w:p>
          <w:pPr>
            <w:pStyle w:val="19"/>
            <w:tabs>
              <w:tab w:val="right" w:leader="dot" w:pos="8787"/>
            </w:tabs>
          </w:pPr>
          <w:r>
            <w:fldChar w:fldCharType="begin"/>
          </w:r>
          <w:r>
            <w:instrText xml:space="preserve"> HYPERLINK \l "_Toc23677" </w:instrText>
          </w:r>
          <w:r>
            <w:fldChar w:fldCharType="separate"/>
          </w:r>
          <w:r>
            <w:t>4.主要任务</w:t>
          </w:r>
          <w:r>
            <w:tab/>
          </w:r>
          <w:r>
            <w:fldChar w:fldCharType="begin"/>
          </w:r>
          <w:r>
            <w:instrText xml:space="preserve"> PAGEREF _Toc23677 \h </w:instrText>
          </w:r>
          <w:r>
            <w:fldChar w:fldCharType="separate"/>
          </w:r>
          <w:r>
            <w:t>57</w:t>
          </w:r>
          <w:r>
            <w:fldChar w:fldCharType="end"/>
          </w:r>
          <w:r>
            <w:fldChar w:fldCharType="end"/>
          </w:r>
        </w:p>
        <w:p>
          <w:pPr>
            <w:pStyle w:val="20"/>
            <w:tabs>
              <w:tab w:val="right" w:leader="dot" w:pos="8787"/>
            </w:tabs>
          </w:pPr>
          <w:r>
            <w:fldChar w:fldCharType="begin"/>
          </w:r>
          <w:r>
            <w:instrText xml:space="preserve"> HYPERLINK \l "_Toc3385" </w:instrText>
          </w:r>
          <w:r>
            <w:fldChar w:fldCharType="separate"/>
          </w:r>
          <w:r>
            <w:t>4.1畜禽养殖污染治理总体要求</w:t>
          </w:r>
          <w:r>
            <w:tab/>
          </w:r>
          <w:r>
            <w:fldChar w:fldCharType="begin"/>
          </w:r>
          <w:r>
            <w:instrText xml:space="preserve"> PAGEREF _Toc3385 \h </w:instrText>
          </w:r>
          <w:r>
            <w:fldChar w:fldCharType="separate"/>
          </w:r>
          <w:r>
            <w:t>57</w:t>
          </w:r>
          <w:r>
            <w:fldChar w:fldCharType="end"/>
          </w:r>
          <w:r>
            <w:fldChar w:fldCharType="end"/>
          </w:r>
        </w:p>
        <w:p>
          <w:pPr>
            <w:pStyle w:val="20"/>
            <w:tabs>
              <w:tab w:val="right" w:leader="dot" w:pos="8787"/>
            </w:tabs>
          </w:pPr>
          <w:r>
            <w:fldChar w:fldCharType="begin"/>
          </w:r>
          <w:r>
            <w:instrText xml:space="preserve"> HYPERLINK \l "_Toc6155" </w:instrText>
          </w:r>
          <w:r>
            <w:fldChar w:fldCharType="separate"/>
          </w:r>
          <w:r>
            <w:t>4.2畜禽养殖区域划分</w:t>
          </w:r>
          <w:r>
            <w:tab/>
          </w:r>
          <w:r>
            <w:fldChar w:fldCharType="begin"/>
          </w:r>
          <w:r>
            <w:instrText xml:space="preserve"> PAGEREF _Toc6155 \h </w:instrText>
          </w:r>
          <w:r>
            <w:fldChar w:fldCharType="separate"/>
          </w:r>
          <w:r>
            <w:t>57</w:t>
          </w:r>
          <w:r>
            <w:fldChar w:fldCharType="end"/>
          </w:r>
          <w:r>
            <w:fldChar w:fldCharType="end"/>
          </w:r>
        </w:p>
        <w:p>
          <w:pPr>
            <w:pStyle w:val="20"/>
            <w:tabs>
              <w:tab w:val="right" w:leader="dot" w:pos="8787"/>
            </w:tabs>
          </w:pPr>
          <w:r>
            <w:fldChar w:fldCharType="begin"/>
          </w:r>
          <w:r>
            <w:instrText xml:space="preserve"> HYPERLINK \l "_Toc26541" </w:instrText>
          </w:r>
          <w:r>
            <w:fldChar w:fldCharType="separate"/>
          </w:r>
          <w:r>
            <w:t>4.3建立健全台账管理制度</w:t>
          </w:r>
          <w:r>
            <w:tab/>
          </w:r>
          <w:r>
            <w:fldChar w:fldCharType="begin"/>
          </w:r>
          <w:r>
            <w:instrText xml:space="preserve"> PAGEREF _Toc26541 \h </w:instrText>
          </w:r>
          <w:r>
            <w:fldChar w:fldCharType="separate"/>
          </w:r>
          <w:r>
            <w:t>60</w:t>
          </w:r>
          <w:r>
            <w:fldChar w:fldCharType="end"/>
          </w:r>
          <w:r>
            <w:fldChar w:fldCharType="end"/>
          </w:r>
        </w:p>
        <w:p>
          <w:pPr>
            <w:pStyle w:val="20"/>
            <w:tabs>
              <w:tab w:val="right" w:leader="dot" w:pos="8787"/>
            </w:tabs>
          </w:pPr>
          <w:r>
            <w:fldChar w:fldCharType="begin"/>
          </w:r>
          <w:r>
            <w:instrText xml:space="preserve"> HYPERLINK \l "_Toc4848" </w:instrText>
          </w:r>
          <w:r>
            <w:fldChar w:fldCharType="separate"/>
          </w:r>
          <w:r>
            <w:t>4.4畜禽养殖污染防治方案</w:t>
          </w:r>
          <w:r>
            <w:tab/>
          </w:r>
          <w:r>
            <w:fldChar w:fldCharType="begin"/>
          </w:r>
          <w:r>
            <w:instrText xml:space="preserve"> PAGEREF _Toc4848 \h </w:instrText>
          </w:r>
          <w:r>
            <w:fldChar w:fldCharType="separate"/>
          </w:r>
          <w:r>
            <w:t>61</w:t>
          </w:r>
          <w:r>
            <w:fldChar w:fldCharType="end"/>
          </w:r>
          <w:r>
            <w:fldChar w:fldCharType="end"/>
          </w:r>
        </w:p>
        <w:p>
          <w:pPr>
            <w:pStyle w:val="20"/>
            <w:tabs>
              <w:tab w:val="right" w:leader="dot" w:pos="8787"/>
            </w:tabs>
          </w:pPr>
          <w:r>
            <w:fldChar w:fldCharType="begin"/>
          </w:r>
          <w:r>
            <w:instrText xml:space="preserve"> HYPERLINK \l "_Toc17245" </w:instrText>
          </w:r>
          <w:r>
            <w:fldChar w:fldCharType="separate"/>
          </w:r>
          <w:r>
            <w:t>4.5畜禽养殖污染防治技术</w:t>
          </w:r>
          <w:r>
            <w:tab/>
          </w:r>
          <w:r>
            <w:fldChar w:fldCharType="begin"/>
          </w:r>
          <w:r>
            <w:instrText xml:space="preserve"> PAGEREF _Toc17245 \h </w:instrText>
          </w:r>
          <w:r>
            <w:fldChar w:fldCharType="separate"/>
          </w:r>
          <w:r>
            <w:t>65</w:t>
          </w:r>
          <w:r>
            <w:fldChar w:fldCharType="end"/>
          </w:r>
          <w:r>
            <w:fldChar w:fldCharType="end"/>
          </w:r>
        </w:p>
        <w:p>
          <w:pPr>
            <w:pStyle w:val="20"/>
            <w:tabs>
              <w:tab w:val="right" w:leader="dot" w:pos="8787"/>
            </w:tabs>
          </w:pPr>
          <w:r>
            <w:fldChar w:fldCharType="begin"/>
          </w:r>
          <w:r>
            <w:instrText xml:space="preserve"> HYPERLINK \l "_Toc22882" </w:instrText>
          </w:r>
          <w:r>
            <w:fldChar w:fldCharType="separate"/>
          </w:r>
          <w:r>
            <w:t>4.6培育社会化服务组织</w:t>
          </w:r>
          <w:r>
            <w:tab/>
          </w:r>
          <w:r>
            <w:fldChar w:fldCharType="begin"/>
          </w:r>
          <w:r>
            <w:instrText xml:space="preserve"> PAGEREF _Toc22882 \h </w:instrText>
          </w:r>
          <w:r>
            <w:fldChar w:fldCharType="separate"/>
          </w:r>
          <w:r>
            <w:t>69</w:t>
          </w:r>
          <w:r>
            <w:fldChar w:fldCharType="end"/>
          </w:r>
          <w:r>
            <w:fldChar w:fldCharType="end"/>
          </w:r>
        </w:p>
        <w:p>
          <w:pPr>
            <w:pStyle w:val="20"/>
            <w:tabs>
              <w:tab w:val="right" w:leader="dot" w:pos="8787"/>
            </w:tabs>
          </w:pPr>
          <w:r>
            <w:fldChar w:fldCharType="begin"/>
          </w:r>
          <w:r>
            <w:instrText xml:space="preserve"> HYPERLINK \l "_Toc10144" </w:instrText>
          </w:r>
          <w:r>
            <w:fldChar w:fldCharType="separate"/>
          </w:r>
          <w:r>
            <w:t>4.7强化环境监管</w:t>
          </w:r>
          <w:r>
            <w:tab/>
          </w:r>
          <w:r>
            <w:fldChar w:fldCharType="begin"/>
          </w:r>
          <w:r>
            <w:instrText xml:space="preserve"> PAGEREF _Toc10144 \h </w:instrText>
          </w:r>
          <w:r>
            <w:fldChar w:fldCharType="separate"/>
          </w:r>
          <w:r>
            <w:t>70</w:t>
          </w:r>
          <w:r>
            <w:fldChar w:fldCharType="end"/>
          </w:r>
          <w:r>
            <w:fldChar w:fldCharType="end"/>
          </w:r>
        </w:p>
        <w:p>
          <w:pPr>
            <w:pStyle w:val="20"/>
            <w:tabs>
              <w:tab w:val="right" w:leader="dot" w:pos="8787"/>
            </w:tabs>
          </w:pPr>
          <w:r>
            <w:fldChar w:fldCharType="begin"/>
          </w:r>
          <w:r>
            <w:instrText xml:space="preserve"> HYPERLINK \l "_Toc14706" </w:instrText>
          </w:r>
          <w:r>
            <w:fldChar w:fldCharType="separate"/>
          </w:r>
          <w:r>
            <w:t>4.8提升规模化养殖场占比</w:t>
          </w:r>
          <w:r>
            <w:tab/>
          </w:r>
          <w:r>
            <w:fldChar w:fldCharType="begin"/>
          </w:r>
          <w:r>
            <w:instrText xml:space="preserve"> PAGEREF _Toc14706 \h </w:instrText>
          </w:r>
          <w:r>
            <w:fldChar w:fldCharType="separate"/>
          </w:r>
          <w:r>
            <w:t>70</w:t>
          </w:r>
          <w:r>
            <w:fldChar w:fldCharType="end"/>
          </w:r>
          <w:r>
            <w:fldChar w:fldCharType="end"/>
          </w:r>
        </w:p>
        <w:p>
          <w:pPr>
            <w:pStyle w:val="19"/>
            <w:tabs>
              <w:tab w:val="right" w:leader="dot" w:pos="8787"/>
            </w:tabs>
          </w:pPr>
          <w:r>
            <w:fldChar w:fldCharType="begin"/>
          </w:r>
          <w:r>
            <w:instrText xml:space="preserve"> HYPERLINK \l "_Toc17933" </w:instrText>
          </w:r>
          <w:r>
            <w:fldChar w:fldCharType="separate"/>
          </w:r>
          <w:r>
            <w:t>5重点工程</w:t>
          </w:r>
          <w:r>
            <w:tab/>
          </w:r>
          <w:r>
            <w:fldChar w:fldCharType="begin"/>
          </w:r>
          <w:r>
            <w:instrText xml:space="preserve"> PAGEREF _Toc17933 \h </w:instrText>
          </w:r>
          <w:r>
            <w:fldChar w:fldCharType="separate"/>
          </w:r>
          <w:r>
            <w:t>71</w:t>
          </w:r>
          <w:r>
            <w:fldChar w:fldCharType="end"/>
          </w:r>
          <w:r>
            <w:fldChar w:fldCharType="end"/>
          </w:r>
        </w:p>
        <w:p>
          <w:pPr>
            <w:pStyle w:val="20"/>
            <w:tabs>
              <w:tab w:val="right" w:leader="dot" w:pos="8787"/>
            </w:tabs>
          </w:pPr>
          <w:r>
            <w:fldChar w:fldCharType="begin"/>
          </w:r>
          <w:r>
            <w:instrText xml:space="preserve"> HYPERLINK \l "_Toc29430" </w:instrText>
          </w:r>
          <w:r>
            <w:fldChar w:fldCharType="separate"/>
          </w:r>
          <w:r>
            <w:t>5.1建设内容</w:t>
          </w:r>
          <w:r>
            <w:tab/>
          </w:r>
          <w:r>
            <w:fldChar w:fldCharType="begin"/>
          </w:r>
          <w:r>
            <w:instrText xml:space="preserve"> PAGEREF _Toc29430 \h </w:instrText>
          </w:r>
          <w:r>
            <w:fldChar w:fldCharType="separate"/>
          </w:r>
          <w:r>
            <w:t>71</w:t>
          </w:r>
          <w:r>
            <w:fldChar w:fldCharType="end"/>
          </w:r>
          <w:r>
            <w:fldChar w:fldCharType="end"/>
          </w:r>
        </w:p>
        <w:p>
          <w:pPr>
            <w:pStyle w:val="20"/>
            <w:tabs>
              <w:tab w:val="right" w:leader="dot" w:pos="8787"/>
            </w:tabs>
          </w:pPr>
          <w:r>
            <w:fldChar w:fldCharType="begin"/>
          </w:r>
          <w:r>
            <w:instrText xml:space="preserve"> HYPERLINK \l "_Toc26937" </w:instrText>
          </w:r>
          <w:r>
            <w:fldChar w:fldCharType="separate"/>
          </w:r>
          <w:r>
            <w:t>5.2建设主体</w:t>
          </w:r>
          <w:r>
            <w:tab/>
          </w:r>
          <w:r>
            <w:fldChar w:fldCharType="begin"/>
          </w:r>
          <w:r>
            <w:instrText xml:space="preserve"> PAGEREF _Toc26937 \h </w:instrText>
          </w:r>
          <w:r>
            <w:fldChar w:fldCharType="separate"/>
          </w:r>
          <w:r>
            <w:t>71</w:t>
          </w:r>
          <w:r>
            <w:fldChar w:fldCharType="end"/>
          </w:r>
          <w:r>
            <w:fldChar w:fldCharType="end"/>
          </w:r>
        </w:p>
        <w:p>
          <w:pPr>
            <w:pStyle w:val="20"/>
            <w:tabs>
              <w:tab w:val="right" w:leader="dot" w:pos="8787"/>
            </w:tabs>
          </w:pPr>
          <w:r>
            <w:fldChar w:fldCharType="begin"/>
          </w:r>
          <w:r>
            <w:instrText xml:space="preserve"> HYPERLINK \l "_Toc28650" </w:instrText>
          </w:r>
          <w:r>
            <w:fldChar w:fldCharType="separate"/>
          </w:r>
          <w:r>
            <w:t>5.3建设时限</w:t>
          </w:r>
          <w:r>
            <w:tab/>
          </w:r>
          <w:r>
            <w:fldChar w:fldCharType="begin"/>
          </w:r>
          <w:r>
            <w:instrText xml:space="preserve"> PAGEREF _Toc28650 \h </w:instrText>
          </w:r>
          <w:r>
            <w:fldChar w:fldCharType="separate"/>
          </w:r>
          <w:r>
            <w:t>72</w:t>
          </w:r>
          <w:r>
            <w:fldChar w:fldCharType="end"/>
          </w:r>
          <w:r>
            <w:fldChar w:fldCharType="end"/>
          </w:r>
        </w:p>
        <w:p>
          <w:pPr>
            <w:pStyle w:val="20"/>
            <w:tabs>
              <w:tab w:val="right" w:leader="dot" w:pos="8787"/>
            </w:tabs>
          </w:pPr>
          <w:r>
            <w:fldChar w:fldCharType="begin"/>
          </w:r>
          <w:r>
            <w:instrText xml:space="preserve"> HYPERLINK \l "_Toc15903" </w:instrText>
          </w:r>
          <w:r>
            <w:fldChar w:fldCharType="separate"/>
          </w:r>
          <w:r>
            <w:t>5.4项目管理</w:t>
          </w:r>
          <w:r>
            <w:tab/>
          </w:r>
          <w:r>
            <w:fldChar w:fldCharType="begin"/>
          </w:r>
          <w:r>
            <w:instrText xml:space="preserve"> PAGEREF _Toc15903 \h </w:instrText>
          </w:r>
          <w:r>
            <w:fldChar w:fldCharType="separate"/>
          </w:r>
          <w:r>
            <w:t>72</w:t>
          </w:r>
          <w:r>
            <w:fldChar w:fldCharType="end"/>
          </w:r>
          <w:r>
            <w:fldChar w:fldCharType="end"/>
          </w:r>
        </w:p>
        <w:p>
          <w:pPr>
            <w:pStyle w:val="20"/>
            <w:tabs>
              <w:tab w:val="right" w:leader="dot" w:pos="8787"/>
            </w:tabs>
          </w:pPr>
          <w:r>
            <w:fldChar w:fldCharType="begin"/>
          </w:r>
          <w:r>
            <w:instrText xml:space="preserve"> HYPERLINK \l "_Toc4247" </w:instrText>
          </w:r>
          <w:r>
            <w:fldChar w:fldCharType="separate"/>
          </w:r>
          <w:r>
            <w:t>5.5项目概算</w:t>
          </w:r>
          <w:r>
            <w:tab/>
          </w:r>
          <w:r>
            <w:fldChar w:fldCharType="begin"/>
          </w:r>
          <w:r>
            <w:instrText xml:space="preserve"> PAGEREF _Toc4247 \h </w:instrText>
          </w:r>
          <w:r>
            <w:fldChar w:fldCharType="separate"/>
          </w:r>
          <w:r>
            <w:t>73</w:t>
          </w:r>
          <w:r>
            <w:fldChar w:fldCharType="end"/>
          </w:r>
          <w:r>
            <w:fldChar w:fldCharType="end"/>
          </w:r>
        </w:p>
        <w:p>
          <w:pPr>
            <w:pStyle w:val="20"/>
            <w:tabs>
              <w:tab w:val="right" w:leader="dot" w:pos="8787"/>
            </w:tabs>
          </w:pPr>
          <w:r>
            <w:fldChar w:fldCharType="begin"/>
          </w:r>
          <w:r>
            <w:instrText xml:space="preserve"> HYPERLINK \l "_Toc30232" </w:instrText>
          </w:r>
          <w:r>
            <w:fldChar w:fldCharType="separate"/>
          </w:r>
          <w:r>
            <w:t>5.6综合效益</w:t>
          </w:r>
          <w:r>
            <w:tab/>
          </w:r>
          <w:r>
            <w:fldChar w:fldCharType="begin"/>
          </w:r>
          <w:r>
            <w:instrText xml:space="preserve"> PAGEREF _Toc30232 \h </w:instrText>
          </w:r>
          <w:r>
            <w:fldChar w:fldCharType="separate"/>
          </w:r>
          <w:r>
            <w:t>73</w:t>
          </w:r>
          <w:r>
            <w:fldChar w:fldCharType="end"/>
          </w:r>
          <w:r>
            <w:fldChar w:fldCharType="end"/>
          </w:r>
        </w:p>
        <w:p>
          <w:pPr>
            <w:pStyle w:val="19"/>
            <w:tabs>
              <w:tab w:val="right" w:leader="dot" w:pos="8787"/>
            </w:tabs>
          </w:pPr>
          <w:r>
            <w:fldChar w:fldCharType="begin"/>
          </w:r>
          <w:r>
            <w:instrText xml:space="preserve"> HYPERLINK \l "_Toc12872" </w:instrText>
          </w:r>
          <w:r>
            <w:fldChar w:fldCharType="separate"/>
          </w:r>
          <w:r>
            <w:t>6.效益分析</w:t>
          </w:r>
          <w:r>
            <w:tab/>
          </w:r>
          <w:r>
            <w:fldChar w:fldCharType="begin"/>
          </w:r>
          <w:r>
            <w:instrText xml:space="preserve"> PAGEREF _Toc12872 \h </w:instrText>
          </w:r>
          <w:r>
            <w:fldChar w:fldCharType="separate"/>
          </w:r>
          <w:r>
            <w:t>75</w:t>
          </w:r>
          <w:r>
            <w:fldChar w:fldCharType="end"/>
          </w:r>
          <w:r>
            <w:fldChar w:fldCharType="end"/>
          </w:r>
        </w:p>
        <w:p>
          <w:pPr>
            <w:pStyle w:val="20"/>
            <w:tabs>
              <w:tab w:val="right" w:leader="dot" w:pos="8787"/>
            </w:tabs>
          </w:pPr>
          <w:r>
            <w:fldChar w:fldCharType="begin"/>
          </w:r>
          <w:r>
            <w:instrText xml:space="preserve"> HYPERLINK \l "_Toc27985" </w:instrText>
          </w:r>
          <w:r>
            <w:fldChar w:fldCharType="separate"/>
          </w:r>
          <w:r>
            <w:t>6.1社会效益</w:t>
          </w:r>
          <w:r>
            <w:tab/>
          </w:r>
          <w:r>
            <w:fldChar w:fldCharType="begin"/>
          </w:r>
          <w:r>
            <w:instrText xml:space="preserve"> PAGEREF _Toc27985 \h </w:instrText>
          </w:r>
          <w:r>
            <w:fldChar w:fldCharType="separate"/>
          </w:r>
          <w:r>
            <w:t>75</w:t>
          </w:r>
          <w:r>
            <w:fldChar w:fldCharType="end"/>
          </w:r>
          <w:r>
            <w:fldChar w:fldCharType="end"/>
          </w:r>
        </w:p>
        <w:p>
          <w:pPr>
            <w:pStyle w:val="20"/>
            <w:tabs>
              <w:tab w:val="right" w:leader="dot" w:pos="8787"/>
            </w:tabs>
          </w:pPr>
          <w:r>
            <w:fldChar w:fldCharType="begin"/>
          </w:r>
          <w:r>
            <w:instrText xml:space="preserve"> HYPERLINK \l "_Toc3158" </w:instrText>
          </w:r>
          <w:r>
            <w:fldChar w:fldCharType="separate"/>
          </w:r>
          <w:r>
            <w:t>6.2生态效益</w:t>
          </w:r>
          <w:r>
            <w:tab/>
          </w:r>
          <w:r>
            <w:fldChar w:fldCharType="begin"/>
          </w:r>
          <w:r>
            <w:instrText xml:space="preserve"> PAGEREF _Toc3158 \h </w:instrText>
          </w:r>
          <w:r>
            <w:fldChar w:fldCharType="separate"/>
          </w:r>
          <w:r>
            <w:t>75</w:t>
          </w:r>
          <w:r>
            <w:fldChar w:fldCharType="end"/>
          </w:r>
          <w:r>
            <w:fldChar w:fldCharType="end"/>
          </w:r>
        </w:p>
        <w:p>
          <w:pPr>
            <w:pStyle w:val="20"/>
            <w:tabs>
              <w:tab w:val="right" w:leader="dot" w:pos="8787"/>
            </w:tabs>
          </w:pPr>
          <w:r>
            <w:fldChar w:fldCharType="begin"/>
          </w:r>
          <w:r>
            <w:instrText xml:space="preserve"> HYPERLINK \l "_Toc8729" </w:instrText>
          </w:r>
          <w:r>
            <w:fldChar w:fldCharType="separate"/>
          </w:r>
          <w:r>
            <w:t>6.3经济效益</w:t>
          </w:r>
          <w:r>
            <w:tab/>
          </w:r>
          <w:r>
            <w:fldChar w:fldCharType="begin"/>
          </w:r>
          <w:r>
            <w:instrText xml:space="preserve"> PAGEREF _Toc8729 \h </w:instrText>
          </w:r>
          <w:r>
            <w:fldChar w:fldCharType="separate"/>
          </w:r>
          <w:r>
            <w:t>76</w:t>
          </w:r>
          <w:r>
            <w:fldChar w:fldCharType="end"/>
          </w:r>
          <w:r>
            <w:fldChar w:fldCharType="end"/>
          </w:r>
        </w:p>
        <w:p>
          <w:pPr>
            <w:pStyle w:val="19"/>
            <w:tabs>
              <w:tab w:val="right" w:leader="dot" w:pos="8787"/>
            </w:tabs>
          </w:pPr>
          <w:r>
            <w:fldChar w:fldCharType="begin"/>
          </w:r>
          <w:r>
            <w:instrText xml:space="preserve"> HYPERLINK \l "_Toc7881" </w:instrText>
          </w:r>
          <w:r>
            <w:fldChar w:fldCharType="separate"/>
          </w:r>
          <w:r>
            <w:t>7.保障措施</w:t>
          </w:r>
          <w:r>
            <w:tab/>
          </w:r>
          <w:r>
            <w:fldChar w:fldCharType="begin"/>
          </w:r>
          <w:r>
            <w:instrText xml:space="preserve"> PAGEREF _Toc7881 \h </w:instrText>
          </w:r>
          <w:r>
            <w:fldChar w:fldCharType="separate"/>
          </w:r>
          <w:r>
            <w:t>77</w:t>
          </w:r>
          <w:r>
            <w:fldChar w:fldCharType="end"/>
          </w:r>
          <w:r>
            <w:fldChar w:fldCharType="end"/>
          </w:r>
        </w:p>
        <w:p>
          <w:pPr>
            <w:pStyle w:val="20"/>
            <w:tabs>
              <w:tab w:val="right" w:leader="dot" w:pos="8787"/>
            </w:tabs>
          </w:pPr>
          <w:r>
            <w:fldChar w:fldCharType="begin"/>
          </w:r>
          <w:r>
            <w:instrText xml:space="preserve"> HYPERLINK \l "_Toc27522" </w:instrText>
          </w:r>
          <w:r>
            <w:fldChar w:fldCharType="separate"/>
          </w:r>
          <w:r>
            <w:t>7.1组织领导</w:t>
          </w:r>
          <w:r>
            <w:tab/>
          </w:r>
          <w:r>
            <w:fldChar w:fldCharType="begin"/>
          </w:r>
          <w:r>
            <w:instrText xml:space="preserve"> PAGEREF _Toc27522 \h </w:instrText>
          </w:r>
          <w:r>
            <w:fldChar w:fldCharType="separate"/>
          </w:r>
          <w:r>
            <w:t>77</w:t>
          </w:r>
          <w:r>
            <w:fldChar w:fldCharType="end"/>
          </w:r>
          <w:r>
            <w:fldChar w:fldCharType="end"/>
          </w:r>
        </w:p>
        <w:p>
          <w:pPr>
            <w:pStyle w:val="20"/>
            <w:tabs>
              <w:tab w:val="right" w:leader="dot" w:pos="8787"/>
            </w:tabs>
          </w:pPr>
          <w:r>
            <w:fldChar w:fldCharType="begin"/>
          </w:r>
          <w:r>
            <w:instrText xml:space="preserve"> HYPERLINK \l "_Toc1770" </w:instrText>
          </w:r>
          <w:r>
            <w:fldChar w:fldCharType="separate"/>
          </w:r>
          <w:r>
            <w:t>7.2政策扶持</w:t>
          </w:r>
          <w:r>
            <w:tab/>
          </w:r>
          <w:r>
            <w:fldChar w:fldCharType="begin"/>
          </w:r>
          <w:r>
            <w:instrText xml:space="preserve"> PAGEREF _Toc1770 \h </w:instrText>
          </w:r>
          <w:r>
            <w:fldChar w:fldCharType="separate"/>
          </w:r>
          <w:r>
            <w:t>77</w:t>
          </w:r>
          <w:r>
            <w:fldChar w:fldCharType="end"/>
          </w:r>
          <w:r>
            <w:fldChar w:fldCharType="end"/>
          </w:r>
        </w:p>
        <w:p>
          <w:pPr>
            <w:pStyle w:val="20"/>
            <w:tabs>
              <w:tab w:val="right" w:leader="dot" w:pos="8787"/>
            </w:tabs>
          </w:pPr>
          <w:r>
            <w:fldChar w:fldCharType="begin"/>
          </w:r>
          <w:r>
            <w:instrText xml:space="preserve"> HYPERLINK \l "_Toc4649" </w:instrText>
          </w:r>
          <w:r>
            <w:fldChar w:fldCharType="separate"/>
          </w:r>
          <w:r>
            <w:t>7.3机制创新</w:t>
          </w:r>
          <w:r>
            <w:tab/>
          </w:r>
          <w:r>
            <w:fldChar w:fldCharType="begin"/>
          </w:r>
          <w:r>
            <w:instrText xml:space="preserve"> PAGEREF _Toc4649 \h </w:instrText>
          </w:r>
          <w:r>
            <w:fldChar w:fldCharType="separate"/>
          </w:r>
          <w:r>
            <w:t>78</w:t>
          </w:r>
          <w:r>
            <w:fldChar w:fldCharType="end"/>
          </w:r>
          <w:r>
            <w:fldChar w:fldCharType="end"/>
          </w:r>
        </w:p>
        <w:p>
          <w:pPr>
            <w:pStyle w:val="20"/>
            <w:tabs>
              <w:tab w:val="right" w:leader="dot" w:pos="8787"/>
            </w:tabs>
          </w:pPr>
          <w:r>
            <w:fldChar w:fldCharType="begin"/>
          </w:r>
          <w:r>
            <w:instrText xml:space="preserve"> HYPERLINK \l "_Toc29046" </w:instrText>
          </w:r>
          <w:r>
            <w:fldChar w:fldCharType="separate"/>
          </w:r>
          <w:r>
            <w:t>7.4资金管理</w:t>
          </w:r>
          <w:r>
            <w:tab/>
          </w:r>
          <w:r>
            <w:fldChar w:fldCharType="begin"/>
          </w:r>
          <w:r>
            <w:instrText xml:space="preserve"> PAGEREF _Toc29046 \h </w:instrText>
          </w:r>
          <w:r>
            <w:fldChar w:fldCharType="separate"/>
          </w:r>
          <w:r>
            <w:t>79</w:t>
          </w:r>
          <w:r>
            <w:fldChar w:fldCharType="end"/>
          </w:r>
          <w:r>
            <w:fldChar w:fldCharType="end"/>
          </w:r>
        </w:p>
        <w:p>
          <w:pPr>
            <w:pStyle w:val="20"/>
            <w:tabs>
              <w:tab w:val="right" w:leader="dot" w:pos="8787"/>
            </w:tabs>
          </w:pPr>
          <w:r>
            <w:fldChar w:fldCharType="begin"/>
          </w:r>
          <w:r>
            <w:instrText xml:space="preserve"> HYPERLINK \l "_Toc17442" </w:instrText>
          </w:r>
          <w:r>
            <w:fldChar w:fldCharType="separate"/>
          </w:r>
          <w:r>
            <w:t>7.5监督管理</w:t>
          </w:r>
          <w:r>
            <w:tab/>
          </w:r>
          <w:r>
            <w:fldChar w:fldCharType="begin"/>
          </w:r>
          <w:r>
            <w:instrText xml:space="preserve"> PAGEREF _Toc17442 \h </w:instrText>
          </w:r>
          <w:r>
            <w:fldChar w:fldCharType="separate"/>
          </w:r>
          <w:r>
            <w:t>79</w:t>
          </w:r>
          <w:r>
            <w:fldChar w:fldCharType="end"/>
          </w:r>
          <w:r>
            <w:fldChar w:fldCharType="end"/>
          </w:r>
        </w:p>
        <w:p>
          <w:pPr>
            <w:pStyle w:val="20"/>
            <w:tabs>
              <w:tab w:val="right" w:leader="dot" w:pos="8787"/>
            </w:tabs>
          </w:pPr>
          <w:r>
            <w:fldChar w:fldCharType="begin"/>
          </w:r>
          <w:r>
            <w:instrText xml:space="preserve"> HYPERLINK \l "_Toc24403" </w:instrText>
          </w:r>
          <w:r>
            <w:fldChar w:fldCharType="separate"/>
          </w:r>
          <w:r>
            <w:t>7.6企业引领</w:t>
          </w:r>
          <w:r>
            <w:tab/>
          </w:r>
          <w:r>
            <w:fldChar w:fldCharType="begin"/>
          </w:r>
          <w:r>
            <w:instrText xml:space="preserve"> PAGEREF _Toc24403 \h </w:instrText>
          </w:r>
          <w:r>
            <w:fldChar w:fldCharType="separate"/>
          </w:r>
          <w:r>
            <w:t>80</w:t>
          </w:r>
          <w:r>
            <w:fldChar w:fldCharType="end"/>
          </w:r>
          <w:r>
            <w:fldChar w:fldCharType="end"/>
          </w:r>
        </w:p>
        <w:p>
          <w:pPr>
            <w:pStyle w:val="19"/>
            <w:tabs>
              <w:tab w:val="right" w:leader="dot" w:pos="8787"/>
            </w:tabs>
          </w:pPr>
          <w:r>
            <w:fldChar w:fldCharType="begin"/>
          </w:r>
          <w:r>
            <w:instrText xml:space="preserve"> HYPERLINK \l "_Toc25944" </w:instrText>
          </w:r>
          <w:r>
            <w:fldChar w:fldCharType="separate"/>
          </w:r>
          <w:r>
            <w:t>附件1：专家意见及专家名单</w:t>
          </w:r>
          <w:r>
            <w:tab/>
          </w:r>
          <w:r>
            <w:fldChar w:fldCharType="begin"/>
          </w:r>
          <w:r>
            <w:instrText xml:space="preserve"> PAGEREF _Toc25944 \h </w:instrText>
          </w:r>
          <w:r>
            <w:fldChar w:fldCharType="separate"/>
          </w:r>
          <w:r>
            <w:t>81</w:t>
          </w:r>
          <w:r>
            <w:fldChar w:fldCharType="end"/>
          </w:r>
          <w:r>
            <w:fldChar w:fldCharType="end"/>
          </w:r>
        </w:p>
        <w:p>
          <w:pPr>
            <w:pStyle w:val="19"/>
            <w:tabs>
              <w:tab w:val="right" w:leader="dot" w:pos="8787"/>
            </w:tabs>
          </w:pPr>
          <w:r>
            <w:fldChar w:fldCharType="begin"/>
          </w:r>
          <w:r>
            <w:instrText xml:space="preserve"> HYPERLINK \l "_Toc22767" </w:instrText>
          </w:r>
          <w:r>
            <w:fldChar w:fldCharType="separate"/>
          </w:r>
          <w:r>
            <w:t>附件2：耕地、园地、林地、草地面积清单</w:t>
          </w:r>
          <w:r>
            <w:tab/>
          </w:r>
          <w:r>
            <w:fldChar w:fldCharType="begin"/>
          </w:r>
          <w:r>
            <w:instrText xml:space="preserve"> PAGEREF _Toc22767 \h </w:instrText>
          </w:r>
          <w:r>
            <w:fldChar w:fldCharType="separate"/>
          </w:r>
          <w:r>
            <w:t>106</w:t>
          </w:r>
          <w:r>
            <w:fldChar w:fldCharType="end"/>
          </w:r>
          <w:r>
            <w:fldChar w:fldCharType="end"/>
          </w:r>
        </w:p>
        <w:p>
          <w:pPr>
            <w:rPr>
              <w:sz w:val="24"/>
              <w:szCs w:val="32"/>
            </w:rPr>
          </w:pPr>
          <w:r>
            <w:rPr>
              <w:szCs w:val="32"/>
            </w:rPr>
            <w:fldChar w:fldCharType="end"/>
          </w:r>
        </w:p>
        <w:p>
          <w:pPr>
            <w:pStyle w:val="2"/>
            <w:rPr>
              <w:rFonts w:ascii="Times New Roman" w:hAnsi="Times New Roman"/>
            </w:rPr>
            <w:sectPr>
              <w:pgSz w:w="11906" w:h="16838"/>
              <w:pgMar w:top="1701" w:right="1418" w:bottom="1418" w:left="1701" w:header="851" w:footer="992" w:gutter="0"/>
              <w:cols w:space="720" w:num="1"/>
              <w:docGrid w:type="lines" w:linePitch="312" w:charSpace="0"/>
            </w:sectPr>
          </w:pPr>
        </w:p>
      </w:sdtContent>
    </w:sdt>
    <w:p>
      <w:pPr>
        <w:pStyle w:val="4"/>
        <w:spacing w:before="312" w:after="312"/>
        <w:rPr>
          <w:rFonts w:ascii="Times New Roman" w:hAnsi="Times New Roman"/>
          <w:lang w:val="en-US"/>
        </w:rPr>
      </w:pPr>
      <w:bookmarkStart w:id="2" w:name="_Toc14217"/>
      <w:bookmarkStart w:id="3" w:name="_Toc20637"/>
      <w:bookmarkStart w:id="4" w:name="_Toc13686"/>
      <w:bookmarkStart w:id="5" w:name="_Toc24052"/>
      <w:bookmarkStart w:id="6" w:name="_Toc6964"/>
      <w:bookmarkStart w:id="7" w:name="_Toc6193"/>
      <w:bookmarkStart w:id="8" w:name="_Toc24897"/>
      <w:r>
        <w:rPr>
          <w:rFonts w:ascii="Times New Roman" w:hAnsi="Times New Roman"/>
          <w:lang w:val="en-US"/>
        </w:rPr>
        <w:t>1.总论</w:t>
      </w:r>
      <w:bookmarkEnd w:id="0"/>
      <w:bookmarkEnd w:id="1"/>
      <w:bookmarkEnd w:id="2"/>
      <w:bookmarkEnd w:id="3"/>
      <w:bookmarkEnd w:id="4"/>
      <w:bookmarkEnd w:id="5"/>
      <w:bookmarkEnd w:id="6"/>
      <w:bookmarkEnd w:id="7"/>
      <w:bookmarkEnd w:id="8"/>
    </w:p>
    <w:p>
      <w:pPr>
        <w:pStyle w:val="5"/>
        <w:spacing w:before="312" w:after="312"/>
        <w:rPr>
          <w:rFonts w:ascii="Times New Roman" w:hAnsi="Times New Roman" w:cs="Times New Roman"/>
          <w:lang w:val="en-US"/>
        </w:rPr>
      </w:pPr>
      <w:bookmarkStart w:id="9" w:name="_Toc9759"/>
      <w:bookmarkStart w:id="10" w:name="_Toc2635"/>
      <w:bookmarkStart w:id="11" w:name="_Toc21395"/>
      <w:bookmarkStart w:id="12" w:name="_Toc536"/>
      <w:bookmarkStart w:id="13" w:name="_Toc18489"/>
      <w:bookmarkStart w:id="14" w:name="_Toc14882"/>
      <w:bookmarkStart w:id="15" w:name="_Toc26593"/>
      <w:bookmarkStart w:id="16" w:name="_Toc21851"/>
      <w:bookmarkStart w:id="17" w:name="_Toc645"/>
      <w:r>
        <w:rPr>
          <w:rFonts w:ascii="Times New Roman" w:hAnsi="Times New Roman" w:cs="Times New Roman"/>
          <w:lang w:val="en-US"/>
        </w:rPr>
        <w:t>1.1</w:t>
      </w:r>
      <w:bookmarkEnd w:id="9"/>
      <w:r>
        <w:rPr>
          <w:rFonts w:ascii="Times New Roman" w:hAnsi="Times New Roman" w:cs="Times New Roman"/>
          <w:lang w:val="en-US"/>
        </w:rPr>
        <w:t>规划背景</w:t>
      </w:r>
      <w:bookmarkEnd w:id="10"/>
      <w:bookmarkEnd w:id="11"/>
      <w:bookmarkEnd w:id="12"/>
      <w:bookmarkEnd w:id="13"/>
      <w:bookmarkEnd w:id="14"/>
      <w:bookmarkEnd w:id="15"/>
      <w:bookmarkEnd w:id="16"/>
      <w:bookmarkEnd w:id="17"/>
    </w:p>
    <w:p>
      <w:pPr>
        <w:pStyle w:val="2"/>
        <w:ind w:firstLine="560" w:firstLineChars="200"/>
        <w:rPr>
          <w:rFonts w:ascii="Times New Roman" w:hAnsi="Times New Roman"/>
          <w:sz w:val="28"/>
          <w:szCs w:val="28"/>
          <w:lang w:val="en-US"/>
        </w:rPr>
      </w:pPr>
      <w:bookmarkStart w:id="18" w:name="_Toc29967"/>
      <w:r>
        <w:rPr>
          <w:rFonts w:ascii="Times New Roman" w:hAnsi="Times New Roman"/>
          <w:sz w:val="28"/>
          <w:szCs w:val="28"/>
          <w:lang w:val="en-US"/>
        </w:rPr>
        <w:t>2013年10月8日，国务院第26次常务会议通过了《畜禽规模养殖污染防治条例》。该条例第十条规定“县级以上人民政府环境保护主管部门会同农牧主管部门编制畜禽养殖污染防治规划，报本级人民政府或者其授权的部门批准实施。畜禽养殖污染防治规划应当与畜牧业发展规划相衔接，统筹考虑畜禽养殖生产布局，明确畜禽养殖污染防治目标、任务、重点区域，明确污染治理重点设施建设，以及废弃物综合利用等污染防治措施”。为深入贯彻落实《农业农村部办公厅生态环境部办公厅关于进一步明确畜禽粪污还田利用要求强化养殖污染监管的通知》（农办牧〔2020〕23号）精神，进一步加强畜禽养殖污染防治工作，促进养殖粪污综合利用，保障畜禽养殖业健康发展，保护和改善农村生态环境。按照河北省生态环境厅和农业农村厅的要求，各县（市）区政府、各开发区管委会在系统总结《河北省畜禽养殖废弃物资源化利用工作方案》（冀政办字〔2017〕119号）实施情况的基础上，结合已划定的禁养区方案、根据乡村振兴和深入打好农业农村污染防治攻坚战工作需要，编制《保定市徐水区畜禽养殖污染防治规划》。</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畜禽养殖业发展现状因产业不同，发展不平衡，奶牛产业全部实现了集约化养殖，生猪产业和家禽产业是集约化养殖与小规模粗放型养殖共存，肉牛、肉羊养殖大部分还处于粗放式散养阶段。目前，养殖业发展的主要矛盾是供给侧结构不合理造成畜禽产品市场价格周期性波动较大，影响畜禽养殖业发展水平的提高。徐水区畜禽养殖业整体管理较为粗放，容易对环境造成潜在威胁。保定市徐水区位于京津冀协同发展的中心区域，上述矛盾显得更为突出。</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为推动全区畜禽养殖业可持续发展，大力发展种养结合，坚守生态底线，推进畜禽养殖业的转型升级，实现畜禽养殖业和环境协调发展，必须强化规划政策引导，加大畜禽养殖业污染防治力度。根据《中华人民共和国水污染防治法》、《中华人民共和国畜牧法》、《畜禽规模养殖污染防治条例》等法律法规要求，结合区域实际情况，组织开展了畜禽养殖业污染防治“十四五”规划编制工作。</w:t>
      </w:r>
    </w:p>
    <w:p>
      <w:pPr>
        <w:pStyle w:val="5"/>
        <w:spacing w:before="312" w:after="312"/>
        <w:rPr>
          <w:rFonts w:ascii="Times New Roman" w:hAnsi="Times New Roman" w:cs="Times New Roman"/>
          <w:lang w:val="en-US"/>
        </w:rPr>
      </w:pPr>
      <w:bookmarkStart w:id="19" w:name="_Toc31374"/>
      <w:bookmarkStart w:id="20" w:name="_Toc14148"/>
      <w:bookmarkStart w:id="21" w:name="_Toc14879"/>
      <w:bookmarkStart w:id="22" w:name="_Toc17260"/>
      <w:bookmarkStart w:id="23" w:name="_Toc30650"/>
      <w:bookmarkStart w:id="24" w:name="_Toc24218"/>
      <w:bookmarkStart w:id="25" w:name="_Toc8160"/>
      <w:bookmarkStart w:id="26" w:name="_Toc31573"/>
      <w:r>
        <w:rPr>
          <w:rFonts w:ascii="Times New Roman" w:hAnsi="Times New Roman" w:cs="Times New Roman"/>
          <w:lang w:val="en-US"/>
        </w:rPr>
        <w:t>1.2规划指导思想</w:t>
      </w:r>
      <w:bookmarkEnd w:id="19"/>
      <w:bookmarkEnd w:id="20"/>
      <w:bookmarkEnd w:id="21"/>
      <w:bookmarkEnd w:id="22"/>
      <w:bookmarkEnd w:id="23"/>
      <w:bookmarkEnd w:id="24"/>
      <w:bookmarkEnd w:id="25"/>
      <w:bookmarkEnd w:id="26"/>
    </w:p>
    <w:p>
      <w:pPr>
        <w:pStyle w:val="2"/>
        <w:ind w:firstLine="560" w:firstLineChars="200"/>
        <w:rPr>
          <w:rFonts w:ascii="Times New Roman" w:hAnsi="Times New Roman"/>
          <w:sz w:val="28"/>
          <w:szCs w:val="28"/>
          <w:lang w:val="en-US"/>
        </w:rPr>
      </w:pPr>
      <w:bookmarkStart w:id="27" w:name="bookmark99"/>
      <w:bookmarkEnd w:id="27"/>
      <w:r>
        <w:rPr>
          <w:rFonts w:ascii="Times New Roman" w:hAnsi="Times New Roman"/>
          <w:sz w:val="28"/>
          <w:szCs w:val="28"/>
          <w:lang w:val="en-US"/>
        </w:rPr>
        <w:t>本规划以习近平生态文明思想为指导，统筹环境保护与畜禽养殖业发展，加快发展方式绿色转型，以推动畜禽养殖废弃物资源化利用和主要污染物减排为主线，以畜禽养殖污染物排放量较高地区为重点防治区域，以规模化畜禽养殖场（小区）、畜禽养殖专业户和散养密集区域为重点单元，以种养结合为抓手，坚持政府主导、企业主体、市场化运作，完善畜禽粪污资源化利用机制，强化畜禽养殖污染防治监管，持续提升畜禽养殖污染防治水平，保护和改善环境，促进畜禽养殖业绿色循环发展，为实现乡村振兴战略提供有力支撑。</w:t>
      </w:r>
    </w:p>
    <w:p>
      <w:pPr>
        <w:pStyle w:val="5"/>
        <w:spacing w:before="312" w:after="312"/>
        <w:rPr>
          <w:rFonts w:ascii="Times New Roman" w:hAnsi="Times New Roman" w:cs="Times New Roman"/>
          <w:lang w:val="en-US"/>
        </w:rPr>
      </w:pPr>
      <w:bookmarkStart w:id="28" w:name="_Toc30038"/>
      <w:bookmarkStart w:id="29" w:name="_Toc1207"/>
      <w:bookmarkStart w:id="30" w:name="_Toc17635"/>
      <w:bookmarkStart w:id="31" w:name="_Toc4504"/>
      <w:bookmarkStart w:id="32" w:name="_Toc28783"/>
      <w:bookmarkStart w:id="33" w:name="_Toc28638"/>
      <w:bookmarkStart w:id="34" w:name="_Toc22958"/>
      <w:bookmarkStart w:id="35" w:name="_Toc16572"/>
      <w:bookmarkStart w:id="36" w:name="_Toc16695"/>
      <w:r>
        <w:rPr>
          <w:rFonts w:ascii="Times New Roman" w:hAnsi="Times New Roman" w:cs="Times New Roman"/>
          <w:lang w:val="en-US"/>
        </w:rPr>
        <w:t>1.3</w:t>
      </w:r>
      <w:bookmarkEnd w:id="28"/>
      <w:r>
        <w:rPr>
          <w:rFonts w:ascii="Times New Roman" w:hAnsi="Times New Roman" w:cs="Times New Roman"/>
          <w:lang w:val="en-US"/>
        </w:rPr>
        <w:t>规划编制的依据</w:t>
      </w:r>
      <w:bookmarkEnd w:id="29"/>
      <w:bookmarkEnd w:id="30"/>
      <w:bookmarkEnd w:id="31"/>
      <w:bookmarkEnd w:id="32"/>
      <w:bookmarkEnd w:id="33"/>
      <w:bookmarkEnd w:id="34"/>
      <w:bookmarkEnd w:id="35"/>
      <w:bookmarkEnd w:id="36"/>
    </w:p>
    <w:p>
      <w:pPr>
        <w:pStyle w:val="6"/>
        <w:numPr>
          <w:ilvl w:val="0"/>
          <w:numId w:val="0"/>
        </w:numPr>
        <w:spacing w:before="156" w:after="156"/>
      </w:pPr>
      <w:bookmarkStart w:id="37" w:name="_Toc32441"/>
      <w:bookmarkStart w:id="38" w:name="_Toc25921"/>
      <w:bookmarkStart w:id="39" w:name="_Toc2167"/>
      <w:bookmarkStart w:id="40" w:name="_Toc2364"/>
      <w:r>
        <w:t>1.3.1国家法律法规及政策</w:t>
      </w:r>
      <w:bookmarkEnd w:id="37"/>
      <w:bookmarkEnd w:id="38"/>
      <w:bookmarkEnd w:id="39"/>
      <w:bookmarkEnd w:id="40"/>
    </w:p>
    <w:p>
      <w:pPr>
        <w:pStyle w:val="2"/>
        <w:ind w:firstLine="560" w:firstLineChars="200"/>
        <w:rPr>
          <w:rFonts w:ascii="Times New Roman" w:hAnsi="Times New Roman"/>
          <w:sz w:val="28"/>
          <w:szCs w:val="28"/>
          <w:lang w:val="en-US"/>
        </w:rPr>
      </w:pPr>
      <w:r>
        <w:rPr>
          <w:rFonts w:ascii="Times New Roman" w:hAnsi="Times New Roman"/>
          <w:sz w:val="28"/>
          <w:szCs w:val="28"/>
          <w:lang w:val="en-US"/>
        </w:rPr>
        <w:t>（1）《中华人民共和国环境保护法》，2014年4月24日修订；</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（2）《中华人民共和国畜牧法》，2015年4月24日修正；</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（3）《中华人民共和国农业法》，2012年12月28日修订；</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（4）《中华人民共和国动物防疫法》，2021年1月22日修正；</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（5）《中华人民共和国大气污染防治法》，2018年10月26日修订；</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（6）《中华人民共和国水污染防治法》，中华人民共和国主席令（第七十号），2017年6月27日年修订；</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（7）《中华人民共和国土壤污染防治法》，2019年1月1日实施；</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（8）《中华人民共和国城乡规划法》，2019年4月23日修正；</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（9）《中华人民共和国固体废物污染环境防治法》，2020年4月29日修订；</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（10）《中华人民共和国土地管理法》，2019年8月26日修正；</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（11）《中华人民共和国水法》，中华人民共和国主席令（第四十八号），2016年7月2日修订；</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（12）《中华人民共和国水土保持法》，2011年3月1日实施；</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（13）《中华人民共和国清洁生产促进法》，2012年2月29日修订；</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（14）《规划环境影响评价条例》，2009年10月1日实施；</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（15）《基本农田保护条例》，2011年1月8日修订；</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（16）《中华人民共和国环境影响评价法》，2018年12月29日修正；</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（17）《建设项目环境保护管理条例》，2017年7月16日修订；</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（18）《国务院关于印发大气污染防治行动计划的通知》，国发[2013]37号；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（19）《国务院关于印发水污染防治行动计划的通知》，国发[2015]17号；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（20）《产业结构调整指导目录（2019年本）》；</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（21）《畜禽规模养殖污染防治条例》，2014年1月1日实施；</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（22）《全国农业现代化规划（2016-2020年）》；</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（23）《国务院关于印发“十三五”生态环境保护规划的通知》（国发[2016]65号）；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（24）《国务院关于印发土壤污染防治行动计划的通知》（国发〔2016〕31号）；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（25）《国务院办公厅关于加快推进畜禽养殖废弃物资源化利用的意见》（国办发〔2017〕48号）；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（26）《农业农村部办公厅 财政部办公厅 关于做好2020年畜禽粪污资源化利用工作的通知》（农办牧〔2020〕32号）；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（27）《农业部办公厅关于印发&lt;畜禽粪污土地承载力测算技术指南&gt;的通知》（2018年1月15日）；</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（28）《关于进一步规范畜禽养殖禁养区划定和管理促进生猪生产发展的通知》（环办土壤﹝2019﹞55号）；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（29）《关于进一步做好当前生猪规模养殖环评管理相关工作的通知》（环办环评函﹝2019﹞872号）；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（30）《畜禽养殖污染防治技术政策》（环发﹝2010﹞151号，2010年12月30日实施）；</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（31）关于在畜禽养殖废弃物资源化利用过程中加强环境监管的通知》（环水体﹝2017﹞120号）；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（32）农业农村部办公厅生态环境部办公厅关于加强畜禽粪污资源化利用计划和台账管理的通知（农办牧[2021]46号）；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（33）国务院办公厅《关于转变农业发展方式的意见》（国办发【2015】59号）；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（34）农业部《关于进一步调整优化农业结构的指导意见》（农发【2015】2号）；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（35）《畜禽养殖污染防治规划编制指南（试行）》（环办土壤函[2021]465号）。</w:t>
      </w:r>
    </w:p>
    <w:p>
      <w:pPr>
        <w:pStyle w:val="6"/>
        <w:numPr>
          <w:ilvl w:val="2"/>
          <w:numId w:val="0"/>
        </w:numPr>
        <w:spacing w:before="156" w:after="156"/>
      </w:pPr>
      <w:bookmarkStart w:id="41" w:name="_Toc9920"/>
      <w:bookmarkStart w:id="42" w:name="_Toc28322"/>
      <w:bookmarkStart w:id="43" w:name="_Toc8915"/>
      <w:bookmarkStart w:id="44" w:name="_Toc31566"/>
      <w:r>
        <w:t>1.3.2地方性法规及政策</w:t>
      </w:r>
      <w:bookmarkEnd w:id="41"/>
      <w:bookmarkEnd w:id="42"/>
      <w:bookmarkEnd w:id="43"/>
      <w:bookmarkEnd w:id="44"/>
    </w:p>
    <w:bookmarkEnd w:id="18"/>
    <w:p>
      <w:pPr>
        <w:pStyle w:val="2"/>
        <w:ind w:firstLine="560" w:firstLineChars="200"/>
        <w:rPr>
          <w:rFonts w:ascii="Times New Roman" w:hAnsi="Times New Roman"/>
          <w:sz w:val="28"/>
          <w:szCs w:val="28"/>
          <w:lang w:val="en-US"/>
        </w:rPr>
      </w:pPr>
      <w:bookmarkStart w:id="45" w:name="_Toc26737"/>
      <w:r>
        <w:rPr>
          <w:rFonts w:ascii="Times New Roman" w:hAnsi="Times New Roman"/>
          <w:sz w:val="28"/>
          <w:szCs w:val="28"/>
          <w:lang w:val="en-US"/>
        </w:rPr>
        <w:t>（1）关于印发《河北省土壤与地下水污染防治“十四五”规划》区级主要目标任务分工的通知（徐土领办[2022]8号）；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（2）关于印发《保定市徐水区农业农村生态环境保护“十四五”规划》的通知（徐土领办[2022]7号）；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（3）《河北省保定市徐水区现代畜牧业发展规划（2017—2020）》；</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（4）《种养结合生态循环发展规划（2018—2020）》；</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（5）《保定市徐水区2022年畜禽养殖废弃物工作方案》；</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（6）《2021年保定市畜禽养殖废弃物资源化利用》；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（7）关于印发《河北省畜禽养殖污染防治技术指南》的通知（冀环土壤函[2021]1081号）；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（8）河北省保定市生态环境保护“十三五”规划；</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（9）河北省人民政府办公厅《关于进一步加快现代畜牧业发展的意见》（冀政办字【2016】211号）。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（10）《保定市徐水区畜禽养殖禁养区划定方案》（徐土领办〔2019〕4号）。</w:t>
      </w:r>
    </w:p>
    <w:p>
      <w:pPr>
        <w:pStyle w:val="6"/>
        <w:numPr>
          <w:ilvl w:val="2"/>
          <w:numId w:val="0"/>
        </w:numPr>
        <w:spacing w:before="156" w:after="156"/>
      </w:pPr>
      <w:bookmarkStart w:id="46" w:name="_Toc9828"/>
      <w:bookmarkStart w:id="47" w:name="_Toc4876"/>
      <w:bookmarkStart w:id="48" w:name="_Toc1996"/>
      <w:bookmarkStart w:id="49" w:name="_Toc17740"/>
      <w:r>
        <w:t>1.3.3行业规范</w:t>
      </w:r>
      <w:bookmarkEnd w:id="46"/>
      <w:bookmarkEnd w:id="47"/>
      <w:bookmarkEnd w:id="48"/>
      <w:bookmarkEnd w:id="49"/>
    </w:p>
    <w:p>
      <w:pPr>
        <w:pStyle w:val="2"/>
        <w:ind w:firstLine="560" w:firstLineChars="200"/>
        <w:rPr>
          <w:rFonts w:ascii="Times New Roman" w:hAnsi="Times New Roman"/>
          <w:sz w:val="28"/>
          <w:szCs w:val="28"/>
          <w:lang w:val="en-US"/>
        </w:rPr>
      </w:pPr>
      <w:r>
        <w:rPr>
          <w:rFonts w:ascii="Times New Roman" w:hAnsi="Times New Roman"/>
          <w:sz w:val="28"/>
          <w:szCs w:val="28"/>
          <w:lang w:val="en-US"/>
        </w:rPr>
        <w:t>（1）《畜禽养殖业污染防治技术规范》（HJ/T 81-2001）；</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（2）《畜禽养殖业污染治理工程技术规范》（HJ 497-2009）；</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（3）《畜禽场环境质量评价准则》（GB/T 19525.2-2004）；</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（4）《中、小型集约化养猪场环境参数及环境管理》（GB/T17824.4-1999）；</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（5）《规模化猪场生产技术规程》（GB/T 304-2002）；</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（6）《规模化养殖场沼气工程设计规范》（NY/T 1222-2006）；</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（7）《病害动物和病害动物产品生物安全处理规程》（GB16548-2006）；</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（8）《病死及病害动物无害化处理技术规范》(农医发[2017]号)；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（9）《畜禽养殖禁养区划定技术指南》（环办水体〔2016〕99号）；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（10）《畜禽粪便无害化处理技术规范》（NY/T1168-2006）；</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（11）《畜禽场场区设计技术规范》（NY/T682-2003）；</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（12）《畜禽粪便还田技术规范》（GB/T25246-2010）；</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（13）《畜禽养殖场（户）粪污处理设施建设技术指南》（农办牧[2022]19号）；</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（14）《规模畜禽养殖场污染防治最佳可行技术指南（试行）》（HJ-BAT-10）；</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（15）《沼气工程沼液沼渣后处理技术规范》（NY/T2374-2013）；</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（16）《粪便无害化卫生要求》（GB 7959）；</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（17）《土壤环境质量-农用地土壤污染风险管控标准(试行)》（GB15618-2018）；</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（18）《畜禽养殖业污染物排放标准》（GB 18596）；</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（19）《畜禽粪便监测技术规范》（GB/T 25169）；</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（20）《畜禽养殖污水贮存设施设计要求》（GB/T 26624）；</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（21）《畜禽粪便贮存设施设计要求》（GB/T 27622）；</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（22）《排污许可证申请与核发技术规范-畜禽养殖行业》（HJ 1029）；</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（23）《畜禽场环境污染控制技术规范》（NY/T 1169）；</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（24）《沼肥施用技术规范》（NY/T 2065）。</w:t>
      </w:r>
    </w:p>
    <w:p>
      <w:pPr>
        <w:pStyle w:val="5"/>
        <w:spacing w:before="312" w:after="312"/>
        <w:rPr>
          <w:rFonts w:ascii="Times New Roman" w:hAnsi="Times New Roman" w:cs="Times New Roman"/>
          <w:lang w:val="en-US"/>
        </w:rPr>
      </w:pPr>
      <w:bookmarkStart w:id="50" w:name="_Toc8807"/>
      <w:bookmarkStart w:id="51" w:name="_Toc17575"/>
      <w:bookmarkStart w:id="52" w:name="_Toc10792"/>
      <w:bookmarkStart w:id="53" w:name="_Toc450"/>
      <w:bookmarkStart w:id="54" w:name="_Toc7164"/>
      <w:bookmarkStart w:id="55" w:name="_Toc15922"/>
      <w:bookmarkStart w:id="56" w:name="_Toc4653"/>
      <w:bookmarkStart w:id="57" w:name="_Toc29731"/>
      <w:r>
        <w:rPr>
          <w:rFonts w:ascii="Times New Roman" w:hAnsi="Times New Roman" w:cs="Times New Roman"/>
          <w:lang w:val="en-US"/>
        </w:rPr>
        <w:t>1.4</w:t>
      </w:r>
      <w:bookmarkEnd w:id="45"/>
      <w:r>
        <w:rPr>
          <w:rFonts w:ascii="Times New Roman" w:hAnsi="Times New Roman" w:cs="Times New Roman"/>
          <w:lang w:val="en-US"/>
        </w:rPr>
        <w:t>规划范围和期限</w:t>
      </w:r>
      <w:bookmarkEnd w:id="50"/>
      <w:bookmarkEnd w:id="51"/>
      <w:bookmarkEnd w:id="52"/>
      <w:bookmarkEnd w:id="53"/>
      <w:bookmarkEnd w:id="54"/>
      <w:bookmarkEnd w:id="55"/>
      <w:bookmarkEnd w:id="56"/>
      <w:bookmarkEnd w:id="57"/>
    </w:p>
    <w:p>
      <w:pPr>
        <w:pStyle w:val="6"/>
        <w:numPr>
          <w:ilvl w:val="2"/>
          <w:numId w:val="0"/>
        </w:numPr>
        <w:spacing w:before="156" w:after="156"/>
      </w:pPr>
      <w:bookmarkStart w:id="58" w:name="_Toc31192"/>
      <w:bookmarkStart w:id="59" w:name="_Toc31854"/>
      <w:bookmarkStart w:id="60" w:name="_Toc417"/>
      <w:bookmarkStart w:id="61" w:name="_Toc18587"/>
      <w:r>
        <w:t>1.4.1规划范围</w:t>
      </w:r>
      <w:bookmarkEnd w:id="58"/>
      <w:bookmarkEnd w:id="59"/>
      <w:bookmarkEnd w:id="60"/>
      <w:bookmarkEnd w:id="61"/>
    </w:p>
    <w:p>
      <w:pPr>
        <w:pStyle w:val="2"/>
        <w:ind w:firstLine="560" w:firstLineChars="200"/>
        <w:rPr>
          <w:rFonts w:ascii="Times New Roman" w:hAnsi="Times New Roman"/>
          <w:sz w:val="28"/>
          <w:szCs w:val="28"/>
          <w:lang w:val="en-US"/>
        </w:rPr>
      </w:pPr>
      <w:r>
        <w:rPr>
          <w:rFonts w:ascii="Times New Roman" w:hAnsi="Times New Roman"/>
          <w:sz w:val="28"/>
          <w:szCs w:val="28"/>
          <w:lang w:val="en-US"/>
        </w:rPr>
        <w:t>本次规划的范围为徐水区全境，包括义联庄乡、东釜山乡、瀑河乡、户木乡、正村镇、留村镇、东史端镇、漕河镇、大王店镇、高林村镇、遂城镇、大因镇、崔庄镇、安肃镇、城区街道，总面积为723平方公里。详见附图1徐水区行政区划图。</w:t>
      </w:r>
    </w:p>
    <w:p>
      <w:pPr>
        <w:pStyle w:val="6"/>
        <w:numPr>
          <w:ilvl w:val="2"/>
          <w:numId w:val="0"/>
        </w:numPr>
        <w:spacing w:before="156" w:after="156"/>
      </w:pPr>
      <w:bookmarkStart w:id="62" w:name="_Toc20872"/>
      <w:bookmarkStart w:id="63" w:name="_Toc4602"/>
      <w:bookmarkStart w:id="64" w:name="_Toc24339"/>
      <w:bookmarkStart w:id="65" w:name="_Toc13566"/>
      <w:r>
        <w:t>1.4.2规划期限</w:t>
      </w:r>
      <w:bookmarkEnd w:id="62"/>
      <w:bookmarkEnd w:id="63"/>
      <w:bookmarkEnd w:id="64"/>
      <w:bookmarkEnd w:id="65"/>
    </w:p>
    <w:p>
      <w:pPr>
        <w:spacing w:line="360" w:lineRule="auto"/>
        <w:ind w:firstLine="560" w:firstLineChars="200"/>
        <w:rPr>
          <w:sz w:val="28"/>
          <w:szCs w:val="28"/>
        </w:rPr>
      </w:pPr>
      <w:r>
        <w:rPr>
          <w:sz w:val="28"/>
          <w:szCs w:val="28"/>
        </w:rPr>
        <w:t>此次规划编制的基准年为2020年，目标年为2025年。</w:t>
      </w:r>
    </w:p>
    <w:p>
      <w:pPr>
        <w:pStyle w:val="5"/>
        <w:spacing w:before="312" w:after="312"/>
        <w:rPr>
          <w:rFonts w:ascii="Times New Roman" w:hAnsi="Times New Roman" w:cs="Times New Roman"/>
          <w:lang w:val="en-US"/>
        </w:rPr>
      </w:pPr>
      <w:bookmarkStart w:id="66" w:name="_Toc14045"/>
      <w:bookmarkStart w:id="67" w:name="_Toc29355"/>
      <w:bookmarkStart w:id="68" w:name="_Toc26878"/>
      <w:bookmarkStart w:id="69" w:name="_Toc30189"/>
      <w:bookmarkStart w:id="70" w:name="_Toc23520"/>
      <w:bookmarkStart w:id="71" w:name="_Toc14638"/>
      <w:bookmarkStart w:id="72" w:name="_Toc10405"/>
      <w:bookmarkStart w:id="73" w:name="_Toc31636"/>
      <w:r>
        <w:rPr>
          <w:rFonts w:ascii="Times New Roman" w:hAnsi="Times New Roman" w:cs="Times New Roman"/>
          <w:lang w:val="en-US"/>
        </w:rPr>
        <w:t>1.5规划保护目标</w:t>
      </w:r>
      <w:bookmarkEnd w:id="66"/>
      <w:bookmarkEnd w:id="67"/>
      <w:bookmarkEnd w:id="68"/>
      <w:bookmarkEnd w:id="69"/>
      <w:bookmarkEnd w:id="70"/>
      <w:bookmarkEnd w:id="71"/>
      <w:bookmarkEnd w:id="72"/>
      <w:bookmarkEnd w:id="73"/>
    </w:p>
    <w:p>
      <w:pPr>
        <w:pStyle w:val="6"/>
        <w:numPr>
          <w:ilvl w:val="2"/>
          <w:numId w:val="0"/>
        </w:numPr>
        <w:spacing w:before="156" w:after="156"/>
      </w:pPr>
      <w:bookmarkStart w:id="74" w:name="_Toc1789"/>
      <w:bookmarkStart w:id="75" w:name="_Toc12297"/>
      <w:bookmarkStart w:id="76" w:name="_Toc7872"/>
      <w:bookmarkStart w:id="77" w:name="_Toc22862"/>
      <w:r>
        <w:t>1.5.1人口集中区</w:t>
      </w:r>
      <w:bookmarkEnd w:id="74"/>
      <w:bookmarkEnd w:id="75"/>
      <w:bookmarkEnd w:id="76"/>
      <w:bookmarkEnd w:id="77"/>
    </w:p>
    <w:p>
      <w:pPr>
        <w:pStyle w:val="2"/>
        <w:ind w:firstLine="560" w:firstLineChars="200"/>
        <w:rPr>
          <w:rFonts w:ascii="Times New Roman" w:hAnsi="Times New Roman"/>
          <w:sz w:val="28"/>
          <w:szCs w:val="28"/>
          <w:lang w:val="en-US"/>
        </w:rPr>
      </w:pPr>
      <w:bookmarkStart w:id="78" w:name="_Toc22813"/>
      <w:bookmarkStart w:id="79" w:name="_Toc13952"/>
      <w:r>
        <w:rPr>
          <w:rFonts w:ascii="Times New Roman" w:hAnsi="Times New Roman"/>
          <w:sz w:val="28"/>
          <w:szCs w:val="28"/>
          <w:lang w:val="en-US"/>
        </w:rPr>
        <w:t>将人口集中区划分为禁养区是实现人民日益增长的美好生活需要的必须举措。规模化养殖场粪尿产生量大，散发的恶臭气体会影响生产生活环境。因此，规定在县城规划区、各乡镇建成区范围禁止建设规模以上养殖场。</w:t>
      </w:r>
    </w:p>
    <w:p>
      <w:pPr>
        <w:pStyle w:val="6"/>
        <w:numPr>
          <w:ilvl w:val="2"/>
          <w:numId w:val="0"/>
        </w:numPr>
        <w:spacing w:before="156" w:after="156"/>
      </w:pPr>
      <w:bookmarkStart w:id="80" w:name="_Toc16866"/>
      <w:bookmarkStart w:id="81" w:name="_Toc1131"/>
      <w:bookmarkStart w:id="82" w:name="_Toc2514"/>
      <w:bookmarkStart w:id="83" w:name="_Toc1331"/>
      <w:r>
        <w:t>1.5.2</w:t>
      </w:r>
      <w:bookmarkEnd w:id="78"/>
      <w:bookmarkEnd w:id="79"/>
      <w:bookmarkEnd w:id="80"/>
      <w:bookmarkEnd w:id="81"/>
      <w:bookmarkEnd w:id="82"/>
      <w:r>
        <w:t>文物保护单位</w:t>
      </w:r>
      <w:bookmarkEnd w:id="83"/>
    </w:p>
    <w:p>
      <w:pPr>
        <w:pStyle w:val="2"/>
        <w:ind w:firstLine="560" w:firstLineChars="200"/>
        <w:rPr>
          <w:rFonts w:ascii="Times New Roman" w:hAnsi="Times New Roman"/>
          <w:sz w:val="28"/>
          <w:szCs w:val="28"/>
          <w:lang w:val="en-US"/>
        </w:rPr>
      </w:pPr>
      <w:bookmarkStart w:id="84" w:name="_Toc12155"/>
      <w:bookmarkStart w:id="85" w:name="_Toc10487"/>
      <w:r>
        <w:rPr>
          <w:rFonts w:ascii="Times New Roman" w:hAnsi="Times New Roman"/>
          <w:sz w:val="28"/>
          <w:szCs w:val="28"/>
          <w:lang w:val="en-US"/>
        </w:rPr>
        <w:t>中华人民共和国生态环境部办公厅《关于进一步规范畜禽养殖禁养区管理的通知》(环办土壤函〔2020〕33号)二：明确禁养区划定范围中提出：“对依据畜牧法、畜禽规模养殖污染防治条例、动物防疫法、城乡规划法、文物保护法、基本农田保护条例划定的禁养区，按照‘谁划定，谁管理’的原则，有相关部门依法加强规范管理”，已明确提出文物保护法是禁养区划定范围的法律依据之一。本区内文物保护单位与规模化养殖场均无重叠，具有一定的安全保护距离。徐水区文物保护单位一览表见表1.5-1，徐水区文物保护单位分布图见图1.5-1。</w:t>
      </w:r>
    </w:p>
    <w:p>
      <w:pPr>
        <w:spacing w:line="360" w:lineRule="auto"/>
        <w:jc w:val="center"/>
        <w:rPr>
          <w:rFonts w:eastAsia="黑体"/>
          <w:b/>
          <w:bCs/>
          <w:szCs w:val="21"/>
        </w:rPr>
      </w:pPr>
      <w:r>
        <w:rPr>
          <w:rFonts w:eastAsia="黑体"/>
          <w:b/>
          <w:bCs/>
          <w:szCs w:val="21"/>
        </w:rPr>
        <w:t>表1.5-1  徐水区文物保护单位一览表</w:t>
      </w:r>
    </w:p>
    <w:tbl>
      <w:tblPr>
        <w:tblStyle w:val="23"/>
        <w:tblW w:w="5091" w:type="pct"/>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548"/>
        <w:gridCol w:w="1106"/>
        <w:gridCol w:w="2142"/>
        <w:gridCol w:w="902"/>
        <w:gridCol w:w="1844"/>
        <w:gridCol w:w="89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27" w:type="dxa"/>
            <w:tcBorders>
              <w:tl2br w:val="nil"/>
              <w:tr2bl w:val="nil"/>
            </w:tcBorders>
            <w:vAlign w:val="center"/>
          </w:tcPr>
          <w:p>
            <w:pPr>
              <w:widowControl/>
              <w:jc w:val="center"/>
              <w:textAlignment w:val="center"/>
              <w:rPr>
                <w:rFonts w:eastAsia="黑体"/>
                <w:szCs w:val="21"/>
              </w:rPr>
            </w:pPr>
            <w:r>
              <w:rPr>
                <w:rFonts w:eastAsia="黑体"/>
                <w:b/>
                <w:bCs/>
                <w:color w:val="000000"/>
                <w:kern w:val="0"/>
                <w:szCs w:val="21"/>
                <w:lang w:bidi="ar"/>
              </w:rPr>
              <w:t>序号</w:t>
            </w:r>
          </w:p>
        </w:tc>
        <w:tc>
          <w:tcPr>
            <w:tcW w:w="1550" w:type="dxa"/>
            <w:tcBorders>
              <w:tl2br w:val="nil"/>
              <w:tr2bl w:val="nil"/>
            </w:tcBorders>
            <w:vAlign w:val="center"/>
          </w:tcPr>
          <w:p>
            <w:pPr>
              <w:widowControl/>
              <w:jc w:val="center"/>
              <w:textAlignment w:val="center"/>
              <w:rPr>
                <w:rFonts w:eastAsia="黑体"/>
                <w:szCs w:val="21"/>
              </w:rPr>
            </w:pPr>
            <w:r>
              <w:rPr>
                <w:rFonts w:eastAsia="黑体"/>
                <w:b/>
                <w:bCs/>
                <w:color w:val="000000"/>
                <w:kern w:val="0"/>
                <w:szCs w:val="21"/>
                <w:lang w:bidi="ar"/>
              </w:rPr>
              <w:t>文物保护单位</w:t>
            </w:r>
          </w:p>
        </w:tc>
        <w:tc>
          <w:tcPr>
            <w:tcW w:w="1105" w:type="dxa"/>
            <w:tcBorders>
              <w:tl2br w:val="nil"/>
              <w:tr2bl w:val="nil"/>
            </w:tcBorders>
            <w:vAlign w:val="center"/>
          </w:tcPr>
          <w:p>
            <w:pPr>
              <w:widowControl/>
              <w:jc w:val="center"/>
              <w:textAlignment w:val="center"/>
              <w:rPr>
                <w:rFonts w:eastAsia="黑体"/>
                <w:szCs w:val="21"/>
                <w:highlight w:val="yellow"/>
              </w:rPr>
            </w:pPr>
            <w:r>
              <w:rPr>
                <w:rFonts w:eastAsia="黑体"/>
                <w:b/>
                <w:bCs/>
                <w:color w:val="000000"/>
                <w:kern w:val="0"/>
                <w:szCs w:val="21"/>
                <w:lang w:bidi="ar"/>
              </w:rPr>
              <w:t>性质</w:t>
            </w:r>
          </w:p>
        </w:tc>
        <w:tc>
          <w:tcPr>
            <w:tcW w:w="2148" w:type="dxa"/>
            <w:tcBorders>
              <w:tl2br w:val="nil"/>
              <w:tr2bl w:val="nil"/>
            </w:tcBorders>
            <w:vAlign w:val="center"/>
          </w:tcPr>
          <w:p>
            <w:pPr>
              <w:widowControl/>
              <w:jc w:val="center"/>
              <w:textAlignment w:val="center"/>
              <w:rPr>
                <w:rFonts w:eastAsia="黑体"/>
                <w:szCs w:val="21"/>
                <w:highlight w:val="yellow"/>
              </w:rPr>
            </w:pPr>
            <w:r>
              <w:rPr>
                <w:rFonts w:eastAsia="黑体"/>
                <w:b/>
                <w:bCs/>
                <w:color w:val="000000"/>
                <w:kern w:val="0"/>
                <w:szCs w:val="21"/>
                <w:lang w:bidi="ar"/>
              </w:rPr>
              <w:t>公布文号</w:t>
            </w:r>
          </w:p>
        </w:tc>
        <w:tc>
          <w:tcPr>
            <w:tcW w:w="900" w:type="dxa"/>
            <w:tcBorders>
              <w:tl2br w:val="nil"/>
              <w:tr2bl w:val="nil"/>
            </w:tcBorders>
            <w:vAlign w:val="center"/>
          </w:tcPr>
          <w:p>
            <w:pPr>
              <w:widowControl/>
              <w:jc w:val="center"/>
              <w:textAlignment w:val="center"/>
              <w:rPr>
                <w:rFonts w:eastAsia="黑体"/>
                <w:szCs w:val="21"/>
              </w:rPr>
            </w:pPr>
            <w:r>
              <w:rPr>
                <w:rFonts w:eastAsia="黑体"/>
                <w:b/>
                <w:bCs/>
                <w:color w:val="000000"/>
                <w:kern w:val="0"/>
                <w:szCs w:val="21"/>
                <w:lang w:bidi="ar"/>
              </w:rPr>
              <w:t>时代</w:t>
            </w:r>
          </w:p>
        </w:tc>
        <w:tc>
          <w:tcPr>
            <w:tcW w:w="1847" w:type="dxa"/>
            <w:tcBorders>
              <w:tl2br w:val="nil"/>
              <w:tr2bl w:val="nil"/>
            </w:tcBorders>
            <w:vAlign w:val="center"/>
          </w:tcPr>
          <w:p>
            <w:pPr>
              <w:widowControl/>
              <w:jc w:val="center"/>
              <w:textAlignment w:val="center"/>
              <w:rPr>
                <w:rFonts w:eastAsia="黑体"/>
                <w:szCs w:val="21"/>
              </w:rPr>
            </w:pPr>
            <w:r>
              <w:rPr>
                <w:rFonts w:eastAsia="黑体"/>
                <w:b/>
                <w:bCs/>
                <w:color w:val="000000"/>
                <w:kern w:val="0"/>
                <w:szCs w:val="21"/>
                <w:lang w:bidi="ar"/>
              </w:rPr>
              <w:t>地点</w:t>
            </w:r>
          </w:p>
        </w:tc>
        <w:tc>
          <w:tcPr>
            <w:tcW w:w="891" w:type="dxa"/>
            <w:tcBorders>
              <w:tl2br w:val="nil"/>
              <w:tr2bl w:val="nil"/>
            </w:tcBorders>
            <w:vAlign w:val="center"/>
          </w:tcPr>
          <w:p>
            <w:pPr>
              <w:widowControl/>
              <w:jc w:val="center"/>
              <w:textAlignment w:val="center"/>
              <w:rPr>
                <w:rFonts w:eastAsia="黑体"/>
                <w:szCs w:val="21"/>
              </w:rPr>
            </w:pPr>
            <w:r>
              <w:rPr>
                <w:rFonts w:eastAsia="黑体"/>
                <w:b/>
                <w:bCs/>
                <w:color w:val="000000"/>
                <w:kern w:val="0"/>
                <w:szCs w:val="21"/>
                <w:lang w:bidi="ar"/>
              </w:rPr>
              <w:t>级别</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27" w:type="dxa"/>
            <w:tcBorders>
              <w:tl2br w:val="nil"/>
              <w:tr2bl w:val="nil"/>
            </w:tcBorders>
            <w:vAlign w:val="center"/>
          </w:tcPr>
          <w:p>
            <w:pPr>
              <w:widowControl/>
              <w:jc w:val="center"/>
              <w:textAlignment w:val="center"/>
              <w:rPr>
                <w:rFonts w:eastAsia="黑体"/>
                <w:szCs w:val="21"/>
              </w:rPr>
            </w:pPr>
            <w:r>
              <w:rPr>
                <w:rFonts w:eastAsia="黑体"/>
                <w:color w:val="000000"/>
                <w:kern w:val="0"/>
                <w:szCs w:val="21"/>
                <w:lang w:bidi="ar"/>
              </w:rPr>
              <w:t>1</w:t>
            </w:r>
          </w:p>
        </w:tc>
        <w:tc>
          <w:tcPr>
            <w:tcW w:w="1550" w:type="dxa"/>
            <w:tcBorders>
              <w:tl2br w:val="nil"/>
              <w:tr2bl w:val="nil"/>
            </w:tcBorders>
            <w:vAlign w:val="center"/>
          </w:tcPr>
          <w:p>
            <w:pPr>
              <w:widowControl/>
              <w:jc w:val="center"/>
              <w:textAlignment w:val="center"/>
              <w:rPr>
                <w:rFonts w:eastAsia="黑体"/>
                <w:szCs w:val="21"/>
              </w:rPr>
            </w:pPr>
            <w:r>
              <w:rPr>
                <w:rFonts w:eastAsia="黑体"/>
                <w:color w:val="000000"/>
                <w:kern w:val="0"/>
                <w:szCs w:val="21"/>
                <w:lang w:bidi="ar"/>
              </w:rPr>
              <w:t>刘伶醉烧锅遗址</w:t>
            </w:r>
          </w:p>
        </w:tc>
        <w:tc>
          <w:tcPr>
            <w:tcW w:w="1105" w:type="dxa"/>
            <w:tcBorders>
              <w:tl2br w:val="nil"/>
              <w:tr2bl w:val="nil"/>
            </w:tcBorders>
            <w:vAlign w:val="center"/>
          </w:tcPr>
          <w:p>
            <w:pPr>
              <w:jc w:val="center"/>
              <w:rPr>
                <w:rFonts w:eastAsia="黑体"/>
                <w:szCs w:val="21"/>
              </w:rPr>
            </w:pPr>
            <w:r>
              <w:rPr>
                <w:rFonts w:eastAsia="黑体"/>
                <w:szCs w:val="21"/>
              </w:rPr>
              <w:t>国家所有</w:t>
            </w:r>
          </w:p>
        </w:tc>
        <w:tc>
          <w:tcPr>
            <w:tcW w:w="2148" w:type="dxa"/>
            <w:tcBorders>
              <w:tl2br w:val="nil"/>
              <w:tr2bl w:val="nil"/>
            </w:tcBorders>
            <w:vAlign w:val="center"/>
          </w:tcPr>
          <w:p>
            <w:pPr>
              <w:jc w:val="center"/>
              <w:rPr>
                <w:rFonts w:eastAsia="黑体"/>
                <w:szCs w:val="21"/>
              </w:rPr>
            </w:pPr>
            <w:r>
              <w:rPr>
                <w:rFonts w:eastAsia="黑体"/>
                <w:szCs w:val="21"/>
              </w:rPr>
              <w:t>国发【2006】19号</w:t>
            </w:r>
          </w:p>
        </w:tc>
        <w:tc>
          <w:tcPr>
            <w:tcW w:w="900" w:type="dxa"/>
            <w:tcBorders>
              <w:tl2br w:val="nil"/>
              <w:tr2bl w:val="nil"/>
            </w:tcBorders>
            <w:vAlign w:val="center"/>
          </w:tcPr>
          <w:p>
            <w:pPr>
              <w:widowControl/>
              <w:jc w:val="center"/>
              <w:textAlignment w:val="center"/>
              <w:rPr>
                <w:rFonts w:eastAsia="黑体"/>
                <w:szCs w:val="21"/>
              </w:rPr>
            </w:pPr>
            <w:r>
              <w:rPr>
                <w:rFonts w:eastAsia="黑体"/>
                <w:color w:val="000000"/>
                <w:kern w:val="0"/>
                <w:szCs w:val="21"/>
                <w:lang w:bidi="ar"/>
              </w:rPr>
              <w:t>金、元</w:t>
            </w:r>
          </w:p>
        </w:tc>
        <w:tc>
          <w:tcPr>
            <w:tcW w:w="1847" w:type="dxa"/>
            <w:tcBorders>
              <w:tl2br w:val="nil"/>
              <w:tr2bl w:val="nil"/>
            </w:tcBorders>
            <w:vAlign w:val="center"/>
          </w:tcPr>
          <w:p>
            <w:pPr>
              <w:widowControl/>
              <w:jc w:val="center"/>
              <w:textAlignment w:val="center"/>
              <w:rPr>
                <w:rFonts w:eastAsia="黑体"/>
                <w:szCs w:val="21"/>
              </w:rPr>
            </w:pPr>
            <w:r>
              <w:rPr>
                <w:rFonts w:eastAsia="黑体"/>
                <w:color w:val="000000"/>
                <w:kern w:val="0"/>
                <w:szCs w:val="21"/>
                <w:lang w:bidi="ar"/>
              </w:rPr>
              <w:t>刘伶醉酿酒有限公司院内</w:t>
            </w:r>
          </w:p>
        </w:tc>
        <w:tc>
          <w:tcPr>
            <w:tcW w:w="891" w:type="dxa"/>
            <w:tcBorders>
              <w:tl2br w:val="nil"/>
              <w:tr2bl w:val="nil"/>
            </w:tcBorders>
            <w:vAlign w:val="center"/>
          </w:tcPr>
          <w:p>
            <w:pPr>
              <w:widowControl/>
              <w:jc w:val="center"/>
              <w:textAlignment w:val="center"/>
              <w:rPr>
                <w:rFonts w:eastAsia="黑体"/>
                <w:szCs w:val="21"/>
              </w:rPr>
            </w:pPr>
            <w:r>
              <w:rPr>
                <w:rFonts w:eastAsia="黑体"/>
                <w:color w:val="000000"/>
                <w:kern w:val="0"/>
                <w:szCs w:val="21"/>
                <w:lang w:bidi="ar"/>
              </w:rPr>
              <w:t>国家级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bookmarkStart w:id="86" w:name="_Toc10788"/>
            <w:bookmarkStart w:id="87" w:name="_Toc3706"/>
            <w:bookmarkStart w:id="88" w:name="_Toc13733"/>
            <w:r>
              <w:rPr>
                <w:rFonts w:eastAsia="黑体"/>
                <w:color w:val="000000"/>
                <w:kern w:val="0"/>
                <w:szCs w:val="21"/>
                <w:lang w:bidi="ar"/>
              </w:rPr>
              <w:t>2</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巩固庄福隆号旧址</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 xml:space="preserve">冀政字【2018】7号 </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清末至民国初</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遂城镇巩固庄中学内</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3</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遂城古城遗址</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冀政【1993】72号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宋</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遂城镇遂城村周围</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4</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大赤鲁遗址</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冀政函【2001】9号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夏、商</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遂城镇大赤鲁村村南</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5</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刘伶墓</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冀政【1982】157号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清</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遂城镇张华村南</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6</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大马各庄汉墓</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徐政【1998】29号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汉</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遂城镇大马各庄村南500米</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县级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7</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张华墓</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冀政【1982】157号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清</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遂城镇张华村村内东部</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8</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瀑河遗址</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冀政函【2008】108号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新石器晚期</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瀑河乡瀑河水库南堤外</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9</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椿木峪山城遗址</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徐政通【2013】19号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商至战国</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瀑河乡椿木峪平顶山山顶</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县级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10</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韩家营遗址</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徐政【1998】29号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先商、西周</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正村乡韩家营村北</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县级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11</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东黑山遗址</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国发【2013】13号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战国至汉</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大王店镇东黑山村南100米</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国家级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12</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南庄头遗址</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国发【2001】25号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新石器早期</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高林村镇南庄头村北1.5公里</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国家级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13</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防陵汉墓群</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冀政【1993】72号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汉</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大因镇防陵村、于迪城村、小因村</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14</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釜山遗址</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徐政通【2008】36号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明、清</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东釜山乡东街村</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县级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15</w:t>
            </w:r>
          </w:p>
        </w:tc>
        <w:tc>
          <w:tcPr>
            <w:tcW w:w="155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燕长城</w:t>
            </w:r>
          </w:p>
        </w:tc>
        <w:tc>
          <w:tcPr>
            <w:tcW w:w="1105" w:type="dxa"/>
            <w:tcBorders>
              <w:tl2br w:val="nil"/>
              <w:tr2bl w:val="nil"/>
            </w:tcBorders>
            <w:vAlign w:val="center"/>
          </w:tcPr>
          <w:p>
            <w:pPr>
              <w:jc w:val="center"/>
              <w:rPr>
                <w:rFonts w:eastAsia="黑体"/>
                <w:szCs w:val="21"/>
              </w:rPr>
            </w:pPr>
            <w:r>
              <w:rPr>
                <w:rFonts w:eastAsia="黑体"/>
                <w:szCs w:val="21"/>
              </w:rPr>
              <w:t>集体所有</w:t>
            </w:r>
          </w:p>
        </w:tc>
        <w:tc>
          <w:tcPr>
            <w:tcW w:w="2148" w:type="dxa"/>
            <w:tcBorders>
              <w:tl2br w:val="nil"/>
              <w:tr2bl w:val="nil"/>
            </w:tcBorders>
            <w:vAlign w:val="center"/>
          </w:tcPr>
          <w:p>
            <w:pPr>
              <w:jc w:val="center"/>
              <w:rPr>
                <w:rFonts w:eastAsia="黑体"/>
                <w:szCs w:val="21"/>
              </w:rPr>
            </w:pPr>
            <w:r>
              <w:rPr>
                <w:rFonts w:eastAsia="黑体"/>
                <w:szCs w:val="21"/>
              </w:rPr>
              <w:t>冀政【1982】157号</w:t>
            </w:r>
          </w:p>
        </w:tc>
        <w:tc>
          <w:tcPr>
            <w:tcW w:w="900"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战国</w:t>
            </w:r>
          </w:p>
        </w:tc>
        <w:tc>
          <w:tcPr>
            <w:tcW w:w="1847"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屯里至商平庄</w:t>
            </w:r>
          </w:p>
        </w:tc>
        <w:tc>
          <w:tcPr>
            <w:tcW w:w="891" w:type="dxa"/>
            <w:tcBorders>
              <w:tl2br w:val="nil"/>
              <w:tr2bl w:val="nil"/>
            </w:tcBorders>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省级</w:t>
            </w:r>
          </w:p>
        </w:tc>
      </w:tr>
    </w:tbl>
    <w:p>
      <w:pPr>
        <w:spacing w:line="360" w:lineRule="auto"/>
        <w:jc w:val="center"/>
        <w:rPr>
          <w:rFonts w:eastAsia="黑体"/>
          <w:b/>
          <w:bCs/>
          <w:szCs w:val="21"/>
        </w:rPr>
      </w:pPr>
      <w:r>
        <w:rPr>
          <w:rFonts w:eastAsia="黑体"/>
          <w:b/>
          <w:bCs/>
          <w:szCs w:val="21"/>
        </w:rPr>
        <w:drawing>
          <wp:inline distT="0" distB="0" distL="114300" distR="114300">
            <wp:extent cx="5038090" cy="3109595"/>
            <wp:effectExtent l="0" t="0" r="0" b="0"/>
            <wp:docPr id="1" name="图片 1" descr="文物保护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物保护分布"/>
                    <pic:cNvPicPr>
                      <a:picLocks noChangeAspect="1"/>
                    </pic:cNvPicPr>
                  </pic:nvPicPr>
                  <pic:blipFill>
                    <a:blip r:embed="rId9"/>
                    <a:stretch>
                      <a:fillRect/>
                    </a:stretch>
                  </pic:blipFill>
                  <pic:spPr>
                    <a:xfrm>
                      <a:off x="0" y="0"/>
                      <a:ext cx="5041987" cy="3112299"/>
                    </a:xfrm>
                    <a:prstGeom prst="rect">
                      <a:avLst/>
                    </a:prstGeom>
                  </pic:spPr>
                </pic:pic>
              </a:graphicData>
            </a:graphic>
          </wp:inline>
        </w:drawing>
      </w:r>
    </w:p>
    <w:p>
      <w:pPr>
        <w:spacing w:line="360" w:lineRule="auto"/>
        <w:jc w:val="center"/>
        <w:rPr>
          <w:rFonts w:eastAsia="黑体"/>
          <w:b/>
          <w:bCs/>
          <w:szCs w:val="21"/>
        </w:rPr>
      </w:pPr>
      <w:r>
        <w:rPr>
          <w:rFonts w:eastAsia="黑体"/>
          <w:b/>
          <w:bCs/>
          <w:szCs w:val="21"/>
        </w:rPr>
        <w:t>图1.5-1 徐水区文物保护单位分布图</w:t>
      </w:r>
      <w:bookmarkStart w:id="89" w:name="_Toc13383"/>
    </w:p>
    <w:p>
      <w:pPr>
        <w:pStyle w:val="6"/>
        <w:numPr>
          <w:ilvl w:val="2"/>
          <w:numId w:val="0"/>
        </w:numPr>
        <w:spacing w:before="156" w:after="156"/>
      </w:pPr>
      <w:r>
        <w:t>1.5.3三线一单空间管控</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依据《河北省人民政府关于加快实施“三线一单”生态环境分区管控的意见》（冀政字〔2020〕71号）的要求和部署，徐水区全域共划分一般管控单元、重点管控单元和优先保护单元三种。其中优先保护单元包括：大王店镇、东釜山乡、义联庄乡要求单元内南水北调工程管理范围以外的区域加强面源污染防治，有效推进城乡生活垃圾、尾矿库、交通流动源、畜禽养殖及种植业等污染风险防治；大因镇、漕河镇、留村镇、正村镇、安肃镇、崔庄镇、遂城镇、瀑河乡、高林村镇、东史端镇要求完善规模化畜禽养殖场粪污处理设施配套建设，实施粪污资源化综合利用；强化对畜禽散养户的管控，对沿河1000米范围内的散养户畜禽粪污进行无害化处理并实施资源化利用，禁止畜禽养殖粪便、废水入河。</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p/>
    <w:p>
      <w:pPr>
        <w:pStyle w:val="6"/>
        <w:numPr>
          <w:ilvl w:val="0"/>
          <w:numId w:val="0"/>
        </w:numPr>
        <w:spacing w:before="156" w:after="156"/>
      </w:pPr>
      <w:r>
        <w:t>1.5.4地表水和饮用水水源保护区</w:t>
      </w:r>
      <w:bookmarkEnd w:id="84"/>
      <w:bookmarkEnd w:id="85"/>
      <w:bookmarkEnd w:id="86"/>
      <w:bookmarkEnd w:id="87"/>
      <w:bookmarkEnd w:id="88"/>
      <w:bookmarkEnd w:id="89"/>
    </w:p>
    <w:p>
      <w:pPr>
        <w:pStyle w:val="2"/>
        <w:ind w:firstLine="560" w:firstLineChars="200"/>
        <w:rPr>
          <w:rFonts w:ascii="Times New Roman" w:hAnsi="Times New Roman"/>
          <w:sz w:val="28"/>
          <w:szCs w:val="28"/>
          <w:lang w:val="en-US"/>
        </w:rPr>
      </w:pPr>
      <w:r>
        <w:rPr>
          <w:rFonts w:ascii="Times New Roman" w:hAnsi="Times New Roman"/>
          <w:sz w:val="28"/>
          <w:szCs w:val="28"/>
          <w:lang w:val="en-US"/>
        </w:rPr>
        <w:t>环境保护部2016年11月15日在官网公布，环保部、农业部制定了《畜禽养殖禁养区划定技术指南》，规定将饮用水水源保护区等五类地区划定禁养区。徐水区地表水环境根据其功能被划分为农业用水区、过渡区、饮用水源区，具体水功能区划见表1.5-2。徐水区共计饮用水源保护区9个，均为该区划定的禁养区范围，详见表1.5-3。</w:t>
      </w:r>
    </w:p>
    <w:p>
      <w:pPr>
        <w:spacing w:line="360" w:lineRule="auto"/>
        <w:jc w:val="center"/>
        <w:rPr>
          <w:rFonts w:eastAsia="黑体"/>
          <w:b/>
          <w:bCs/>
          <w:szCs w:val="21"/>
        </w:rPr>
        <w:sectPr>
          <w:footerReference r:id="rId4" w:type="default"/>
          <w:pgSz w:w="11906" w:h="16838"/>
          <w:pgMar w:top="1417" w:right="1417" w:bottom="1701" w:left="1701" w:header="851" w:footer="850" w:gutter="0"/>
          <w:pgNumType w:start="1"/>
          <w:cols w:space="720" w:num="1"/>
          <w:docGrid w:type="lines" w:linePitch="312" w:charSpace="0"/>
        </w:sectPr>
      </w:pPr>
    </w:p>
    <w:p>
      <w:pPr>
        <w:spacing w:line="360" w:lineRule="auto"/>
        <w:jc w:val="center"/>
        <w:rPr>
          <w:rFonts w:eastAsia="黑体"/>
          <w:b/>
          <w:bCs/>
          <w:szCs w:val="21"/>
        </w:rPr>
      </w:pPr>
      <w:r>
        <w:rPr>
          <w:rFonts w:eastAsia="黑体"/>
          <w:b/>
          <w:bCs/>
          <w:szCs w:val="21"/>
        </w:rPr>
        <w:t>表 1.5-2  徐水区地表水环境功能区划一览表</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813"/>
        <w:gridCol w:w="857"/>
        <w:gridCol w:w="2285"/>
        <w:gridCol w:w="1667"/>
        <w:gridCol w:w="1950"/>
        <w:gridCol w:w="1017"/>
        <w:gridCol w:w="1083"/>
        <w:gridCol w:w="1133"/>
        <w:gridCol w:w="1866"/>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vMerge w:val="restart"/>
            <w:tcBorders>
              <w:tl2br w:val="nil"/>
              <w:tr2bl w:val="nil"/>
            </w:tcBorders>
            <w:vAlign w:val="center"/>
          </w:tcPr>
          <w:p>
            <w:pPr>
              <w:jc w:val="center"/>
              <w:rPr>
                <w:rFonts w:eastAsia="黑体"/>
                <w:b/>
                <w:bCs/>
                <w:szCs w:val="21"/>
              </w:rPr>
            </w:pPr>
            <w:r>
              <w:rPr>
                <w:rFonts w:eastAsia="黑体"/>
                <w:b/>
                <w:bCs/>
                <w:szCs w:val="21"/>
              </w:rPr>
              <w:t>序号</w:t>
            </w:r>
          </w:p>
        </w:tc>
        <w:tc>
          <w:tcPr>
            <w:tcW w:w="813" w:type="dxa"/>
            <w:vMerge w:val="restart"/>
            <w:tcBorders>
              <w:tl2br w:val="nil"/>
              <w:tr2bl w:val="nil"/>
            </w:tcBorders>
            <w:vAlign w:val="center"/>
          </w:tcPr>
          <w:p>
            <w:pPr>
              <w:jc w:val="center"/>
              <w:rPr>
                <w:rFonts w:eastAsia="黑体"/>
                <w:b/>
                <w:bCs/>
                <w:szCs w:val="21"/>
              </w:rPr>
            </w:pPr>
            <w:r>
              <w:rPr>
                <w:rFonts w:eastAsia="黑体"/>
                <w:b/>
                <w:bCs/>
                <w:szCs w:val="21"/>
              </w:rPr>
              <w:t>河流</w:t>
            </w:r>
          </w:p>
        </w:tc>
        <w:tc>
          <w:tcPr>
            <w:tcW w:w="857" w:type="dxa"/>
            <w:vMerge w:val="restart"/>
            <w:tcBorders>
              <w:tl2br w:val="nil"/>
              <w:tr2bl w:val="nil"/>
            </w:tcBorders>
            <w:vAlign w:val="center"/>
          </w:tcPr>
          <w:p>
            <w:pPr>
              <w:jc w:val="center"/>
              <w:rPr>
                <w:rFonts w:eastAsia="黑体"/>
                <w:b/>
                <w:bCs/>
                <w:szCs w:val="21"/>
              </w:rPr>
            </w:pPr>
            <w:r>
              <w:rPr>
                <w:rFonts w:eastAsia="黑体"/>
                <w:b/>
                <w:bCs/>
                <w:szCs w:val="21"/>
              </w:rPr>
              <w:t>县、区</w:t>
            </w:r>
          </w:p>
        </w:tc>
        <w:tc>
          <w:tcPr>
            <w:tcW w:w="2285" w:type="dxa"/>
            <w:vMerge w:val="restart"/>
            <w:tcBorders>
              <w:tl2br w:val="nil"/>
              <w:tr2bl w:val="nil"/>
            </w:tcBorders>
            <w:vAlign w:val="center"/>
          </w:tcPr>
          <w:p>
            <w:pPr>
              <w:jc w:val="center"/>
              <w:rPr>
                <w:rFonts w:eastAsia="黑体"/>
                <w:b/>
                <w:bCs/>
                <w:szCs w:val="21"/>
              </w:rPr>
            </w:pPr>
            <w:r>
              <w:rPr>
                <w:rFonts w:eastAsia="黑体"/>
                <w:b/>
                <w:bCs/>
                <w:szCs w:val="21"/>
              </w:rPr>
              <w:t>水功能区名称</w:t>
            </w:r>
          </w:p>
        </w:tc>
        <w:tc>
          <w:tcPr>
            <w:tcW w:w="4634" w:type="dxa"/>
            <w:gridSpan w:val="3"/>
            <w:tcBorders>
              <w:tl2br w:val="nil"/>
              <w:tr2bl w:val="nil"/>
            </w:tcBorders>
            <w:vAlign w:val="center"/>
          </w:tcPr>
          <w:p>
            <w:pPr>
              <w:jc w:val="center"/>
              <w:rPr>
                <w:rFonts w:eastAsia="黑体"/>
                <w:b/>
                <w:bCs/>
                <w:szCs w:val="21"/>
              </w:rPr>
            </w:pPr>
            <w:r>
              <w:rPr>
                <w:rFonts w:eastAsia="黑体"/>
                <w:b/>
                <w:bCs/>
                <w:szCs w:val="21"/>
              </w:rPr>
              <w:t>范      围</w:t>
            </w:r>
          </w:p>
        </w:tc>
        <w:tc>
          <w:tcPr>
            <w:tcW w:w="1083" w:type="dxa"/>
            <w:vMerge w:val="restart"/>
            <w:tcBorders>
              <w:tl2br w:val="nil"/>
              <w:tr2bl w:val="nil"/>
            </w:tcBorders>
            <w:vAlign w:val="center"/>
          </w:tcPr>
          <w:p>
            <w:pPr>
              <w:jc w:val="center"/>
              <w:rPr>
                <w:rFonts w:eastAsia="黑体"/>
                <w:b/>
                <w:bCs/>
                <w:szCs w:val="21"/>
              </w:rPr>
            </w:pPr>
            <w:r>
              <w:rPr>
                <w:rFonts w:eastAsia="黑体"/>
                <w:b/>
                <w:bCs/>
                <w:szCs w:val="21"/>
              </w:rPr>
              <w:t>水质目标</w:t>
            </w:r>
          </w:p>
        </w:tc>
        <w:tc>
          <w:tcPr>
            <w:tcW w:w="1133" w:type="dxa"/>
            <w:vMerge w:val="restart"/>
            <w:tcBorders>
              <w:tl2br w:val="nil"/>
              <w:tr2bl w:val="nil"/>
            </w:tcBorders>
            <w:vAlign w:val="center"/>
          </w:tcPr>
          <w:p>
            <w:pPr>
              <w:jc w:val="center"/>
              <w:rPr>
                <w:rFonts w:eastAsia="黑体"/>
                <w:b/>
                <w:bCs/>
                <w:szCs w:val="21"/>
              </w:rPr>
            </w:pPr>
            <w:r>
              <w:rPr>
                <w:rFonts w:eastAsia="黑体"/>
                <w:b/>
                <w:bCs/>
                <w:szCs w:val="21"/>
              </w:rPr>
              <w:t>区划依据</w:t>
            </w:r>
          </w:p>
        </w:tc>
        <w:tc>
          <w:tcPr>
            <w:tcW w:w="1866" w:type="dxa"/>
            <w:vMerge w:val="restart"/>
            <w:tcBorders>
              <w:tl2br w:val="nil"/>
              <w:tr2bl w:val="nil"/>
            </w:tcBorders>
            <w:vAlign w:val="center"/>
          </w:tcPr>
          <w:p>
            <w:pPr>
              <w:jc w:val="center"/>
              <w:rPr>
                <w:rFonts w:eastAsia="黑体"/>
                <w:b/>
                <w:bCs/>
                <w:szCs w:val="21"/>
              </w:rPr>
            </w:pPr>
            <w:r>
              <w:rPr>
                <w:rFonts w:eastAsia="黑体"/>
                <w:b/>
                <w:bCs/>
                <w:szCs w:val="21"/>
              </w:rPr>
              <w:t>水资源三级区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80" w:type="dxa"/>
            <w:vMerge w:val="continue"/>
            <w:tcBorders>
              <w:tl2br w:val="nil"/>
              <w:tr2bl w:val="nil"/>
            </w:tcBorders>
            <w:vAlign w:val="center"/>
          </w:tcPr>
          <w:p>
            <w:pPr>
              <w:jc w:val="center"/>
              <w:rPr>
                <w:rFonts w:eastAsia="黑体"/>
                <w:szCs w:val="21"/>
              </w:rPr>
            </w:pPr>
          </w:p>
        </w:tc>
        <w:tc>
          <w:tcPr>
            <w:tcW w:w="813" w:type="dxa"/>
            <w:vMerge w:val="continue"/>
            <w:tcBorders>
              <w:tl2br w:val="nil"/>
              <w:tr2bl w:val="nil"/>
            </w:tcBorders>
            <w:vAlign w:val="center"/>
          </w:tcPr>
          <w:p>
            <w:pPr>
              <w:jc w:val="center"/>
              <w:rPr>
                <w:rFonts w:eastAsia="黑体"/>
                <w:szCs w:val="21"/>
              </w:rPr>
            </w:pPr>
          </w:p>
        </w:tc>
        <w:tc>
          <w:tcPr>
            <w:tcW w:w="857" w:type="dxa"/>
            <w:vMerge w:val="continue"/>
            <w:tcBorders>
              <w:tl2br w:val="nil"/>
              <w:tr2bl w:val="nil"/>
            </w:tcBorders>
            <w:vAlign w:val="center"/>
          </w:tcPr>
          <w:p>
            <w:pPr>
              <w:jc w:val="center"/>
              <w:rPr>
                <w:rFonts w:eastAsia="黑体"/>
                <w:szCs w:val="21"/>
              </w:rPr>
            </w:pPr>
          </w:p>
        </w:tc>
        <w:tc>
          <w:tcPr>
            <w:tcW w:w="2285" w:type="dxa"/>
            <w:vMerge w:val="continue"/>
            <w:tcBorders>
              <w:tl2br w:val="nil"/>
              <w:tr2bl w:val="nil"/>
            </w:tcBorders>
            <w:vAlign w:val="center"/>
          </w:tcPr>
          <w:p>
            <w:pPr>
              <w:jc w:val="center"/>
              <w:rPr>
                <w:rFonts w:eastAsia="黑体"/>
                <w:szCs w:val="21"/>
              </w:rPr>
            </w:pPr>
          </w:p>
        </w:tc>
        <w:tc>
          <w:tcPr>
            <w:tcW w:w="1667" w:type="dxa"/>
            <w:tcBorders>
              <w:tl2br w:val="nil"/>
              <w:tr2bl w:val="nil"/>
            </w:tcBorders>
            <w:vAlign w:val="center"/>
          </w:tcPr>
          <w:p>
            <w:pPr>
              <w:jc w:val="center"/>
              <w:rPr>
                <w:rFonts w:eastAsia="黑体"/>
                <w:b/>
                <w:bCs/>
                <w:szCs w:val="21"/>
              </w:rPr>
            </w:pPr>
            <w:r>
              <w:rPr>
                <w:rFonts w:eastAsia="黑体"/>
                <w:b/>
                <w:bCs/>
                <w:szCs w:val="21"/>
              </w:rPr>
              <w:t>起始位置</w:t>
            </w:r>
          </w:p>
        </w:tc>
        <w:tc>
          <w:tcPr>
            <w:tcW w:w="1950" w:type="dxa"/>
            <w:tcBorders>
              <w:tl2br w:val="nil"/>
              <w:tr2bl w:val="nil"/>
            </w:tcBorders>
            <w:vAlign w:val="center"/>
          </w:tcPr>
          <w:p>
            <w:pPr>
              <w:jc w:val="center"/>
              <w:rPr>
                <w:rFonts w:eastAsia="黑体"/>
                <w:b/>
                <w:bCs/>
                <w:szCs w:val="21"/>
              </w:rPr>
            </w:pPr>
            <w:r>
              <w:rPr>
                <w:rFonts w:eastAsia="黑体"/>
                <w:b/>
                <w:bCs/>
                <w:szCs w:val="21"/>
              </w:rPr>
              <w:t>终止位置</w:t>
            </w:r>
          </w:p>
        </w:tc>
        <w:tc>
          <w:tcPr>
            <w:tcW w:w="1017" w:type="dxa"/>
            <w:tcBorders>
              <w:tl2br w:val="nil"/>
              <w:tr2bl w:val="nil"/>
            </w:tcBorders>
            <w:vAlign w:val="center"/>
          </w:tcPr>
          <w:p>
            <w:pPr>
              <w:jc w:val="center"/>
              <w:rPr>
                <w:b/>
                <w:bCs/>
                <w:sz w:val="24"/>
              </w:rPr>
            </w:pPr>
            <w:r>
              <w:rPr>
                <w:rFonts w:eastAsia="黑体"/>
                <w:b/>
                <w:bCs/>
                <w:szCs w:val="21"/>
              </w:rPr>
              <w:t>长度</w:t>
            </w:r>
            <w:r>
              <w:rPr>
                <w:b/>
                <w:bCs/>
                <w:sz w:val="24"/>
              </w:rPr>
              <w:t>(km)</w:t>
            </w:r>
          </w:p>
        </w:tc>
        <w:tc>
          <w:tcPr>
            <w:tcW w:w="1083" w:type="dxa"/>
            <w:vMerge w:val="continue"/>
            <w:tcBorders>
              <w:tl2br w:val="nil"/>
              <w:tr2bl w:val="nil"/>
            </w:tcBorders>
            <w:vAlign w:val="center"/>
          </w:tcPr>
          <w:p>
            <w:pPr>
              <w:jc w:val="center"/>
              <w:rPr>
                <w:rFonts w:eastAsia="黑体"/>
                <w:szCs w:val="21"/>
              </w:rPr>
            </w:pPr>
          </w:p>
        </w:tc>
        <w:tc>
          <w:tcPr>
            <w:tcW w:w="1133" w:type="dxa"/>
            <w:vMerge w:val="continue"/>
            <w:tcBorders>
              <w:tl2br w:val="nil"/>
              <w:tr2bl w:val="nil"/>
            </w:tcBorders>
            <w:vAlign w:val="center"/>
          </w:tcPr>
          <w:p>
            <w:pPr>
              <w:jc w:val="center"/>
              <w:rPr>
                <w:rFonts w:eastAsia="黑体"/>
                <w:szCs w:val="21"/>
              </w:rPr>
            </w:pPr>
          </w:p>
        </w:tc>
        <w:tc>
          <w:tcPr>
            <w:tcW w:w="1866" w:type="dxa"/>
            <w:vMerge w:val="continue"/>
            <w:tcBorders>
              <w:tl2br w:val="nil"/>
              <w:tr2bl w:val="nil"/>
            </w:tcBorders>
            <w:vAlign w:val="center"/>
          </w:tcPr>
          <w:p>
            <w:pPr>
              <w:jc w:val="center"/>
              <w:rPr>
                <w:rFonts w:eastAsia="黑体"/>
                <w:szCs w:val="21"/>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tcBorders>
              <w:tl2br w:val="nil"/>
              <w:tr2bl w:val="nil"/>
            </w:tcBorders>
            <w:vAlign w:val="center"/>
          </w:tcPr>
          <w:p>
            <w:pPr>
              <w:jc w:val="center"/>
              <w:rPr>
                <w:rFonts w:eastAsia="黑体"/>
                <w:szCs w:val="21"/>
              </w:rPr>
            </w:pPr>
            <w:r>
              <w:rPr>
                <w:rFonts w:eastAsia="黑体"/>
                <w:szCs w:val="21"/>
              </w:rPr>
              <w:t>1</w:t>
            </w:r>
          </w:p>
        </w:tc>
        <w:tc>
          <w:tcPr>
            <w:tcW w:w="813" w:type="dxa"/>
            <w:tcBorders>
              <w:tl2br w:val="nil"/>
              <w:tr2bl w:val="nil"/>
            </w:tcBorders>
            <w:vAlign w:val="center"/>
          </w:tcPr>
          <w:p>
            <w:pPr>
              <w:jc w:val="center"/>
              <w:rPr>
                <w:rFonts w:eastAsia="黑体"/>
                <w:szCs w:val="21"/>
              </w:rPr>
            </w:pPr>
            <w:r>
              <w:rPr>
                <w:rFonts w:eastAsia="黑体"/>
                <w:szCs w:val="21"/>
              </w:rPr>
              <w:t>漕河</w:t>
            </w:r>
          </w:p>
        </w:tc>
        <w:tc>
          <w:tcPr>
            <w:tcW w:w="857" w:type="dxa"/>
            <w:tcBorders>
              <w:tl2br w:val="nil"/>
              <w:tr2bl w:val="nil"/>
            </w:tcBorders>
            <w:vAlign w:val="center"/>
          </w:tcPr>
          <w:p>
            <w:pPr>
              <w:jc w:val="center"/>
              <w:rPr>
                <w:rFonts w:eastAsia="黑体"/>
                <w:szCs w:val="21"/>
              </w:rPr>
            </w:pPr>
            <w:r>
              <w:rPr>
                <w:rFonts w:eastAsia="黑体"/>
                <w:szCs w:val="21"/>
              </w:rPr>
              <w:t>徐水区</w:t>
            </w:r>
          </w:p>
        </w:tc>
        <w:tc>
          <w:tcPr>
            <w:tcW w:w="2285" w:type="dxa"/>
            <w:tcBorders>
              <w:tl2br w:val="nil"/>
              <w:tr2bl w:val="nil"/>
            </w:tcBorders>
            <w:vAlign w:val="center"/>
          </w:tcPr>
          <w:p>
            <w:pPr>
              <w:jc w:val="center"/>
              <w:rPr>
                <w:rFonts w:eastAsia="黑体"/>
                <w:szCs w:val="21"/>
              </w:rPr>
            </w:pPr>
            <w:r>
              <w:rPr>
                <w:rFonts w:eastAsia="黑体"/>
                <w:szCs w:val="21"/>
              </w:rPr>
              <w:t>漕河保定农业用水区</w:t>
            </w:r>
          </w:p>
        </w:tc>
        <w:tc>
          <w:tcPr>
            <w:tcW w:w="1667" w:type="dxa"/>
            <w:tcBorders>
              <w:tl2br w:val="nil"/>
              <w:tr2bl w:val="nil"/>
            </w:tcBorders>
            <w:vAlign w:val="center"/>
          </w:tcPr>
          <w:p>
            <w:pPr>
              <w:jc w:val="center"/>
              <w:rPr>
                <w:rFonts w:eastAsia="黑体"/>
                <w:szCs w:val="21"/>
              </w:rPr>
            </w:pPr>
            <w:r>
              <w:rPr>
                <w:rFonts w:eastAsia="黑体"/>
                <w:szCs w:val="21"/>
              </w:rPr>
              <w:t>龙门水库坝下</w:t>
            </w:r>
          </w:p>
        </w:tc>
        <w:tc>
          <w:tcPr>
            <w:tcW w:w="1950" w:type="dxa"/>
            <w:tcBorders>
              <w:tl2br w:val="nil"/>
              <w:tr2bl w:val="nil"/>
            </w:tcBorders>
            <w:vAlign w:val="center"/>
          </w:tcPr>
          <w:p>
            <w:pPr>
              <w:jc w:val="center"/>
              <w:rPr>
                <w:rFonts w:eastAsia="黑体"/>
                <w:szCs w:val="21"/>
              </w:rPr>
            </w:pPr>
            <w:r>
              <w:rPr>
                <w:rFonts w:eastAsia="黑体"/>
                <w:szCs w:val="21"/>
              </w:rPr>
              <w:t>漕河大桥</w:t>
            </w:r>
          </w:p>
        </w:tc>
        <w:tc>
          <w:tcPr>
            <w:tcW w:w="1017" w:type="dxa"/>
            <w:tcBorders>
              <w:tl2br w:val="nil"/>
              <w:tr2bl w:val="nil"/>
            </w:tcBorders>
            <w:vAlign w:val="center"/>
          </w:tcPr>
          <w:p>
            <w:pPr>
              <w:jc w:val="center"/>
              <w:rPr>
                <w:sz w:val="24"/>
              </w:rPr>
            </w:pPr>
            <w:r>
              <w:rPr>
                <w:sz w:val="24"/>
              </w:rPr>
              <w:t>44.4</w:t>
            </w:r>
          </w:p>
        </w:tc>
        <w:tc>
          <w:tcPr>
            <w:tcW w:w="1083" w:type="dxa"/>
            <w:tcBorders>
              <w:tl2br w:val="nil"/>
              <w:tr2bl w:val="nil"/>
            </w:tcBorders>
            <w:vAlign w:val="center"/>
          </w:tcPr>
          <w:p>
            <w:pPr>
              <w:jc w:val="center"/>
              <w:rPr>
                <w:rFonts w:eastAsia="黑体"/>
                <w:szCs w:val="21"/>
              </w:rPr>
            </w:pPr>
            <w:r>
              <w:rPr>
                <w:rFonts w:eastAsia="黑体"/>
                <w:szCs w:val="21"/>
              </w:rPr>
              <w:t>Ⅳ</w:t>
            </w:r>
          </w:p>
        </w:tc>
        <w:tc>
          <w:tcPr>
            <w:tcW w:w="1133" w:type="dxa"/>
            <w:tcBorders>
              <w:tl2br w:val="nil"/>
              <w:tr2bl w:val="nil"/>
            </w:tcBorders>
            <w:vAlign w:val="center"/>
          </w:tcPr>
          <w:p>
            <w:pPr>
              <w:jc w:val="center"/>
              <w:rPr>
                <w:rFonts w:eastAsia="黑体"/>
                <w:szCs w:val="21"/>
              </w:rPr>
            </w:pPr>
            <w:r>
              <w:rPr>
                <w:rFonts w:eastAsia="黑体"/>
                <w:szCs w:val="21"/>
              </w:rPr>
              <w:t>农业</w:t>
            </w:r>
          </w:p>
        </w:tc>
        <w:tc>
          <w:tcPr>
            <w:tcW w:w="1866" w:type="dxa"/>
            <w:tcBorders>
              <w:tl2br w:val="nil"/>
              <w:tr2bl w:val="nil"/>
            </w:tcBorders>
            <w:vAlign w:val="center"/>
          </w:tcPr>
          <w:p>
            <w:pPr>
              <w:jc w:val="center"/>
              <w:rPr>
                <w:rFonts w:eastAsia="黑体"/>
                <w:szCs w:val="21"/>
              </w:rPr>
            </w:pPr>
            <w:r>
              <w:rPr>
                <w:rFonts w:eastAsia="黑体"/>
                <w:szCs w:val="21"/>
              </w:rPr>
              <w:t>大清河淀西平原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tcBorders>
              <w:tl2br w:val="nil"/>
              <w:tr2bl w:val="nil"/>
            </w:tcBorders>
            <w:vAlign w:val="center"/>
          </w:tcPr>
          <w:p>
            <w:pPr>
              <w:jc w:val="center"/>
              <w:rPr>
                <w:rFonts w:eastAsia="黑体"/>
                <w:szCs w:val="21"/>
              </w:rPr>
            </w:pPr>
            <w:r>
              <w:rPr>
                <w:rFonts w:eastAsia="黑体"/>
                <w:szCs w:val="21"/>
              </w:rPr>
              <w:t>2</w:t>
            </w:r>
          </w:p>
        </w:tc>
        <w:tc>
          <w:tcPr>
            <w:tcW w:w="813" w:type="dxa"/>
            <w:tcBorders>
              <w:tl2br w:val="nil"/>
              <w:tr2bl w:val="nil"/>
            </w:tcBorders>
            <w:vAlign w:val="center"/>
          </w:tcPr>
          <w:p>
            <w:pPr>
              <w:jc w:val="center"/>
              <w:rPr>
                <w:rFonts w:eastAsia="黑体"/>
                <w:szCs w:val="21"/>
              </w:rPr>
            </w:pPr>
            <w:r>
              <w:rPr>
                <w:rFonts w:eastAsia="黑体"/>
                <w:szCs w:val="21"/>
              </w:rPr>
              <w:t>漕河</w:t>
            </w:r>
          </w:p>
        </w:tc>
        <w:tc>
          <w:tcPr>
            <w:tcW w:w="857" w:type="dxa"/>
            <w:tcBorders>
              <w:tl2br w:val="nil"/>
              <w:tr2bl w:val="nil"/>
            </w:tcBorders>
            <w:vAlign w:val="center"/>
          </w:tcPr>
          <w:p>
            <w:pPr>
              <w:jc w:val="center"/>
              <w:rPr>
                <w:rFonts w:eastAsia="黑体"/>
                <w:szCs w:val="21"/>
              </w:rPr>
            </w:pPr>
            <w:r>
              <w:rPr>
                <w:rFonts w:eastAsia="黑体"/>
                <w:szCs w:val="21"/>
              </w:rPr>
              <w:t>徐水区</w:t>
            </w:r>
          </w:p>
        </w:tc>
        <w:tc>
          <w:tcPr>
            <w:tcW w:w="2285" w:type="dxa"/>
            <w:tcBorders>
              <w:tl2br w:val="nil"/>
              <w:tr2bl w:val="nil"/>
            </w:tcBorders>
            <w:vAlign w:val="center"/>
          </w:tcPr>
          <w:p>
            <w:pPr>
              <w:jc w:val="center"/>
              <w:rPr>
                <w:rFonts w:eastAsia="黑体"/>
                <w:szCs w:val="21"/>
              </w:rPr>
            </w:pPr>
            <w:r>
              <w:rPr>
                <w:rFonts w:eastAsia="黑体"/>
                <w:szCs w:val="21"/>
              </w:rPr>
              <w:t>漕河保定过渡区</w:t>
            </w:r>
          </w:p>
        </w:tc>
        <w:tc>
          <w:tcPr>
            <w:tcW w:w="1667" w:type="dxa"/>
            <w:tcBorders>
              <w:tl2br w:val="nil"/>
              <w:tr2bl w:val="nil"/>
            </w:tcBorders>
            <w:vAlign w:val="center"/>
          </w:tcPr>
          <w:p>
            <w:pPr>
              <w:jc w:val="center"/>
              <w:rPr>
                <w:rFonts w:eastAsia="黑体"/>
                <w:szCs w:val="21"/>
              </w:rPr>
            </w:pPr>
            <w:r>
              <w:rPr>
                <w:rFonts w:eastAsia="黑体"/>
                <w:szCs w:val="21"/>
              </w:rPr>
              <w:t>漕河大桥</w:t>
            </w:r>
          </w:p>
        </w:tc>
        <w:tc>
          <w:tcPr>
            <w:tcW w:w="1950" w:type="dxa"/>
            <w:tcBorders>
              <w:tl2br w:val="nil"/>
              <w:tr2bl w:val="nil"/>
            </w:tcBorders>
            <w:vAlign w:val="center"/>
          </w:tcPr>
          <w:p>
            <w:pPr>
              <w:jc w:val="center"/>
              <w:rPr>
                <w:rFonts w:eastAsia="黑体"/>
                <w:szCs w:val="21"/>
              </w:rPr>
            </w:pPr>
            <w:r>
              <w:rPr>
                <w:rFonts w:eastAsia="黑体"/>
                <w:szCs w:val="21"/>
              </w:rPr>
              <w:t>漕河与府河交汇处</w:t>
            </w:r>
          </w:p>
        </w:tc>
        <w:tc>
          <w:tcPr>
            <w:tcW w:w="1017" w:type="dxa"/>
            <w:tcBorders>
              <w:tl2br w:val="nil"/>
              <w:tr2bl w:val="nil"/>
            </w:tcBorders>
            <w:vAlign w:val="center"/>
          </w:tcPr>
          <w:p>
            <w:pPr>
              <w:jc w:val="center"/>
              <w:rPr>
                <w:sz w:val="24"/>
              </w:rPr>
            </w:pPr>
            <w:r>
              <w:rPr>
                <w:sz w:val="24"/>
              </w:rPr>
              <w:t>21.2</w:t>
            </w:r>
          </w:p>
        </w:tc>
        <w:tc>
          <w:tcPr>
            <w:tcW w:w="1083" w:type="dxa"/>
            <w:tcBorders>
              <w:tl2br w:val="nil"/>
              <w:tr2bl w:val="nil"/>
            </w:tcBorders>
            <w:vAlign w:val="center"/>
          </w:tcPr>
          <w:p>
            <w:pPr>
              <w:jc w:val="center"/>
              <w:rPr>
                <w:rFonts w:eastAsia="黑体"/>
                <w:szCs w:val="21"/>
              </w:rPr>
            </w:pPr>
            <w:r>
              <w:rPr>
                <w:rFonts w:eastAsia="黑体"/>
                <w:szCs w:val="21"/>
              </w:rPr>
              <w:t>Ⅲ</w:t>
            </w:r>
          </w:p>
        </w:tc>
        <w:tc>
          <w:tcPr>
            <w:tcW w:w="1133" w:type="dxa"/>
            <w:tcBorders>
              <w:tl2br w:val="nil"/>
              <w:tr2bl w:val="nil"/>
            </w:tcBorders>
            <w:vAlign w:val="center"/>
          </w:tcPr>
          <w:p>
            <w:pPr>
              <w:jc w:val="center"/>
              <w:rPr>
                <w:rFonts w:eastAsia="黑体"/>
                <w:szCs w:val="21"/>
              </w:rPr>
            </w:pPr>
            <w:r>
              <w:rPr>
                <w:rFonts w:eastAsia="黑体"/>
                <w:szCs w:val="21"/>
              </w:rPr>
              <w:t>过渡</w:t>
            </w:r>
          </w:p>
        </w:tc>
        <w:tc>
          <w:tcPr>
            <w:tcW w:w="1866" w:type="dxa"/>
            <w:tcBorders>
              <w:tl2br w:val="nil"/>
              <w:tr2bl w:val="nil"/>
            </w:tcBorders>
            <w:vAlign w:val="center"/>
          </w:tcPr>
          <w:p>
            <w:pPr>
              <w:jc w:val="center"/>
              <w:rPr>
                <w:rFonts w:eastAsia="黑体"/>
                <w:szCs w:val="21"/>
              </w:rPr>
            </w:pPr>
            <w:r>
              <w:rPr>
                <w:rFonts w:eastAsia="黑体"/>
                <w:szCs w:val="21"/>
              </w:rPr>
              <w:t>大清河淀西平原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480" w:type="dxa"/>
            <w:tcBorders>
              <w:tl2br w:val="nil"/>
              <w:tr2bl w:val="nil"/>
            </w:tcBorders>
            <w:vAlign w:val="center"/>
          </w:tcPr>
          <w:p>
            <w:pPr>
              <w:jc w:val="center"/>
              <w:rPr>
                <w:rFonts w:eastAsia="黑体"/>
                <w:szCs w:val="21"/>
              </w:rPr>
            </w:pPr>
            <w:r>
              <w:rPr>
                <w:rFonts w:eastAsia="黑体"/>
                <w:szCs w:val="21"/>
              </w:rPr>
              <w:t>3</w:t>
            </w:r>
          </w:p>
        </w:tc>
        <w:tc>
          <w:tcPr>
            <w:tcW w:w="813" w:type="dxa"/>
            <w:tcBorders>
              <w:tl2br w:val="nil"/>
              <w:tr2bl w:val="nil"/>
            </w:tcBorders>
            <w:vAlign w:val="center"/>
          </w:tcPr>
          <w:p>
            <w:pPr>
              <w:jc w:val="center"/>
              <w:rPr>
                <w:rFonts w:eastAsia="黑体"/>
                <w:szCs w:val="21"/>
              </w:rPr>
            </w:pPr>
            <w:r>
              <w:rPr>
                <w:rFonts w:eastAsia="黑体"/>
                <w:szCs w:val="21"/>
              </w:rPr>
              <w:t>瀑河</w:t>
            </w:r>
          </w:p>
        </w:tc>
        <w:tc>
          <w:tcPr>
            <w:tcW w:w="857" w:type="dxa"/>
            <w:tcBorders>
              <w:tl2br w:val="nil"/>
              <w:tr2bl w:val="nil"/>
            </w:tcBorders>
            <w:vAlign w:val="center"/>
          </w:tcPr>
          <w:p>
            <w:pPr>
              <w:jc w:val="center"/>
              <w:rPr>
                <w:rFonts w:eastAsia="黑体"/>
                <w:szCs w:val="21"/>
              </w:rPr>
            </w:pPr>
            <w:r>
              <w:rPr>
                <w:rFonts w:eastAsia="黑体"/>
                <w:szCs w:val="21"/>
              </w:rPr>
              <w:t>徐水区</w:t>
            </w:r>
          </w:p>
        </w:tc>
        <w:tc>
          <w:tcPr>
            <w:tcW w:w="2285" w:type="dxa"/>
            <w:tcBorders>
              <w:tl2br w:val="nil"/>
              <w:tr2bl w:val="nil"/>
            </w:tcBorders>
            <w:vAlign w:val="center"/>
          </w:tcPr>
          <w:p>
            <w:pPr>
              <w:jc w:val="center"/>
              <w:rPr>
                <w:rFonts w:eastAsia="黑体"/>
                <w:szCs w:val="21"/>
              </w:rPr>
            </w:pPr>
            <w:r>
              <w:rPr>
                <w:rFonts w:eastAsia="黑体"/>
                <w:szCs w:val="21"/>
              </w:rPr>
              <w:t>瀑河保定饮用水源区1</w:t>
            </w:r>
          </w:p>
        </w:tc>
        <w:tc>
          <w:tcPr>
            <w:tcW w:w="1667" w:type="dxa"/>
            <w:tcBorders>
              <w:tl2br w:val="nil"/>
              <w:tr2bl w:val="nil"/>
            </w:tcBorders>
            <w:vAlign w:val="center"/>
          </w:tcPr>
          <w:p>
            <w:pPr>
              <w:jc w:val="center"/>
              <w:rPr>
                <w:rFonts w:eastAsia="黑体"/>
                <w:szCs w:val="21"/>
              </w:rPr>
            </w:pPr>
            <w:r>
              <w:rPr>
                <w:rFonts w:eastAsia="黑体"/>
                <w:szCs w:val="21"/>
              </w:rPr>
              <w:t>源头</w:t>
            </w:r>
          </w:p>
        </w:tc>
        <w:tc>
          <w:tcPr>
            <w:tcW w:w="1950" w:type="dxa"/>
            <w:tcBorders>
              <w:tl2br w:val="nil"/>
              <w:tr2bl w:val="nil"/>
            </w:tcBorders>
            <w:vAlign w:val="center"/>
          </w:tcPr>
          <w:p>
            <w:pPr>
              <w:jc w:val="center"/>
              <w:rPr>
                <w:rFonts w:eastAsia="黑体"/>
                <w:szCs w:val="21"/>
              </w:rPr>
            </w:pPr>
            <w:r>
              <w:rPr>
                <w:rFonts w:eastAsia="黑体"/>
                <w:szCs w:val="21"/>
              </w:rPr>
              <w:t>瀑河水库入库口</w:t>
            </w:r>
          </w:p>
        </w:tc>
        <w:tc>
          <w:tcPr>
            <w:tcW w:w="1017" w:type="dxa"/>
            <w:tcBorders>
              <w:tl2br w:val="nil"/>
              <w:tr2bl w:val="nil"/>
            </w:tcBorders>
            <w:vAlign w:val="center"/>
          </w:tcPr>
          <w:p>
            <w:pPr>
              <w:jc w:val="center"/>
              <w:rPr>
                <w:sz w:val="24"/>
                <w:szCs w:val="22"/>
              </w:rPr>
            </w:pPr>
            <w:r>
              <w:rPr>
                <w:sz w:val="24"/>
                <w:szCs w:val="22"/>
              </w:rPr>
              <w:t>20.4</w:t>
            </w:r>
          </w:p>
        </w:tc>
        <w:tc>
          <w:tcPr>
            <w:tcW w:w="1083" w:type="dxa"/>
            <w:tcBorders>
              <w:tl2br w:val="nil"/>
              <w:tr2bl w:val="nil"/>
            </w:tcBorders>
            <w:vAlign w:val="center"/>
          </w:tcPr>
          <w:p>
            <w:pPr>
              <w:jc w:val="center"/>
              <w:rPr>
                <w:rFonts w:eastAsia="黑体"/>
                <w:szCs w:val="21"/>
              </w:rPr>
            </w:pPr>
            <w:r>
              <w:rPr>
                <w:rFonts w:eastAsia="黑体"/>
                <w:szCs w:val="21"/>
              </w:rPr>
              <w:t>Ⅲ</w:t>
            </w:r>
          </w:p>
        </w:tc>
        <w:tc>
          <w:tcPr>
            <w:tcW w:w="1133" w:type="dxa"/>
            <w:tcBorders>
              <w:tl2br w:val="nil"/>
              <w:tr2bl w:val="nil"/>
            </w:tcBorders>
            <w:vAlign w:val="center"/>
          </w:tcPr>
          <w:p>
            <w:pPr>
              <w:jc w:val="center"/>
              <w:rPr>
                <w:rFonts w:eastAsia="黑体"/>
                <w:szCs w:val="21"/>
              </w:rPr>
            </w:pPr>
            <w:r>
              <w:rPr>
                <w:rFonts w:eastAsia="黑体"/>
                <w:szCs w:val="21"/>
              </w:rPr>
              <w:t>饮用</w:t>
            </w:r>
          </w:p>
        </w:tc>
        <w:tc>
          <w:tcPr>
            <w:tcW w:w="1866" w:type="dxa"/>
            <w:tcBorders>
              <w:tl2br w:val="nil"/>
              <w:tr2bl w:val="nil"/>
            </w:tcBorders>
            <w:vAlign w:val="center"/>
          </w:tcPr>
          <w:p>
            <w:pPr>
              <w:jc w:val="center"/>
              <w:rPr>
                <w:rFonts w:eastAsia="黑体"/>
                <w:szCs w:val="21"/>
              </w:rPr>
            </w:pPr>
            <w:r>
              <w:rPr>
                <w:rFonts w:eastAsia="黑体"/>
                <w:szCs w:val="21"/>
              </w:rPr>
              <w:t>大清河山区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tcBorders>
              <w:tl2br w:val="nil"/>
              <w:tr2bl w:val="nil"/>
            </w:tcBorders>
            <w:vAlign w:val="center"/>
          </w:tcPr>
          <w:p>
            <w:pPr>
              <w:jc w:val="center"/>
              <w:rPr>
                <w:rFonts w:eastAsia="黑体"/>
                <w:szCs w:val="21"/>
              </w:rPr>
            </w:pPr>
            <w:r>
              <w:rPr>
                <w:rFonts w:eastAsia="黑体"/>
                <w:szCs w:val="21"/>
              </w:rPr>
              <w:t>4</w:t>
            </w:r>
          </w:p>
        </w:tc>
        <w:tc>
          <w:tcPr>
            <w:tcW w:w="813" w:type="dxa"/>
            <w:tcBorders>
              <w:tl2br w:val="nil"/>
              <w:tr2bl w:val="nil"/>
            </w:tcBorders>
            <w:vAlign w:val="center"/>
          </w:tcPr>
          <w:p>
            <w:pPr>
              <w:jc w:val="center"/>
              <w:rPr>
                <w:rFonts w:eastAsia="黑体"/>
                <w:szCs w:val="21"/>
              </w:rPr>
            </w:pPr>
            <w:r>
              <w:rPr>
                <w:rFonts w:eastAsia="黑体"/>
                <w:szCs w:val="21"/>
              </w:rPr>
              <w:t>瀑河</w:t>
            </w:r>
          </w:p>
        </w:tc>
        <w:tc>
          <w:tcPr>
            <w:tcW w:w="857" w:type="dxa"/>
            <w:tcBorders>
              <w:tl2br w:val="nil"/>
              <w:tr2bl w:val="nil"/>
            </w:tcBorders>
            <w:vAlign w:val="center"/>
          </w:tcPr>
          <w:p>
            <w:pPr>
              <w:jc w:val="center"/>
              <w:rPr>
                <w:rFonts w:eastAsia="黑体"/>
                <w:szCs w:val="21"/>
              </w:rPr>
            </w:pPr>
            <w:r>
              <w:rPr>
                <w:rFonts w:eastAsia="黑体"/>
                <w:szCs w:val="21"/>
              </w:rPr>
              <w:t>徐水区</w:t>
            </w:r>
          </w:p>
        </w:tc>
        <w:tc>
          <w:tcPr>
            <w:tcW w:w="2285" w:type="dxa"/>
            <w:tcBorders>
              <w:tl2br w:val="nil"/>
              <w:tr2bl w:val="nil"/>
            </w:tcBorders>
            <w:vAlign w:val="center"/>
          </w:tcPr>
          <w:p>
            <w:pPr>
              <w:jc w:val="center"/>
              <w:rPr>
                <w:rFonts w:eastAsia="黑体"/>
                <w:szCs w:val="21"/>
              </w:rPr>
            </w:pPr>
            <w:r>
              <w:rPr>
                <w:rFonts w:eastAsia="黑体"/>
                <w:szCs w:val="21"/>
              </w:rPr>
              <w:t>瀑河保定饮用水源区2</w:t>
            </w:r>
          </w:p>
        </w:tc>
        <w:tc>
          <w:tcPr>
            <w:tcW w:w="1667" w:type="dxa"/>
            <w:tcBorders>
              <w:tl2br w:val="nil"/>
              <w:tr2bl w:val="nil"/>
            </w:tcBorders>
            <w:vAlign w:val="center"/>
          </w:tcPr>
          <w:p>
            <w:pPr>
              <w:jc w:val="center"/>
              <w:rPr>
                <w:rFonts w:eastAsia="黑体"/>
                <w:szCs w:val="21"/>
              </w:rPr>
            </w:pPr>
            <w:r>
              <w:rPr>
                <w:rFonts w:eastAsia="黑体"/>
                <w:szCs w:val="21"/>
              </w:rPr>
              <w:t>瀑河水库库区</w:t>
            </w:r>
          </w:p>
        </w:tc>
        <w:tc>
          <w:tcPr>
            <w:tcW w:w="1950" w:type="dxa"/>
            <w:tcBorders>
              <w:tl2br w:val="nil"/>
              <w:tr2bl w:val="nil"/>
            </w:tcBorders>
            <w:vAlign w:val="center"/>
          </w:tcPr>
          <w:p>
            <w:pPr>
              <w:jc w:val="center"/>
              <w:rPr>
                <w:rFonts w:eastAsia="黑体"/>
                <w:szCs w:val="21"/>
              </w:rPr>
            </w:pPr>
            <w:r>
              <w:rPr>
                <w:rFonts w:eastAsia="黑体"/>
                <w:szCs w:val="21"/>
              </w:rPr>
              <w:t>瀑河水库库区</w:t>
            </w:r>
          </w:p>
        </w:tc>
        <w:tc>
          <w:tcPr>
            <w:tcW w:w="1017" w:type="dxa"/>
            <w:tcBorders>
              <w:tl2br w:val="nil"/>
              <w:tr2bl w:val="nil"/>
            </w:tcBorders>
            <w:vAlign w:val="center"/>
          </w:tcPr>
          <w:p>
            <w:pPr>
              <w:jc w:val="center"/>
              <w:rPr>
                <w:sz w:val="24"/>
              </w:rPr>
            </w:pPr>
            <w:r>
              <w:rPr>
                <w:sz w:val="24"/>
              </w:rPr>
              <w:t>5.5</w:t>
            </w:r>
          </w:p>
        </w:tc>
        <w:tc>
          <w:tcPr>
            <w:tcW w:w="1083" w:type="dxa"/>
            <w:tcBorders>
              <w:tl2br w:val="nil"/>
              <w:tr2bl w:val="nil"/>
            </w:tcBorders>
            <w:vAlign w:val="center"/>
          </w:tcPr>
          <w:p>
            <w:pPr>
              <w:jc w:val="center"/>
              <w:rPr>
                <w:rFonts w:eastAsia="黑体"/>
                <w:szCs w:val="21"/>
              </w:rPr>
            </w:pPr>
            <w:r>
              <w:rPr>
                <w:rFonts w:eastAsia="黑体"/>
                <w:szCs w:val="21"/>
              </w:rPr>
              <w:t>Ⅲ</w:t>
            </w:r>
          </w:p>
        </w:tc>
        <w:tc>
          <w:tcPr>
            <w:tcW w:w="1133" w:type="dxa"/>
            <w:tcBorders>
              <w:tl2br w:val="nil"/>
              <w:tr2bl w:val="nil"/>
            </w:tcBorders>
            <w:vAlign w:val="center"/>
          </w:tcPr>
          <w:p>
            <w:pPr>
              <w:jc w:val="center"/>
              <w:rPr>
                <w:rFonts w:eastAsia="黑体"/>
                <w:szCs w:val="21"/>
              </w:rPr>
            </w:pPr>
            <w:r>
              <w:rPr>
                <w:rFonts w:eastAsia="黑体"/>
                <w:szCs w:val="21"/>
              </w:rPr>
              <w:t>饮用</w:t>
            </w:r>
          </w:p>
        </w:tc>
        <w:tc>
          <w:tcPr>
            <w:tcW w:w="1866" w:type="dxa"/>
            <w:tcBorders>
              <w:tl2br w:val="nil"/>
              <w:tr2bl w:val="nil"/>
            </w:tcBorders>
            <w:vAlign w:val="center"/>
          </w:tcPr>
          <w:p>
            <w:pPr>
              <w:jc w:val="center"/>
              <w:rPr>
                <w:rFonts w:eastAsia="黑体"/>
                <w:szCs w:val="21"/>
              </w:rPr>
            </w:pPr>
            <w:r>
              <w:rPr>
                <w:rFonts w:eastAsia="黑体"/>
                <w:szCs w:val="21"/>
              </w:rPr>
              <w:t>大清河山区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480" w:type="dxa"/>
            <w:tcBorders>
              <w:tl2br w:val="nil"/>
              <w:tr2bl w:val="nil"/>
            </w:tcBorders>
            <w:vAlign w:val="center"/>
          </w:tcPr>
          <w:p>
            <w:pPr>
              <w:jc w:val="center"/>
              <w:rPr>
                <w:rFonts w:eastAsia="黑体"/>
                <w:szCs w:val="21"/>
              </w:rPr>
            </w:pPr>
            <w:r>
              <w:rPr>
                <w:rFonts w:eastAsia="黑体"/>
                <w:szCs w:val="21"/>
              </w:rPr>
              <w:t>5</w:t>
            </w:r>
          </w:p>
        </w:tc>
        <w:tc>
          <w:tcPr>
            <w:tcW w:w="813" w:type="dxa"/>
            <w:tcBorders>
              <w:tl2br w:val="nil"/>
              <w:tr2bl w:val="nil"/>
            </w:tcBorders>
            <w:vAlign w:val="center"/>
          </w:tcPr>
          <w:p>
            <w:pPr>
              <w:jc w:val="center"/>
              <w:rPr>
                <w:rFonts w:eastAsia="黑体"/>
                <w:szCs w:val="21"/>
              </w:rPr>
            </w:pPr>
            <w:r>
              <w:rPr>
                <w:rFonts w:eastAsia="黑体"/>
                <w:szCs w:val="21"/>
              </w:rPr>
              <w:t>瀑河</w:t>
            </w:r>
          </w:p>
        </w:tc>
        <w:tc>
          <w:tcPr>
            <w:tcW w:w="857" w:type="dxa"/>
            <w:tcBorders>
              <w:tl2br w:val="nil"/>
              <w:tr2bl w:val="nil"/>
            </w:tcBorders>
            <w:vAlign w:val="center"/>
          </w:tcPr>
          <w:p>
            <w:pPr>
              <w:jc w:val="center"/>
              <w:rPr>
                <w:rFonts w:eastAsia="黑体"/>
                <w:szCs w:val="21"/>
              </w:rPr>
            </w:pPr>
            <w:r>
              <w:rPr>
                <w:rFonts w:eastAsia="黑体"/>
                <w:szCs w:val="21"/>
              </w:rPr>
              <w:t>徐水区</w:t>
            </w:r>
          </w:p>
        </w:tc>
        <w:tc>
          <w:tcPr>
            <w:tcW w:w="2285" w:type="dxa"/>
            <w:tcBorders>
              <w:tl2br w:val="nil"/>
              <w:tr2bl w:val="nil"/>
            </w:tcBorders>
            <w:vAlign w:val="center"/>
          </w:tcPr>
          <w:p>
            <w:pPr>
              <w:jc w:val="center"/>
              <w:rPr>
                <w:rFonts w:eastAsia="黑体"/>
                <w:szCs w:val="21"/>
              </w:rPr>
            </w:pPr>
            <w:r>
              <w:rPr>
                <w:rFonts w:eastAsia="黑体"/>
                <w:szCs w:val="21"/>
              </w:rPr>
              <w:t>瀑河保定农业用水区</w:t>
            </w:r>
          </w:p>
        </w:tc>
        <w:tc>
          <w:tcPr>
            <w:tcW w:w="1667" w:type="dxa"/>
            <w:tcBorders>
              <w:tl2br w:val="nil"/>
              <w:tr2bl w:val="nil"/>
            </w:tcBorders>
            <w:vAlign w:val="center"/>
          </w:tcPr>
          <w:p>
            <w:pPr>
              <w:jc w:val="center"/>
              <w:rPr>
                <w:rFonts w:eastAsia="黑体"/>
                <w:szCs w:val="21"/>
              </w:rPr>
            </w:pPr>
            <w:r>
              <w:rPr>
                <w:rFonts w:eastAsia="黑体"/>
                <w:szCs w:val="21"/>
              </w:rPr>
              <w:t>瀑河水库坝下</w:t>
            </w:r>
          </w:p>
        </w:tc>
        <w:tc>
          <w:tcPr>
            <w:tcW w:w="1950" w:type="dxa"/>
            <w:tcBorders>
              <w:tl2br w:val="nil"/>
              <w:tr2bl w:val="nil"/>
            </w:tcBorders>
            <w:vAlign w:val="center"/>
          </w:tcPr>
          <w:p>
            <w:pPr>
              <w:jc w:val="center"/>
              <w:rPr>
                <w:rFonts w:eastAsia="黑体"/>
                <w:szCs w:val="21"/>
              </w:rPr>
            </w:pPr>
            <w:r>
              <w:rPr>
                <w:rFonts w:eastAsia="黑体"/>
                <w:szCs w:val="21"/>
              </w:rPr>
              <w:t>贺寿营北桥</w:t>
            </w:r>
          </w:p>
        </w:tc>
        <w:tc>
          <w:tcPr>
            <w:tcW w:w="1017" w:type="dxa"/>
            <w:tcBorders>
              <w:tl2br w:val="nil"/>
              <w:tr2bl w:val="nil"/>
            </w:tcBorders>
            <w:vAlign w:val="center"/>
          </w:tcPr>
          <w:p>
            <w:pPr>
              <w:jc w:val="center"/>
              <w:rPr>
                <w:sz w:val="24"/>
              </w:rPr>
            </w:pPr>
            <w:r>
              <w:rPr>
                <w:sz w:val="24"/>
              </w:rPr>
              <w:t>33.7</w:t>
            </w:r>
          </w:p>
        </w:tc>
        <w:tc>
          <w:tcPr>
            <w:tcW w:w="1083" w:type="dxa"/>
            <w:tcBorders>
              <w:tl2br w:val="nil"/>
              <w:tr2bl w:val="nil"/>
            </w:tcBorders>
            <w:vAlign w:val="center"/>
          </w:tcPr>
          <w:p>
            <w:pPr>
              <w:jc w:val="center"/>
              <w:rPr>
                <w:rFonts w:eastAsia="黑体"/>
                <w:szCs w:val="21"/>
              </w:rPr>
            </w:pPr>
            <w:r>
              <w:rPr>
                <w:rFonts w:eastAsia="黑体"/>
                <w:szCs w:val="21"/>
              </w:rPr>
              <w:t>Ⅳ</w:t>
            </w:r>
          </w:p>
        </w:tc>
        <w:tc>
          <w:tcPr>
            <w:tcW w:w="1133" w:type="dxa"/>
            <w:tcBorders>
              <w:tl2br w:val="nil"/>
              <w:tr2bl w:val="nil"/>
            </w:tcBorders>
            <w:vAlign w:val="center"/>
          </w:tcPr>
          <w:p>
            <w:pPr>
              <w:jc w:val="center"/>
              <w:rPr>
                <w:rFonts w:eastAsia="黑体"/>
                <w:szCs w:val="21"/>
              </w:rPr>
            </w:pPr>
            <w:r>
              <w:rPr>
                <w:rFonts w:eastAsia="黑体"/>
                <w:szCs w:val="21"/>
              </w:rPr>
              <w:t>农业</w:t>
            </w:r>
          </w:p>
        </w:tc>
        <w:tc>
          <w:tcPr>
            <w:tcW w:w="1866" w:type="dxa"/>
            <w:tcBorders>
              <w:tl2br w:val="nil"/>
              <w:tr2bl w:val="nil"/>
            </w:tcBorders>
            <w:vAlign w:val="center"/>
          </w:tcPr>
          <w:p>
            <w:pPr>
              <w:jc w:val="center"/>
              <w:rPr>
                <w:rFonts w:eastAsia="黑体"/>
                <w:szCs w:val="21"/>
              </w:rPr>
            </w:pPr>
            <w:r>
              <w:rPr>
                <w:rFonts w:eastAsia="黑体"/>
                <w:szCs w:val="21"/>
              </w:rPr>
              <w:t>大清河淀西平原</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tcBorders>
              <w:tl2br w:val="nil"/>
              <w:tr2bl w:val="nil"/>
            </w:tcBorders>
            <w:vAlign w:val="center"/>
          </w:tcPr>
          <w:p>
            <w:pPr>
              <w:jc w:val="center"/>
              <w:rPr>
                <w:rFonts w:eastAsia="黑体"/>
                <w:szCs w:val="21"/>
              </w:rPr>
            </w:pPr>
            <w:r>
              <w:rPr>
                <w:rFonts w:eastAsia="黑体"/>
                <w:szCs w:val="21"/>
              </w:rPr>
              <w:t>6</w:t>
            </w:r>
          </w:p>
        </w:tc>
        <w:tc>
          <w:tcPr>
            <w:tcW w:w="813" w:type="dxa"/>
            <w:tcBorders>
              <w:tl2br w:val="nil"/>
              <w:tr2bl w:val="nil"/>
            </w:tcBorders>
            <w:vAlign w:val="center"/>
          </w:tcPr>
          <w:p>
            <w:pPr>
              <w:jc w:val="center"/>
              <w:rPr>
                <w:rFonts w:eastAsia="黑体"/>
                <w:szCs w:val="21"/>
              </w:rPr>
            </w:pPr>
            <w:r>
              <w:rPr>
                <w:rFonts w:eastAsia="黑体"/>
                <w:szCs w:val="21"/>
              </w:rPr>
              <w:t>瀑河</w:t>
            </w:r>
          </w:p>
        </w:tc>
        <w:tc>
          <w:tcPr>
            <w:tcW w:w="857" w:type="dxa"/>
            <w:tcBorders>
              <w:tl2br w:val="nil"/>
              <w:tr2bl w:val="nil"/>
            </w:tcBorders>
            <w:vAlign w:val="center"/>
          </w:tcPr>
          <w:p>
            <w:pPr>
              <w:jc w:val="center"/>
              <w:rPr>
                <w:rFonts w:eastAsia="黑体"/>
                <w:szCs w:val="21"/>
              </w:rPr>
            </w:pPr>
            <w:r>
              <w:rPr>
                <w:rFonts w:eastAsia="黑体"/>
                <w:szCs w:val="21"/>
              </w:rPr>
              <w:t>徐水区</w:t>
            </w:r>
          </w:p>
        </w:tc>
        <w:tc>
          <w:tcPr>
            <w:tcW w:w="2285" w:type="dxa"/>
            <w:tcBorders>
              <w:tl2br w:val="nil"/>
              <w:tr2bl w:val="nil"/>
            </w:tcBorders>
            <w:vAlign w:val="center"/>
          </w:tcPr>
          <w:p>
            <w:pPr>
              <w:jc w:val="center"/>
              <w:rPr>
                <w:rFonts w:eastAsia="黑体"/>
                <w:szCs w:val="21"/>
              </w:rPr>
            </w:pPr>
            <w:r>
              <w:rPr>
                <w:rFonts w:eastAsia="黑体"/>
                <w:szCs w:val="21"/>
              </w:rPr>
              <w:t>瀑河保定过渡区</w:t>
            </w:r>
          </w:p>
        </w:tc>
        <w:tc>
          <w:tcPr>
            <w:tcW w:w="1667" w:type="dxa"/>
            <w:tcBorders>
              <w:tl2br w:val="nil"/>
              <w:tr2bl w:val="nil"/>
            </w:tcBorders>
            <w:vAlign w:val="center"/>
          </w:tcPr>
          <w:p>
            <w:pPr>
              <w:jc w:val="center"/>
              <w:rPr>
                <w:rFonts w:eastAsia="黑体"/>
                <w:szCs w:val="21"/>
              </w:rPr>
            </w:pPr>
            <w:r>
              <w:rPr>
                <w:rFonts w:eastAsia="黑体"/>
                <w:szCs w:val="21"/>
              </w:rPr>
              <w:t>贺寿营北桥</w:t>
            </w:r>
          </w:p>
        </w:tc>
        <w:tc>
          <w:tcPr>
            <w:tcW w:w="1950" w:type="dxa"/>
            <w:tcBorders>
              <w:tl2br w:val="nil"/>
              <w:tr2bl w:val="nil"/>
            </w:tcBorders>
            <w:vAlign w:val="center"/>
          </w:tcPr>
          <w:p>
            <w:pPr>
              <w:jc w:val="center"/>
              <w:rPr>
                <w:rFonts w:eastAsia="黑体"/>
                <w:szCs w:val="21"/>
              </w:rPr>
            </w:pPr>
            <w:r>
              <w:rPr>
                <w:rFonts w:eastAsia="黑体"/>
                <w:szCs w:val="21"/>
              </w:rPr>
              <w:t>入淀口</w:t>
            </w:r>
          </w:p>
        </w:tc>
        <w:tc>
          <w:tcPr>
            <w:tcW w:w="1017" w:type="dxa"/>
            <w:tcBorders>
              <w:tl2br w:val="nil"/>
              <w:tr2bl w:val="nil"/>
            </w:tcBorders>
            <w:vAlign w:val="center"/>
          </w:tcPr>
          <w:p>
            <w:pPr>
              <w:jc w:val="center"/>
              <w:rPr>
                <w:sz w:val="24"/>
              </w:rPr>
            </w:pPr>
            <w:r>
              <w:rPr>
                <w:sz w:val="24"/>
              </w:rPr>
              <w:t>8.8</w:t>
            </w:r>
          </w:p>
        </w:tc>
        <w:tc>
          <w:tcPr>
            <w:tcW w:w="1083" w:type="dxa"/>
            <w:tcBorders>
              <w:tl2br w:val="nil"/>
              <w:tr2bl w:val="nil"/>
            </w:tcBorders>
            <w:vAlign w:val="center"/>
          </w:tcPr>
          <w:p>
            <w:pPr>
              <w:jc w:val="center"/>
              <w:rPr>
                <w:rFonts w:eastAsia="黑体"/>
                <w:szCs w:val="21"/>
              </w:rPr>
            </w:pPr>
            <w:r>
              <w:rPr>
                <w:rFonts w:eastAsia="黑体"/>
                <w:szCs w:val="21"/>
              </w:rPr>
              <w:t>Ⅲ</w:t>
            </w:r>
          </w:p>
        </w:tc>
        <w:tc>
          <w:tcPr>
            <w:tcW w:w="1133" w:type="dxa"/>
            <w:tcBorders>
              <w:tl2br w:val="nil"/>
              <w:tr2bl w:val="nil"/>
            </w:tcBorders>
            <w:vAlign w:val="center"/>
          </w:tcPr>
          <w:p>
            <w:pPr>
              <w:jc w:val="center"/>
              <w:rPr>
                <w:rFonts w:eastAsia="黑体"/>
                <w:szCs w:val="21"/>
              </w:rPr>
            </w:pPr>
            <w:r>
              <w:rPr>
                <w:rFonts w:eastAsia="黑体"/>
                <w:szCs w:val="21"/>
              </w:rPr>
              <w:t>过渡</w:t>
            </w:r>
          </w:p>
        </w:tc>
        <w:tc>
          <w:tcPr>
            <w:tcW w:w="1866" w:type="dxa"/>
            <w:tcBorders>
              <w:tl2br w:val="nil"/>
              <w:tr2bl w:val="nil"/>
            </w:tcBorders>
            <w:vAlign w:val="center"/>
          </w:tcPr>
          <w:p>
            <w:pPr>
              <w:jc w:val="center"/>
              <w:rPr>
                <w:rFonts w:eastAsia="黑体"/>
                <w:szCs w:val="21"/>
              </w:rPr>
            </w:pPr>
            <w:r>
              <w:rPr>
                <w:rFonts w:eastAsia="黑体"/>
                <w:szCs w:val="21"/>
              </w:rPr>
              <w:t>大清河淀西平原</w:t>
            </w:r>
          </w:p>
        </w:tc>
      </w:tr>
    </w:tbl>
    <w:p>
      <w:pPr>
        <w:spacing w:line="360" w:lineRule="auto"/>
        <w:jc w:val="center"/>
        <w:rPr>
          <w:rFonts w:eastAsia="黑体"/>
          <w:b/>
          <w:bCs/>
          <w:szCs w:val="21"/>
        </w:rPr>
      </w:pPr>
      <w:r>
        <w:rPr>
          <w:rFonts w:eastAsia="黑体"/>
          <w:b/>
          <w:bCs/>
          <w:szCs w:val="21"/>
        </w:rPr>
        <w:t>表 1.5-3  徐水区饮用水源保护区一览表</w:t>
      </w:r>
    </w:p>
    <w:tbl>
      <w:tblPr>
        <w:tblStyle w:val="24"/>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Layout w:type="fixed"/>
        <w:tblCellMar>
          <w:top w:w="0" w:type="dxa"/>
          <w:left w:w="108" w:type="dxa"/>
          <w:bottom w:w="0" w:type="dxa"/>
          <w:right w:w="108" w:type="dxa"/>
        </w:tblCellMar>
      </w:tblPr>
      <w:tblGrid>
        <w:gridCol w:w="733"/>
        <w:gridCol w:w="1687"/>
        <w:gridCol w:w="1525"/>
        <w:gridCol w:w="2193"/>
        <w:gridCol w:w="1462"/>
        <w:gridCol w:w="5572"/>
      </w:tblGrid>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312" w:hRule="atLeast"/>
          <w:jc w:val="center"/>
        </w:trPr>
        <w:tc>
          <w:tcPr>
            <w:tcW w:w="733"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序号</w:t>
            </w:r>
          </w:p>
        </w:tc>
        <w:tc>
          <w:tcPr>
            <w:tcW w:w="1687"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名称</w:t>
            </w:r>
          </w:p>
        </w:tc>
        <w:tc>
          <w:tcPr>
            <w:tcW w:w="1525"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保护区级别</w:t>
            </w:r>
          </w:p>
        </w:tc>
        <w:tc>
          <w:tcPr>
            <w:tcW w:w="2193"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保护区半径（m）</w:t>
            </w:r>
          </w:p>
        </w:tc>
        <w:tc>
          <w:tcPr>
            <w:tcW w:w="1462"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面积（km</w:t>
            </w:r>
            <w:r>
              <w:rPr>
                <w:rFonts w:ascii="Times New Roman" w:hAnsi="Times New Roman" w:eastAsia="黑体"/>
                <w:sz w:val="21"/>
                <w:szCs w:val="18"/>
                <w:vertAlign w:val="superscript"/>
                <w:lang w:val="en-US"/>
              </w:rPr>
              <w:t>2</w:t>
            </w:r>
            <w:r>
              <w:rPr>
                <w:rFonts w:ascii="Times New Roman" w:hAnsi="Times New Roman" w:eastAsia="黑体"/>
                <w:sz w:val="21"/>
                <w:szCs w:val="18"/>
                <w:lang w:val="en-US"/>
              </w:rPr>
              <w:t>）</w:t>
            </w:r>
          </w:p>
        </w:tc>
        <w:tc>
          <w:tcPr>
            <w:tcW w:w="5572"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划定资料来源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624" w:hRule="atLeast"/>
          <w:jc w:val="center"/>
        </w:trPr>
        <w:tc>
          <w:tcPr>
            <w:tcW w:w="733"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8"/>
                <w:szCs w:val="22"/>
                <w:lang w:val="en-US"/>
              </w:rPr>
            </w:pPr>
          </w:p>
        </w:tc>
        <w:tc>
          <w:tcPr>
            <w:tcW w:w="1687"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8"/>
                <w:szCs w:val="22"/>
                <w:lang w:val="en-US"/>
              </w:rPr>
            </w:pPr>
          </w:p>
        </w:tc>
        <w:tc>
          <w:tcPr>
            <w:tcW w:w="1525"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146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557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170" w:hRule="atLeast"/>
          <w:jc w:val="center"/>
        </w:trPr>
        <w:tc>
          <w:tcPr>
            <w:tcW w:w="73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1</w:t>
            </w:r>
          </w:p>
        </w:tc>
        <w:tc>
          <w:tcPr>
            <w:tcW w:w="1687"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工商银行水井</w:t>
            </w:r>
          </w:p>
        </w:tc>
        <w:tc>
          <w:tcPr>
            <w:tcW w:w="1525"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一级</w:t>
            </w:r>
          </w:p>
        </w:tc>
        <w:tc>
          <w:tcPr>
            <w:tcW w:w="2193"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30</w:t>
            </w:r>
          </w:p>
        </w:tc>
        <w:tc>
          <w:tcPr>
            <w:tcW w:w="1462"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0.005710</w:t>
            </w:r>
          </w:p>
        </w:tc>
        <w:tc>
          <w:tcPr>
            <w:tcW w:w="5572"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批复文件，《河北省人民政府关于保定市望都县城等13个县级集中式饮用水水源保护地划分的批复》（冀政字【2019】35号，2019.07.12）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2</w:t>
            </w:r>
          </w:p>
        </w:tc>
        <w:tc>
          <w:tcPr>
            <w:tcW w:w="1687"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移动公司水井</w:t>
            </w:r>
          </w:p>
        </w:tc>
        <w:tc>
          <w:tcPr>
            <w:tcW w:w="1525"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1462"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0.002370</w:t>
            </w:r>
          </w:p>
        </w:tc>
        <w:tc>
          <w:tcPr>
            <w:tcW w:w="557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3</w:t>
            </w:r>
          </w:p>
        </w:tc>
        <w:tc>
          <w:tcPr>
            <w:tcW w:w="1687"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联华超市水井</w:t>
            </w:r>
          </w:p>
        </w:tc>
        <w:tc>
          <w:tcPr>
            <w:tcW w:w="1525"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1462"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0.004180</w:t>
            </w:r>
          </w:p>
        </w:tc>
        <w:tc>
          <w:tcPr>
            <w:tcW w:w="557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4</w:t>
            </w:r>
          </w:p>
        </w:tc>
        <w:tc>
          <w:tcPr>
            <w:tcW w:w="1687"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一中操场水井</w:t>
            </w:r>
          </w:p>
        </w:tc>
        <w:tc>
          <w:tcPr>
            <w:tcW w:w="1525"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1462"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0.004870</w:t>
            </w:r>
          </w:p>
        </w:tc>
        <w:tc>
          <w:tcPr>
            <w:tcW w:w="557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5</w:t>
            </w:r>
          </w:p>
        </w:tc>
        <w:tc>
          <w:tcPr>
            <w:tcW w:w="1687"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工商银行水井</w:t>
            </w:r>
          </w:p>
        </w:tc>
        <w:tc>
          <w:tcPr>
            <w:tcW w:w="1525"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二级</w:t>
            </w:r>
          </w:p>
        </w:tc>
        <w:tc>
          <w:tcPr>
            <w:tcW w:w="2193"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300</w:t>
            </w:r>
          </w:p>
        </w:tc>
        <w:tc>
          <w:tcPr>
            <w:tcW w:w="1462"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0.612000</w:t>
            </w:r>
          </w:p>
        </w:tc>
        <w:tc>
          <w:tcPr>
            <w:tcW w:w="557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170" w:hRule="atLeast"/>
          <w:jc w:val="center"/>
        </w:trPr>
        <w:tc>
          <w:tcPr>
            <w:tcW w:w="73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6</w:t>
            </w:r>
          </w:p>
        </w:tc>
        <w:tc>
          <w:tcPr>
            <w:tcW w:w="1687"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移动公司水井</w:t>
            </w:r>
          </w:p>
        </w:tc>
        <w:tc>
          <w:tcPr>
            <w:tcW w:w="1525"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146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557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7</w:t>
            </w:r>
          </w:p>
        </w:tc>
        <w:tc>
          <w:tcPr>
            <w:tcW w:w="1687"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联华超市水井</w:t>
            </w:r>
          </w:p>
        </w:tc>
        <w:tc>
          <w:tcPr>
            <w:tcW w:w="1525"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146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557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8</w:t>
            </w:r>
          </w:p>
        </w:tc>
        <w:tc>
          <w:tcPr>
            <w:tcW w:w="1687"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一中操场水井</w:t>
            </w:r>
          </w:p>
        </w:tc>
        <w:tc>
          <w:tcPr>
            <w:tcW w:w="1525"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准保护区</w:t>
            </w:r>
          </w:p>
        </w:tc>
        <w:tc>
          <w:tcPr>
            <w:tcW w:w="219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108</w:t>
            </w:r>
          </w:p>
        </w:tc>
        <w:tc>
          <w:tcPr>
            <w:tcW w:w="1462"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0.039300</w:t>
            </w:r>
          </w:p>
        </w:tc>
        <w:tc>
          <w:tcPr>
            <w:tcW w:w="557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9</w:t>
            </w:r>
          </w:p>
        </w:tc>
        <w:tc>
          <w:tcPr>
            <w:tcW w:w="1687"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南水北调工程</w:t>
            </w:r>
          </w:p>
        </w:tc>
        <w:tc>
          <w:tcPr>
            <w:tcW w:w="1525"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一级</w:t>
            </w:r>
          </w:p>
        </w:tc>
        <w:tc>
          <w:tcPr>
            <w:tcW w:w="219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50</w:t>
            </w:r>
          </w:p>
        </w:tc>
        <w:tc>
          <w:tcPr>
            <w:tcW w:w="1462"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3.38</w:t>
            </w:r>
          </w:p>
        </w:tc>
        <w:tc>
          <w:tcPr>
            <w:tcW w:w="5572" w:type="dxa"/>
            <w:vMerge w:val="restart"/>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南水北调中线一期工程总干渠河北段饮用水水源保护区划定和完善方案（定州市和保定市段）（2017.08）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170" w:hRule="atLeast"/>
          <w:jc w:val="center"/>
        </w:trPr>
        <w:tc>
          <w:tcPr>
            <w:tcW w:w="733"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1687"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c>
          <w:tcPr>
            <w:tcW w:w="1525"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二级</w:t>
            </w:r>
          </w:p>
        </w:tc>
        <w:tc>
          <w:tcPr>
            <w:tcW w:w="2193"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150</w:t>
            </w:r>
          </w:p>
        </w:tc>
        <w:tc>
          <w:tcPr>
            <w:tcW w:w="1462" w:type="dxa"/>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1.57</w:t>
            </w:r>
          </w:p>
        </w:tc>
        <w:tc>
          <w:tcPr>
            <w:tcW w:w="5572" w:type="dxa"/>
            <w:vMerge w:val="continue"/>
            <w:tcBorders>
              <w:tl2br w:val="nil"/>
              <w:tr2bl w:val="nil"/>
            </w:tcBorders>
            <w:shd w:val="clear" w:color="auto" w:fill="FFFFFF"/>
            <w:vAlign w:val="center"/>
          </w:tcPr>
          <w:p>
            <w:pPr>
              <w:pStyle w:val="2"/>
              <w:spacing w:line="240" w:lineRule="auto"/>
              <w:ind w:firstLine="0"/>
              <w:jc w:val="center"/>
              <w:rPr>
                <w:rFonts w:ascii="Times New Roman" w:hAnsi="Times New Roman" w:eastAsia="黑体"/>
                <w:sz w:val="21"/>
                <w:szCs w:val="18"/>
                <w:lang w:val="en-US"/>
              </w:rPr>
            </w:pPr>
          </w:p>
        </w:tc>
      </w:tr>
    </w:tbl>
    <w:p>
      <w:pPr>
        <w:spacing w:line="360" w:lineRule="auto"/>
        <w:rPr>
          <w:sz w:val="28"/>
          <w:szCs w:val="28"/>
        </w:rPr>
        <w:sectPr>
          <w:pgSz w:w="16838" w:h="11906" w:orient="landscape"/>
          <w:pgMar w:top="1701" w:right="1417" w:bottom="1417" w:left="1701" w:header="851" w:footer="850" w:gutter="0"/>
          <w:cols w:space="720" w:num="1"/>
          <w:docGrid w:type="lines" w:linePitch="312" w:charSpace="0"/>
        </w:sectPr>
      </w:pPr>
    </w:p>
    <w:p>
      <w:pPr>
        <w:pStyle w:val="5"/>
        <w:spacing w:before="312" w:after="312"/>
        <w:rPr>
          <w:rFonts w:ascii="Times New Roman" w:hAnsi="Times New Roman" w:cs="Times New Roman"/>
          <w:lang w:val="en-US"/>
        </w:rPr>
      </w:pPr>
      <w:bookmarkStart w:id="90" w:name="_Toc15550"/>
      <w:bookmarkStart w:id="91" w:name="_Toc29600"/>
      <w:bookmarkStart w:id="92" w:name="_Toc13035"/>
      <w:bookmarkStart w:id="93" w:name="_Toc31894"/>
      <w:bookmarkStart w:id="94" w:name="_Toc20697"/>
      <w:bookmarkStart w:id="95" w:name="_Toc22577"/>
      <w:bookmarkStart w:id="96" w:name="_Toc17684"/>
      <w:bookmarkStart w:id="97" w:name="_Toc20181"/>
      <w:bookmarkStart w:id="98" w:name="_Toc11913"/>
      <w:r>
        <w:rPr>
          <w:rFonts w:ascii="Times New Roman" w:hAnsi="Times New Roman" w:cs="Times New Roman"/>
          <w:lang w:val="en-US"/>
        </w:rPr>
        <w:t>1.6规划编制原则</w:t>
      </w:r>
      <w:bookmarkEnd w:id="90"/>
      <w:bookmarkEnd w:id="91"/>
      <w:bookmarkEnd w:id="92"/>
      <w:bookmarkEnd w:id="93"/>
      <w:bookmarkEnd w:id="94"/>
      <w:bookmarkEnd w:id="95"/>
      <w:bookmarkEnd w:id="96"/>
      <w:bookmarkEnd w:id="97"/>
      <w:bookmarkEnd w:id="98"/>
    </w:p>
    <w:p>
      <w:pPr>
        <w:pStyle w:val="2"/>
        <w:ind w:firstLine="560" w:firstLineChars="200"/>
        <w:rPr>
          <w:rFonts w:ascii="Times New Roman" w:hAnsi="Times New Roman"/>
          <w:lang w:val="en-US"/>
        </w:rPr>
      </w:pPr>
      <w:r>
        <w:rPr>
          <w:rFonts w:ascii="Times New Roman" w:hAnsi="Times New Roman"/>
          <w:sz w:val="28"/>
          <w:szCs w:val="28"/>
          <w:lang w:val="en-US"/>
        </w:rPr>
        <w:t>生态优先，绿色发展。落实绿色发展理念，实现绿色转型。将生态文明理念贯穿于经济发展中，把绿色发展作为城市持续健康发展的基本遵循，以美丽保定建设为重点，持续探索新模式新机制，大力推进生态环境综合治理，以生态保护红线、生态功能区、流域控制单元管理落实生态环境安全格局，加强资源开发强度控制和水资源保障。继续实施山水林田湖草生命共同体保护和修复，把绿色价值观、生态美德观和环境正义观融入城市精神文明建设中，走出一条生态保护与经济发展双赢的新道路。</w:t>
      </w:r>
    </w:p>
    <w:p>
      <w:pPr>
        <w:pStyle w:val="2"/>
        <w:ind w:firstLine="560" w:firstLineChars="200"/>
        <w:rPr>
          <w:rFonts w:ascii="Times New Roman" w:hAnsi="Times New Roman"/>
          <w:lang w:val="en-US"/>
        </w:rPr>
      </w:pPr>
      <w:r>
        <w:rPr>
          <w:rFonts w:ascii="Times New Roman" w:hAnsi="Times New Roman"/>
          <w:sz w:val="28"/>
          <w:szCs w:val="28"/>
          <w:lang w:val="en-US"/>
        </w:rPr>
        <w:t>统筹兼顾，突出重点。统筹环境保护与产业发展、污染预防与治理的关系，在全面推进畜禽养殖污染防治工作的同时，加大重点区域和重点养殖单元的整治力度，有针对性地实施一批重点工程。突出问题导向和目标导向，集中力量解决大气、水、土壤污染等突出问题，深入实施“蓝天行动”“碧水行动”“净土行动”，重点突破白洋淀上游流域治理，紧跟雄安新区建设步伐，统筹运用结构优化、污染治理、生态保护等多种方法，采取经济、市场、行政、法律等多种手段，提升环境治理的科学化水平。</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联建联治，协同共治。充分发挥畜禽养殖污染防治有关部门的信息、资源优势，建立多部门协调联动机制，共同推进畜禽养殖污染防治工作。打破行政区域限制和“自扫门前雪”思维定势，紧抓京津保生态协同建设良机，在北京非首都功能承接和疏解进程中，协同治理，共同建设；在打造京津冀、雄安新区协调联动，管控有序的生态环境支撑区建设中，分工合作，联控联防；在京津冀生态建设一体化演进中，协同创新，共同建设；在打造京津冀、雄安新区协调联动，管控有序的生态环境支撑区建设中，分工合作，联控联防；在京津冀生态建设一体化演进中，协同创新绿色发展，加快实现美丽保定之梦。</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机制联动，多元善治。建立政府、企业、社会多元化投入机制，加大畜禽养殖污染防治投入力度。由政府牵头，集企业和社会力量于一体，共同治理畜禽粪污，并建立健全产业链、产业结构，打造绿色徐水，推进徐水区有机农业和现代农业发展。</w:t>
      </w:r>
    </w:p>
    <w:p>
      <w:pPr>
        <w:pStyle w:val="5"/>
        <w:spacing w:before="312" w:after="312"/>
        <w:rPr>
          <w:rFonts w:ascii="Times New Roman" w:hAnsi="Times New Roman" w:cs="Times New Roman"/>
          <w:lang w:val="en-US"/>
        </w:rPr>
      </w:pPr>
      <w:bookmarkStart w:id="99" w:name="_Toc23218"/>
      <w:bookmarkStart w:id="100" w:name="_Toc25183"/>
      <w:bookmarkStart w:id="101" w:name="_Toc21821"/>
      <w:bookmarkStart w:id="102" w:name="_Toc15923"/>
      <w:bookmarkStart w:id="103" w:name="_Toc6429"/>
      <w:bookmarkStart w:id="104" w:name="_Toc15540"/>
      <w:bookmarkStart w:id="105" w:name="_Toc30937"/>
      <w:bookmarkStart w:id="106" w:name="_Toc32397"/>
      <w:bookmarkStart w:id="107" w:name="_Toc21419"/>
      <w:r>
        <w:rPr>
          <w:rFonts w:ascii="Times New Roman" w:hAnsi="Times New Roman" w:cs="Times New Roman"/>
          <w:lang w:val="en-US"/>
        </w:rPr>
        <w:t>1.7规划编制目的和意义</w:t>
      </w:r>
      <w:bookmarkEnd w:id="99"/>
      <w:bookmarkEnd w:id="100"/>
      <w:bookmarkEnd w:id="101"/>
      <w:bookmarkEnd w:id="102"/>
      <w:bookmarkEnd w:id="103"/>
      <w:bookmarkEnd w:id="104"/>
      <w:bookmarkEnd w:id="105"/>
      <w:bookmarkEnd w:id="106"/>
      <w:bookmarkEnd w:id="107"/>
    </w:p>
    <w:p>
      <w:pPr>
        <w:pStyle w:val="6"/>
        <w:numPr>
          <w:ilvl w:val="2"/>
          <w:numId w:val="0"/>
        </w:numPr>
        <w:spacing w:before="156" w:after="156"/>
      </w:pPr>
      <w:bookmarkStart w:id="108" w:name="_Toc21579"/>
      <w:bookmarkStart w:id="109" w:name="_Toc4597"/>
      <w:bookmarkStart w:id="110" w:name="_Toc13145"/>
      <w:bookmarkStart w:id="111" w:name="_Toc31893"/>
      <w:bookmarkStart w:id="112" w:name="_Toc19518"/>
      <w:bookmarkStart w:id="113" w:name="_Toc328"/>
      <w:r>
        <w:t>1.7.1编制目的</w:t>
      </w:r>
      <w:bookmarkEnd w:id="108"/>
      <w:bookmarkEnd w:id="109"/>
      <w:bookmarkEnd w:id="110"/>
      <w:bookmarkEnd w:id="111"/>
      <w:bookmarkEnd w:id="112"/>
      <w:bookmarkEnd w:id="113"/>
    </w:p>
    <w:p>
      <w:pPr>
        <w:pStyle w:val="2"/>
        <w:ind w:firstLine="560" w:firstLineChars="200"/>
        <w:rPr>
          <w:rFonts w:ascii="Times New Roman" w:hAnsi="Times New Roman"/>
          <w:sz w:val="28"/>
          <w:szCs w:val="28"/>
          <w:lang w:val="en-US"/>
        </w:rPr>
      </w:pPr>
      <w:r>
        <w:rPr>
          <w:rFonts w:ascii="Times New Roman" w:hAnsi="Times New Roman"/>
          <w:sz w:val="28"/>
          <w:szCs w:val="28"/>
          <w:lang w:val="en-US"/>
        </w:rPr>
        <w:t>在对全区畜禽养殖业发展现状、污染物产生情况及处理情况进行全面调查的基础上，根据《关于加快推进畜禽养殖废弃物资源化利用的意见》、《粪便无害化卫生要求》、《畜禽粪便无害化处理技术规范》、《畜禽粪便还田技术规范》、《畜禽养殖污染防治管理办法》、《畜禽养殖业污染物排放标准》、《地表水环境质量标准》、《畜禽规模养殖污染防治条例》等相关法律法规文件，划定禁养区、非禁养区，按区域环境容量合理调整和优化畜禽养殖业结构、布局和规模，按建设项目环境管理有关规定和区划划定定点要求规范畜禽养殖场建设，加强对畜禽养殖污染防治的环境管理，构建科学规范、权责清晰、约束有力的畜禽养殖废弃物资源化利用体系，提升畜禽养殖污染治理标准化、生态化水平。</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加强对畜禽养殖污染防治的环境管理，提升对畜禽养殖污染的资源化、无害化利用水平，有利于发展徐水区种养结合，有利于完善徐水区畜禽养殖的相关产业链。由于徐水区位处平原区，紧邻京津冀协同发展区，紧邻雄安新区，人均消费水平较高，因此对于绿色农产品、有机农产品、高质量农产品需求量大，具有较大的市场潜力，也具有发展现代农业、有机农业的巨大潜力。</w:t>
      </w:r>
    </w:p>
    <w:p>
      <w:pPr>
        <w:pStyle w:val="6"/>
        <w:numPr>
          <w:ilvl w:val="2"/>
          <w:numId w:val="0"/>
        </w:numPr>
        <w:spacing w:before="156" w:after="156"/>
      </w:pPr>
      <w:bookmarkStart w:id="114" w:name="_Toc18439"/>
      <w:bookmarkStart w:id="115" w:name="_Toc27946"/>
      <w:bookmarkStart w:id="116" w:name="_Toc25615"/>
      <w:bookmarkStart w:id="117" w:name="_Toc27430"/>
      <w:bookmarkStart w:id="118" w:name="_Toc8298"/>
      <w:bookmarkStart w:id="119" w:name="_Toc14349"/>
      <w:r>
        <w:t>1.7.2编制意义</w:t>
      </w:r>
      <w:bookmarkEnd w:id="114"/>
      <w:bookmarkEnd w:id="115"/>
      <w:bookmarkEnd w:id="116"/>
      <w:bookmarkEnd w:id="117"/>
      <w:bookmarkEnd w:id="118"/>
      <w:bookmarkEnd w:id="119"/>
    </w:p>
    <w:p>
      <w:pPr>
        <w:pStyle w:val="2"/>
        <w:ind w:firstLine="560" w:firstLineChars="200"/>
        <w:rPr>
          <w:rFonts w:ascii="Times New Roman" w:hAnsi="Times New Roman"/>
          <w:sz w:val="28"/>
          <w:szCs w:val="28"/>
          <w:lang w:val="en-US"/>
        </w:rPr>
      </w:pPr>
      <w:r>
        <w:rPr>
          <w:rFonts w:ascii="Times New Roman" w:hAnsi="Times New Roman"/>
          <w:sz w:val="28"/>
          <w:szCs w:val="28"/>
          <w:lang w:val="en-US"/>
        </w:rPr>
        <w:t>编制《保定市徐水区畜禽养殖污染防治</w:t>
      </w:r>
      <w:r>
        <w:rPr>
          <w:rFonts w:hint="eastAsia" w:ascii="Times New Roman" w:hAnsi="Times New Roman"/>
          <w:sz w:val="28"/>
          <w:szCs w:val="28"/>
          <w:lang w:val="en-US"/>
        </w:rPr>
        <w:t>“十四五”</w:t>
      </w:r>
      <w:r>
        <w:rPr>
          <w:rFonts w:ascii="Times New Roman" w:hAnsi="Times New Roman"/>
          <w:sz w:val="28"/>
          <w:szCs w:val="28"/>
          <w:lang w:val="en-US"/>
        </w:rPr>
        <w:t>规划》，</w:t>
      </w:r>
      <w:bookmarkStart w:id="120" w:name="OLE_LINK60"/>
      <w:r>
        <w:rPr>
          <w:rFonts w:ascii="Times New Roman" w:hAnsi="Times New Roman"/>
          <w:sz w:val="28"/>
          <w:szCs w:val="28"/>
          <w:lang w:val="en-US"/>
        </w:rPr>
        <w:t>有利于加强对全</w:t>
      </w:r>
      <w:r>
        <w:rPr>
          <w:rFonts w:hint="eastAsia" w:ascii="Times New Roman" w:hAnsi="Times New Roman"/>
          <w:sz w:val="28"/>
          <w:szCs w:val="28"/>
          <w:lang w:val="en-US"/>
        </w:rPr>
        <w:t>区</w:t>
      </w:r>
      <w:r>
        <w:rPr>
          <w:rFonts w:ascii="Times New Roman" w:hAnsi="Times New Roman"/>
          <w:sz w:val="28"/>
          <w:szCs w:val="28"/>
          <w:lang w:val="en-US"/>
        </w:rPr>
        <w:t>畜禽养殖业的环境监管和工作指导，建立畜禽养殖业环境管理体系，对违反国家法律和有关规定的行为进行查处；有利于在制定国民经济和社会发展规划及畜禽养殖业发展规划时，将畜禽养殖业污染防治作为一项重要内容，对规模化养殖场污染物治理达标排放和总量控制；有利于探索符合实际的畜禽养殖污染综合防治措施，结合生态农业建设及无公害农产品、绿色食品和有机食品的发展，实行综合利用优先，资源化、无害化和减量化的原则，推行清洁生产，不断提高畜禽养殖管理和污染防治水平；有利于当地生态环境改善，保障人民群众身体健康，促进徐水区的社会经济持续健康发展，有利于白洋淀上游流域环境治理。有利于结合京津冀和雄安新区的市场需求，构建种养结合循环发展机制，实现农业和畜禽养殖业的融合发展。</w:t>
      </w:r>
    </w:p>
    <w:bookmarkEnd w:id="120"/>
    <w:p>
      <w:pPr>
        <w:pStyle w:val="5"/>
        <w:spacing w:before="312" w:after="312"/>
        <w:rPr>
          <w:rFonts w:ascii="Times New Roman" w:hAnsi="Times New Roman" w:cs="Times New Roman"/>
          <w:lang w:val="en-US"/>
        </w:rPr>
      </w:pPr>
      <w:bookmarkStart w:id="121" w:name="_Toc1334"/>
      <w:bookmarkStart w:id="122" w:name="_Toc12083"/>
      <w:bookmarkStart w:id="123" w:name="_Toc19258"/>
      <w:bookmarkStart w:id="124" w:name="_Toc16251"/>
      <w:bookmarkStart w:id="125" w:name="_Toc21692"/>
      <w:bookmarkStart w:id="126" w:name="_Toc16829"/>
      <w:bookmarkStart w:id="127" w:name="_Toc25505"/>
      <w:bookmarkStart w:id="128" w:name="_Toc6877"/>
      <w:r>
        <w:rPr>
          <w:rFonts w:ascii="Times New Roman" w:hAnsi="Times New Roman" w:cs="Times New Roman"/>
          <w:lang w:val="en-US"/>
        </w:rPr>
        <w:t>1.8规划技术路线</w:t>
      </w:r>
      <w:bookmarkEnd w:id="121"/>
    </w:p>
    <w:p>
      <w:pPr>
        <w:pStyle w:val="2"/>
        <w:ind w:firstLine="560" w:firstLineChars="200"/>
        <w:rPr>
          <w:rFonts w:ascii="Times New Roman" w:hAnsi="Times New Roman"/>
          <w:sz w:val="28"/>
          <w:szCs w:val="28"/>
          <w:lang w:val="en-US"/>
        </w:rPr>
      </w:pPr>
      <w:r>
        <w:rPr>
          <w:rFonts w:ascii="Times New Roman" w:hAnsi="Times New Roman"/>
          <w:sz w:val="28"/>
          <w:szCs w:val="28"/>
          <w:lang w:val="en-US"/>
        </w:rPr>
        <w:t>通过收集资料和现状调查，摸清徐水区规模化养殖场的数量及分布，测算畜禽养殖污染物的排放情况、畜禽养殖污染物的处置情况</w:t>
      </w:r>
      <w:r>
        <w:rPr>
          <w:rFonts w:hint="eastAsia" w:ascii="Times New Roman" w:hAnsi="Times New Roman"/>
          <w:sz w:val="28"/>
          <w:szCs w:val="28"/>
          <w:lang w:val="en-US" w:eastAsia="zh-CN"/>
        </w:rPr>
        <w:t>以及</w:t>
      </w:r>
      <w:r>
        <w:rPr>
          <w:rFonts w:ascii="Times New Roman" w:hAnsi="Times New Roman"/>
          <w:sz w:val="28"/>
          <w:szCs w:val="28"/>
          <w:lang w:val="en-US"/>
        </w:rPr>
        <w:t>畜禽养殖目前存在的问题，对畜禽养殖环保区域进行划分；根据徐水区畜禽养殖的特点，提出污染产生的外部性、政府的规制及防污投入的来源安排等方面，对其中的原因进行分析，最终从畜禽养殖业可持续发展的视角提出治理污染的措施，包括管理型措施、技术型和社会型措施。具体工作技术路线见图1.8-1。</w:t>
      </w:r>
    </w:p>
    <w:p>
      <w:pPr>
        <w:spacing w:line="360" w:lineRule="auto"/>
        <w:jc w:val="center"/>
        <w:rPr>
          <w:sz w:val="28"/>
          <w:szCs w:val="28"/>
        </w:rPr>
      </w:pPr>
      <w:r>
        <w:rPr>
          <w:sz w:val="28"/>
          <w:szCs w:val="28"/>
        </w:rPr>
        <w:drawing>
          <wp:inline distT="0" distB="0" distL="114300" distR="114300">
            <wp:extent cx="3615055" cy="3746500"/>
            <wp:effectExtent l="0" t="0" r="4445" b="635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0"/>
                    <a:stretch>
                      <a:fillRect/>
                    </a:stretch>
                  </pic:blipFill>
                  <pic:spPr>
                    <a:xfrm>
                      <a:off x="0" y="0"/>
                      <a:ext cx="3615055" cy="3746500"/>
                    </a:xfrm>
                    <a:prstGeom prst="rect">
                      <a:avLst/>
                    </a:prstGeom>
                  </pic:spPr>
                </pic:pic>
              </a:graphicData>
            </a:graphic>
          </wp:inline>
        </w:drawing>
      </w:r>
    </w:p>
    <w:p>
      <w:pPr>
        <w:spacing w:line="360" w:lineRule="auto"/>
        <w:jc w:val="center"/>
        <w:sectPr>
          <w:pgSz w:w="11906" w:h="16838"/>
          <w:pgMar w:top="1701" w:right="1417" w:bottom="1417" w:left="1701" w:header="851" w:footer="340" w:gutter="0"/>
          <w:cols w:space="720" w:num="1"/>
          <w:docGrid w:type="lines" w:linePitch="312" w:charSpace="0"/>
        </w:sectPr>
      </w:pPr>
      <w:r>
        <w:rPr>
          <w:rFonts w:eastAsia="黑体"/>
          <w:b/>
          <w:bCs/>
          <w:szCs w:val="21"/>
        </w:rPr>
        <w:t>图1.8-1 技术路线图</w:t>
      </w:r>
    </w:p>
    <w:p>
      <w:pPr>
        <w:pStyle w:val="4"/>
        <w:spacing w:before="312" w:after="312"/>
        <w:rPr>
          <w:rFonts w:ascii="Times New Roman" w:hAnsi="Times New Roman"/>
          <w:lang w:val="en-US"/>
        </w:rPr>
      </w:pPr>
      <w:bookmarkStart w:id="129" w:name="_Toc20592"/>
      <w:bookmarkStart w:id="130" w:name="_Toc32755"/>
      <w:r>
        <w:rPr>
          <w:rFonts w:ascii="Times New Roman" w:hAnsi="Times New Roman"/>
          <w:lang w:val="en-US"/>
        </w:rPr>
        <w:t>2.区域基本情况</w:t>
      </w:r>
      <w:bookmarkEnd w:id="122"/>
      <w:bookmarkEnd w:id="123"/>
      <w:bookmarkEnd w:id="124"/>
      <w:bookmarkEnd w:id="125"/>
      <w:bookmarkEnd w:id="126"/>
      <w:bookmarkEnd w:id="127"/>
      <w:bookmarkEnd w:id="128"/>
      <w:bookmarkEnd w:id="129"/>
      <w:bookmarkEnd w:id="130"/>
    </w:p>
    <w:p>
      <w:pPr>
        <w:pStyle w:val="5"/>
        <w:spacing w:before="312" w:after="312"/>
        <w:rPr>
          <w:rFonts w:ascii="Times New Roman" w:hAnsi="Times New Roman" w:cs="Times New Roman"/>
          <w:lang w:val="en-US"/>
        </w:rPr>
      </w:pPr>
      <w:bookmarkStart w:id="131" w:name="bookmark100"/>
      <w:bookmarkEnd w:id="131"/>
      <w:bookmarkStart w:id="132" w:name="_Toc12978"/>
      <w:bookmarkStart w:id="133" w:name="_Toc6772"/>
      <w:bookmarkStart w:id="134" w:name="_Toc31713"/>
      <w:bookmarkStart w:id="135" w:name="_Toc25328"/>
      <w:bookmarkStart w:id="136" w:name="_Toc11145"/>
      <w:bookmarkStart w:id="137" w:name="_Toc4647"/>
      <w:bookmarkStart w:id="138" w:name="_Toc21824"/>
      <w:bookmarkStart w:id="139" w:name="_Toc19102"/>
      <w:bookmarkStart w:id="140" w:name="_Toc16459"/>
      <w:r>
        <w:rPr>
          <w:rFonts w:ascii="Times New Roman" w:hAnsi="Times New Roman" w:cs="Times New Roman"/>
          <w:lang w:val="en-US"/>
        </w:rPr>
        <w:t>2.1</w:t>
      </w:r>
      <w:bookmarkEnd w:id="132"/>
      <w:r>
        <w:rPr>
          <w:rFonts w:ascii="Times New Roman" w:hAnsi="Times New Roman" w:cs="Times New Roman"/>
          <w:lang w:val="en-US"/>
        </w:rPr>
        <w:t>区域自然状况</w:t>
      </w:r>
      <w:bookmarkEnd w:id="133"/>
      <w:bookmarkEnd w:id="134"/>
      <w:bookmarkEnd w:id="135"/>
      <w:bookmarkEnd w:id="136"/>
      <w:bookmarkEnd w:id="137"/>
      <w:bookmarkEnd w:id="138"/>
      <w:bookmarkEnd w:id="139"/>
      <w:bookmarkEnd w:id="140"/>
    </w:p>
    <w:p>
      <w:pPr>
        <w:pStyle w:val="6"/>
        <w:numPr>
          <w:ilvl w:val="2"/>
          <w:numId w:val="0"/>
        </w:numPr>
        <w:spacing w:before="156" w:after="156"/>
      </w:pPr>
      <w:bookmarkStart w:id="141" w:name="_Toc31407"/>
      <w:bookmarkStart w:id="142" w:name="_Toc2231"/>
      <w:bookmarkStart w:id="143" w:name="_Toc10917"/>
      <w:bookmarkStart w:id="144" w:name="_Toc12000"/>
      <w:r>
        <w:t>2.1.1地理位置</w:t>
      </w:r>
      <w:bookmarkEnd w:id="141"/>
      <w:bookmarkEnd w:id="142"/>
      <w:bookmarkEnd w:id="143"/>
      <w:bookmarkEnd w:id="144"/>
    </w:p>
    <w:p>
      <w:pPr>
        <w:pStyle w:val="2"/>
        <w:ind w:firstLine="560" w:firstLineChars="200"/>
        <w:rPr>
          <w:rFonts w:ascii="Times New Roman" w:hAnsi="Times New Roman"/>
          <w:sz w:val="28"/>
          <w:szCs w:val="28"/>
          <w:lang w:val="en-US"/>
        </w:rPr>
      </w:pPr>
      <w:r>
        <w:rPr>
          <w:rFonts w:ascii="Times New Roman" w:hAnsi="Times New Roman"/>
          <w:sz w:val="28"/>
          <w:szCs w:val="28"/>
          <w:lang w:val="en-US"/>
        </w:rPr>
        <w:t>保定市徐水区地处太行山与华北平原之间的过渡地带，地势西北高、东南低，最高海拔447米（城区西北象山），最低海拔8米（城区东南大因镇李迪城村），平均海拔高度20米，属</w:t>
      </w:r>
      <w:r>
        <w:fldChar w:fldCharType="begin"/>
      </w:r>
      <w:r>
        <w:instrText xml:space="preserve"> HYPERLINK "https://baike.baidu.com/item/%E4%BF%9D%E5%AE%9A%E5%B8%82" \t "https://baike.baidu.com/item/%E5%BE%90%E6%B0%B4%E5%8C%BA/_blank" </w:instrText>
      </w:r>
      <w:r>
        <w:fldChar w:fldCharType="separate"/>
      </w:r>
      <w:r>
        <w:rPr>
          <w:rFonts w:ascii="Times New Roman" w:hAnsi="Times New Roman"/>
          <w:sz w:val="28"/>
          <w:szCs w:val="28"/>
          <w:lang w:val="en-US"/>
        </w:rPr>
        <w:t>保定市</w:t>
      </w:r>
      <w:r>
        <w:rPr>
          <w:rFonts w:ascii="Times New Roman" w:hAnsi="Times New Roman"/>
          <w:sz w:val="28"/>
          <w:szCs w:val="28"/>
          <w:lang w:val="en-US"/>
        </w:rPr>
        <w:fldChar w:fldCharType="end"/>
      </w:r>
      <w:r>
        <w:rPr>
          <w:rFonts w:ascii="Times New Roman" w:hAnsi="Times New Roman"/>
          <w:sz w:val="28"/>
          <w:szCs w:val="28"/>
          <w:lang w:val="en-US"/>
        </w:rPr>
        <w:t>管辖。地处北纬38°09~39°09，东经115°19~115°46。东与</w:t>
      </w:r>
      <w:r>
        <w:fldChar w:fldCharType="begin"/>
      </w:r>
      <w:r>
        <w:instrText xml:space="preserve"> HYPERLINK "https://baike.baidu.com/item/%E5%AE%B9%E5%9F%8E%E5%8E%BF" \t "https://baike.baidu.com/item/%E5%BE%90%E6%B0%B4%E5%8C%BA/_blank" </w:instrText>
      </w:r>
      <w:r>
        <w:fldChar w:fldCharType="separate"/>
      </w:r>
      <w:r>
        <w:rPr>
          <w:rFonts w:ascii="Times New Roman" w:hAnsi="Times New Roman"/>
          <w:sz w:val="28"/>
          <w:szCs w:val="28"/>
          <w:lang w:val="en-US"/>
        </w:rPr>
        <w:t>容城县</w:t>
      </w:r>
      <w:r>
        <w:rPr>
          <w:rFonts w:ascii="Times New Roman" w:hAnsi="Times New Roman"/>
          <w:sz w:val="28"/>
          <w:szCs w:val="28"/>
          <w:lang w:val="en-US"/>
        </w:rPr>
        <w:fldChar w:fldCharType="end"/>
      </w:r>
      <w:r>
        <w:rPr>
          <w:rFonts w:ascii="Times New Roman" w:hAnsi="Times New Roman"/>
          <w:sz w:val="28"/>
          <w:szCs w:val="28"/>
          <w:lang w:val="en-US"/>
        </w:rPr>
        <w:t>、</w:t>
      </w:r>
      <w:r>
        <w:fldChar w:fldCharType="begin"/>
      </w:r>
      <w:r>
        <w:instrText xml:space="preserve"> HYPERLINK "https://baike.baidu.com/item/%E5%AE%89%E6%96%B0%E5%8E%BF" \t "https://baike.baidu.com/item/%E5%BE%90%E6%B0%B4%E5%8C%BA/_blank" </w:instrText>
      </w:r>
      <w:r>
        <w:fldChar w:fldCharType="separate"/>
      </w:r>
      <w:r>
        <w:rPr>
          <w:rFonts w:ascii="Times New Roman" w:hAnsi="Times New Roman"/>
          <w:sz w:val="28"/>
          <w:szCs w:val="28"/>
          <w:lang w:val="en-US"/>
        </w:rPr>
        <w:t>安新县</w:t>
      </w:r>
      <w:r>
        <w:rPr>
          <w:rFonts w:ascii="Times New Roman" w:hAnsi="Times New Roman"/>
          <w:sz w:val="28"/>
          <w:szCs w:val="28"/>
          <w:lang w:val="en-US"/>
        </w:rPr>
        <w:fldChar w:fldCharType="end"/>
      </w:r>
      <w:r>
        <w:rPr>
          <w:rFonts w:ascii="Times New Roman" w:hAnsi="Times New Roman"/>
          <w:sz w:val="28"/>
          <w:szCs w:val="28"/>
          <w:lang w:val="en-US"/>
        </w:rPr>
        <w:t>交界，南与</w:t>
      </w:r>
      <w:r>
        <w:fldChar w:fldCharType="begin"/>
      </w:r>
      <w:r>
        <w:instrText xml:space="preserve"> HYPERLINK "https://baike.baidu.com/item/%E6%B8%85%E8%8B%91%E5%8C%BA" \t "https://baike.baidu.com/item/%E5%BE%90%E6%B0%B4%E5%8C%BA/_blank" </w:instrText>
      </w:r>
      <w:r>
        <w:fldChar w:fldCharType="separate"/>
      </w:r>
      <w:r>
        <w:rPr>
          <w:rFonts w:ascii="Times New Roman" w:hAnsi="Times New Roman"/>
          <w:sz w:val="28"/>
          <w:szCs w:val="28"/>
          <w:lang w:val="en-US"/>
        </w:rPr>
        <w:t>清苑区</w:t>
      </w:r>
      <w:r>
        <w:rPr>
          <w:rFonts w:ascii="Times New Roman" w:hAnsi="Times New Roman"/>
          <w:sz w:val="28"/>
          <w:szCs w:val="28"/>
          <w:lang w:val="en-US"/>
        </w:rPr>
        <w:fldChar w:fldCharType="end"/>
      </w:r>
      <w:r>
        <w:rPr>
          <w:rFonts w:ascii="Times New Roman" w:hAnsi="Times New Roman"/>
          <w:sz w:val="28"/>
          <w:szCs w:val="28"/>
          <w:lang w:val="en-US"/>
        </w:rPr>
        <w:t>、</w:t>
      </w:r>
      <w:r>
        <w:fldChar w:fldCharType="begin"/>
      </w:r>
      <w:r>
        <w:instrText xml:space="preserve"> HYPERLINK "https://baike.baidu.com/item/%E8%8E%B2%E6%B1%A0%E5%8C%BA" \t "https://baike.baidu.com/item/%E5%BE%90%E6%B0%B4%E5%8C%BA/_blank" </w:instrText>
      </w:r>
      <w:r>
        <w:fldChar w:fldCharType="separate"/>
      </w:r>
      <w:r>
        <w:rPr>
          <w:rFonts w:ascii="Times New Roman" w:hAnsi="Times New Roman"/>
          <w:sz w:val="28"/>
          <w:szCs w:val="28"/>
          <w:lang w:val="en-US"/>
        </w:rPr>
        <w:t>莲池区</w:t>
      </w:r>
      <w:r>
        <w:rPr>
          <w:rFonts w:ascii="Times New Roman" w:hAnsi="Times New Roman"/>
          <w:sz w:val="28"/>
          <w:szCs w:val="28"/>
          <w:lang w:val="en-US"/>
        </w:rPr>
        <w:fldChar w:fldCharType="end"/>
      </w:r>
      <w:r>
        <w:rPr>
          <w:rFonts w:ascii="Times New Roman" w:hAnsi="Times New Roman"/>
          <w:sz w:val="28"/>
          <w:szCs w:val="28"/>
          <w:lang w:val="en-US"/>
        </w:rPr>
        <w:t>为邻，西与</w:t>
      </w:r>
      <w:r>
        <w:fldChar w:fldCharType="begin"/>
      </w:r>
      <w:r>
        <w:instrText xml:space="preserve"> HYPERLINK "https://baike.baidu.com/item/%E6%BB%A1%E5%9F%8E%E5%8C%BA" \t "https://baike.baidu.com/item/%E5%BE%90%E6%B0%B4%E5%8C%BA/_blank" </w:instrText>
      </w:r>
      <w:r>
        <w:fldChar w:fldCharType="separate"/>
      </w:r>
      <w:r>
        <w:rPr>
          <w:rFonts w:ascii="Times New Roman" w:hAnsi="Times New Roman"/>
          <w:sz w:val="28"/>
          <w:szCs w:val="28"/>
          <w:lang w:val="en-US"/>
        </w:rPr>
        <w:t>满城区</w:t>
      </w:r>
      <w:r>
        <w:rPr>
          <w:rFonts w:ascii="Times New Roman" w:hAnsi="Times New Roman"/>
          <w:sz w:val="28"/>
          <w:szCs w:val="28"/>
          <w:lang w:val="en-US"/>
        </w:rPr>
        <w:fldChar w:fldCharType="end"/>
      </w:r>
      <w:r>
        <w:rPr>
          <w:rFonts w:ascii="Times New Roman" w:hAnsi="Times New Roman"/>
          <w:sz w:val="28"/>
          <w:szCs w:val="28"/>
          <w:lang w:val="en-US"/>
        </w:rPr>
        <w:t>、</w:t>
      </w:r>
      <w:r>
        <w:fldChar w:fldCharType="begin"/>
      </w:r>
      <w:r>
        <w:instrText xml:space="preserve"> HYPERLINK "https://baike.baidu.com/item/%E6%98%93%E5%8E%BF" \t "https://baike.baidu.com/item/%E5%BE%90%E6%B0%B4%E5%8C%BA/_blank" </w:instrText>
      </w:r>
      <w:r>
        <w:fldChar w:fldCharType="separate"/>
      </w:r>
      <w:r>
        <w:rPr>
          <w:rFonts w:ascii="Times New Roman" w:hAnsi="Times New Roman"/>
          <w:sz w:val="28"/>
          <w:szCs w:val="28"/>
          <w:lang w:val="en-US"/>
        </w:rPr>
        <w:t>易县</w:t>
      </w:r>
      <w:r>
        <w:rPr>
          <w:rFonts w:ascii="Times New Roman" w:hAnsi="Times New Roman"/>
          <w:sz w:val="28"/>
          <w:szCs w:val="28"/>
          <w:lang w:val="en-US"/>
        </w:rPr>
        <w:fldChar w:fldCharType="end"/>
      </w:r>
      <w:r>
        <w:rPr>
          <w:rFonts w:ascii="Times New Roman" w:hAnsi="Times New Roman"/>
          <w:sz w:val="28"/>
          <w:szCs w:val="28"/>
          <w:lang w:val="en-US"/>
        </w:rPr>
        <w:t>接壤，北与</w:t>
      </w:r>
      <w:r>
        <w:fldChar w:fldCharType="begin"/>
      </w:r>
      <w:r>
        <w:instrText xml:space="preserve"> HYPERLINK "https://baike.baidu.com/item/%E5%AE%9A%E5%85%B4%E5%8E%BF" \t "https://baike.baidu.com/item/%E5%BE%90%E6%B0%B4%E5%8C%BA/_blank" </w:instrText>
      </w:r>
      <w:r>
        <w:fldChar w:fldCharType="separate"/>
      </w:r>
      <w:r>
        <w:rPr>
          <w:rFonts w:ascii="Times New Roman" w:hAnsi="Times New Roman"/>
          <w:sz w:val="28"/>
          <w:szCs w:val="28"/>
          <w:lang w:val="en-US"/>
        </w:rPr>
        <w:t>定兴县</w:t>
      </w:r>
      <w:r>
        <w:rPr>
          <w:rFonts w:ascii="Times New Roman" w:hAnsi="Times New Roman"/>
          <w:sz w:val="28"/>
          <w:szCs w:val="28"/>
          <w:lang w:val="en-US"/>
        </w:rPr>
        <w:fldChar w:fldCharType="end"/>
      </w:r>
      <w:r>
        <w:rPr>
          <w:rFonts w:ascii="Times New Roman" w:hAnsi="Times New Roman"/>
          <w:sz w:val="28"/>
          <w:szCs w:val="28"/>
          <w:lang w:val="en-US"/>
        </w:rPr>
        <w:t>相连，总面积723平方千米。徐水区交通便捷，地理位置优越，徐水区人民政府距保定市人民政府23公里，距省会石家庄155公里，距石家庄正定机场117公里，距天津145公里，距首都北京119公里。津雄高速贯穿市区中部，京昆高速贯穿市区西部，京港澳高速贯穿市区东部，公路四通八达，县道、乡道与107国道交织成网、互联互通。由于徐水区紧邻雄安新区，且位于白洋淀上游，因此做好全区生态环境治理工作便尤为重要。</w:t>
      </w:r>
    </w:p>
    <w:p>
      <w:pPr>
        <w:pStyle w:val="6"/>
        <w:numPr>
          <w:ilvl w:val="2"/>
          <w:numId w:val="0"/>
        </w:numPr>
        <w:spacing w:before="156" w:after="156"/>
      </w:pPr>
      <w:bookmarkStart w:id="145" w:name="_Toc31326"/>
      <w:bookmarkStart w:id="146" w:name="_Toc13924"/>
      <w:bookmarkStart w:id="147" w:name="_Toc28246"/>
      <w:bookmarkStart w:id="148" w:name="_Toc21891"/>
      <w:r>
        <w:t>2.1.2地形地貌</w:t>
      </w:r>
      <w:bookmarkEnd w:id="145"/>
      <w:bookmarkEnd w:id="146"/>
      <w:bookmarkEnd w:id="147"/>
      <w:bookmarkEnd w:id="148"/>
      <w:bookmarkStart w:id="149" w:name="_Toc343461922"/>
      <w:bookmarkStart w:id="150" w:name="_Toc343587060"/>
    </w:p>
    <w:p>
      <w:pPr>
        <w:pStyle w:val="2"/>
        <w:ind w:firstLine="560" w:firstLineChars="200"/>
        <w:rPr>
          <w:rFonts w:ascii="Times New Roman" w:hAnsi="Times New Roman"/>
          <w:sz w:val="28"/>
          <w:szCs w:val="28"/>
          <w:lang w:val="en-US"/>
        </w:rPr>
      </w:pPr>
      <w:r>
        <w:rPr>
          <w:rFonts w:ascii="Times New Roman" w:hAnsi="Times New Roman"/>
          <w:sz w:val="28"/>
          <w:szCs w:val="28"/>
          <w:lang w:val="en-US"/>
        </w:rPr>
        <w:t>保定市徐水区东西横跨两个不同的二级构造单元，即西部的丘陵山区及山麓地带属山西断隆的一部分，东部的平原区则属华北断坳的一部分。依形态和成因不同，全区划分两个不同的地貌单元。以大王店为界，西为剥蚀堆积作用形成的丘陵区，东为由堆积作用形成的山前倾斜平原区，自然坡度1‰左右。浅山丘陵区面积91.2平方公里，占全区总面积的12.6%，地形标高在150~50米之间,其中海拔100米以上的面积为44.3平方公里，主要山峰有象山、釜山等。平原区面积645.5平方公里，占全区面积的87.4%，地势由西向东倾斜，地形标高在50~10米之间，局部洼地标高小于10米。平原区内分布有大小不等的蝶形洼地，总面积143.6平方公里，占平原面积的22.2%。</w:t>
      </w:r>
    </w:p>
    <w:p>
      <w:pPr>
        <w:pStyle w:val="6"/>
        <w:numPr>
          <w:ilvl w:val="2"/>
          <w:numId w:val="0"/>
        </w:numPr>
        <w:spacing w:before="156" w:after="156"/>
      </w:pPr>
      <w:bookmarkStart w:id="151" w:name="_Toc18447"/>
      <w:bookmarkStart w:id="152" w:name="_Toc25477"/>
      <w:bookmarkStart w:id="153" w:name="_Toc21"/>
      <w:bookmarkStart w:id="154" w:name="_Toc7440"/>
      <w:r>
        <w:t>2.1.3气候与气象</w:t>
      </w:r>
      <w:bookmarkEnd w:id="149"/>
      <w:bookmarkEnd w:id="150"/>
      <w:bookmarkEnd w:id="151"/>
      <w:bookmarkEnd w:id="152"/>
      <w:bookmarkEnd w:id="153"/>
      <w:bookmarkEnd w:id="154"/>
    </w:p>
    <w:p>
      <w:pPr>
        <w:spacing w:line="360" w:lineRule="auto"/>
        <w:ind w:firstLine="560" w:firstLineChars="200"/>
        <w:rPr>
          <w:sz w:val="28"/>
          <w:szCs w:val="28"/>
        </w:rPr>
      </w:pPr>
      <w:r>
        <w:rPr>
          <w:sz w:val="28"/>
          <w:szCs w:val="28"/>
        </w:rPr>
        <w:t>保定市徐水区地处欧亚大陆东部,属东部季风温带半干旱气候区，大陆季风性气候特点显著。春季干旱多风，夏季炎热多雨，秋季天高气爽，冬季寒冷少雪，四季分明，光热资源充足。2020年，年平均气温12.3℃偏高0.5℃，年极端最高气温37.0℃，出现在6月7日；年极端最低气温-16.0℃，出现在12月31日。全年降水量683.0毫米，比历年505.4毫米偏多177.6毫米，一日最大降水106.3毫米。本年日照时数2486.4小时，比历年平均值2489.4小时偏少3.0小时。年无霜期278天。</w:t>
      </w:r>
    </w:p>
    <w:p>
      <w:pPr>
        <w:pStyle w:val="6"/>
        <w:numPr>
          <w:ilvl w:val="2"/>
          <w:numId w:val="0"/>
        </w:numPr>
        <w:spacing w:before="156" w:after="156"/>
      </w:pPr>
      <w:bookmarkStart w:id="155" w:name="_Toc15153"/>
      <w:bookmarkStart w:id="156" w:name="_Toc12660"/>
      <w:bookmarkStart w:id="157" w:name="_Toc32202"/>
      <w:bookmarkStart w:id="158" w:name="_Toc1828"/>
      <w:bookmarkStart w:id="159" w:name="_Toc343461923"/>
      <w:bookmarkStart w:id="160" w:name="_Toc343587061"/>
      <w:r>
        <w:t>2.1.4</w:t>
      </w:r>
      <w:bookmarkEnd w:id="155"/>
      <w:bookmarkEnd w:id="156"/>
      <w:bookmarkEnd w:id="157"/>
      <w:r>
        <w:t>水文条件</w:t>
      </w:r>
      <w:bookmarkEnd w:id="158"/>
    </w:p>
    <w:p>
      <w:pPr>
        <w:pStyle w:val="2"/>
        <w:ind w:firstLine="560" w:firstLineChars="200"/>
        <w:rPr>
          <w:rFonts w:ascii="Times New Roman" w:hAnsi="Times New Roman"/>
          <w:sz w:val="28"/>
          <w:szCs w:val="28"/>
          <w:lang w:val="en-US"/>
        </w:rPr>
      </w:pPr>
      <w:bookmarkStart w:id="161" w:name="_Toc21719"/>
      <w:bookmarkStart w:id="162" w:name="_Toc15235"/>
      <w:bookmarkStart w:id="163" w:name="_Toc9590"/>
      <w:r>
        <w:rPr>
          <w:rFonts w:ascii="Times New Roman" w:hAnsi="Times New Roman"/>
          <w:sz w:val="28"/>
          <w:szCs w:val="28"/>
          <w:lang w:val="en-US"/>
        </w:rPr>
        <w:t>徐水区所有河道均属于大清河水系白洋淀上游支流。主要河道有漕河、瀑河、萍河、屯庄河、黑水沟、曲水河、鸡爪河、十五汲沟、江村洼主排干、杨孟庄排渠、六各庄排干以及北瀑河。南水北调中线总干渠从满城县白堡村东北进入该县，先后穿越义联庄、大王店、东釜山3个乡镇、13个行政村，渠线长13公里。</w:t>
      </w:r>
    </w:p>
    <w:bookmarkEnd w:id="161"/>
    <w:bookmarkEnd w:id="162"/>
    <w:bookmarkEnd w:id="163"/>
    <w:p>
      <w:pPr>
        <w:pStyle w:val="2"/>
        <w:ind w:firstLine="560" w:firstLineChars="200"/>
        <w:rPr>
          <w:rFonts w:ascii="Times New Roman" w:hAnsi="Times New Roman"/>
          <w:sz w:val="28"/>
          <w:szCs w:val="28"/>
          <w:lang w:val="en-US"/>
        </w:rPr>
      </w:pPr>
      <w:bookmarkStart w:id="164" w:name="_Toc7922"/>
      <w:r>
        <w:rPr>
          <w:rFonts w:ascii="Times New Roman" w:hAnsi="Times New Roman"/>
          <w:sz w:val="28"/>
          <w:szCs w:val="28"/>
          <w:lang w:val="en-US"/>
        </w:rPr>
        <w:t>保定市徐水区属缺水地区，人均占有水资源量266立方米。地表水资源尤其匮乏，主要河流有漕河、瀑河、萍河，为季节性河流。地下水径流方向自西北向东南，全区地下水资源总量约为2.13亿立方米。</w:t>
      </w:r>
    </w:p>
    <w:p>
      <w:pPr>
        <w:pStyle w:val="6"/>
        <w:numPr>
          <w:ilvl w:val="2"/>
          <w:numId w:val="0"/>
        </w:numPr>
        <w:spacing w:before="156" w:after="156"/>
      </w:pPr>
      <w:bookmarkStart w:id="165" w:name="_Toc27996"/>
      <w:r>
        <w:t>2.1.5土地资源</w:t>
      </w:r>
      <w:bookmarkEnd w:id="165"/>
    </w:p>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国土面积723平方公里，耕地总面积约74万亩。共有褐土、潮土两个土类：京广铁路以西分布着石灰性褐土和褐土性土；铁路以东以脱沼泽潮褐土和潮褐土为主，其中褐土面积占全区土壤总面积的74.9%。土壤质地适中的土地占总耕地面积的80%，这些耕地土体构型好，适宜农作物生长，但土壤耕层养分含量低，属缺磷、少氮、钾适中状态。土壤养分分布不均，高低相差悬殊，东部乡镇普遍高于西部乡镇。适宜种植小麦、玉米、花生、蔬菜等农作物。</w:t>
      </w:r>
    </w:p>
    <w:bookmarkEnd w:id="159"/>
    <w:bookmarkEnd w:id="160"/>
    <w:bookmarkEnd w:id="164"/>
    <w:p>
      <w:pPr>
        <w:pStyle w:val="5"/>
        <w:spacing w:before="312" w:after="312"/>
        <w:rPr>
          <w:rFonts w:ascii="Times New Roman" w:hAnsi="Times New Roman" w:cs="Times New Roman"/>
          <w:lang w:val="en-US"/>
        </w:rPr>
      </w:pPr>
      <w:bookmarkStart w:id="166" w:name="_Toc27451"/>
      <w:bookmarkStart w:id="167" w:name="_Toc31591"/>
      <w:bookmarkStart w:id="168" w:name="_Toc8452"/>
      <w:bookmarkStart w:id="169" w:name="_Toc779"/>
      <w:bookmarkStart w:id="170" w:name="_Toc21764"/>
      <w:bookmarkStart w:id="171" w:name="_Toc10180"/>
      <w:bookmarkStart w:id="172" w:name="_Toc11715"/>
      <w:bookmarkStart w:id="173" w:name="_Toc15503"/>
      <w:r>
        <w:rPr>
          <w:rFonts w:ascii="Times New Roman" w:hAnsi="Times New Roman" w:cs="Times New Roman"/>
          <w:lang w:val="en-US"/>
        </w:rPr>
        <w:t>2.2</w:t>
      </w:r>
      <w:bookmarkEnd w:id="166"/>
      <w:r>
        <w:rPr>
          <w:rFonts w:ascii="Times New Roman" w:hAnsi="Times New Roman" w:cs="Times New Roman"/>
          <w:lang w:val="en-US"/>
        </w:rPr>
        <w:t>区域社会经济现状</w:t>
      </w:r>
      <w:bookmarkEnd w:id="167"/>
      <w:bookmarkEnd w:id="168"/>
      <w:bookmarkEnd w:id="169"/>
      <w:bookmarkEnd w:id="170"/>
      <w:bookmarkEnd w:id="171"/>
      <w:bookmarkEnd w:id="172"/>
      <w:bookmarkEnd w:id="173"/>
    </w:p>
    <w:p>
      <w:pPr>
        <w:pStyle w:val="2"/>
        <w:ind w:firstLine="560" w:firstLineChars="200"/>
        <w:rPr>
          <w:rFonts w:ascii="Times New Roman" w:hAnsi="Times New Roman"/>
          <w:sz w:val="28"/>
          <w:szCs w:val="28"/>
          <w:lang w:val="en-US"/>
        </w:rPr>
      </w:pPr>
      <w:bookmarkStart w:id="174" w:name="_Toc11736"/>
      <w:bookmarkStart w:id="175" w:name="_Toc16448"/>
      <w:bookmarkStart w:id="176" w:name="_Toc25797"/>
      <w:bookmarkStart w:id="177" w:name="_Toc8457"/>
      <w:bookmarkStart w:id="178" w:name="_Toc3753"/>
      <w:bookmarkStart w:id="179" w:name="_Toc28087"/>
      <w:bookmarkStart w:id="180" w:name="_Toc529226835"/>
      <w:bookmarkStart w:id="181" w:name="_Toc22246768"/>
      <w:r>
        <w:rPr>
          <w:rFonts w:ascii="Times New Roman" w:hAnsi="Times New Roman"/>
          <w:sz w:val="28"/>
          <w:szCs w:val="28"/>
          <w:lang w:val="en-US"/>
        </w:rPr>
        <w:t>（1）行政区划及人口</w:t>
      </w:r>
      <w:bookmarkEnd w:id="174"/>
      <w:bookmarkEnd w:id="175"/>
      <w:bookmarkEnd w:id="176"/>
      <w:bookmarkEnd w:id="177"/>
      <w:bookmarkEnd w:id="178"/>
      <w:bookmarkEnd w:id="179"/>
      <w:bookmarkEnd w:id="180"/>
      <w:bookmarkEnd w:id="181"/>
    </w:p>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总面积723平方公里，区辖10个镇、4个乡：漕河镇、高林村镇、遂城镇、大王店镇、大因镇、崔庄镇、安肃镇、户木乡、瀑河乡、义联庄乡、东釜山乡、正村镇、留村镇、东史端镇。根据统计局统计数据，徐水区常住人口635960人。</w:t>
      </w:r>
    </w:p>
    <w:p>
      <w:pPr>
        <w:pStyle w:val="2"/>
        <w:ind w:firstLine="560" w:firstLineChars="200"/>
        <w:rPr>
          <w:rFonts w:ascii="Times New Roman" w:hAnsi="Times New Roman"/>
          <w:sz w:val="28"/>
          <w:szCs w:val="28"/>
          <w:lang w:val="en-US"/>
        </w:rPr>
      </w:pPr>
      <w:bookmarkStart w:id="182" w:name="_Toc26823"/>
      <w:bookmarkStart w:id="183" w:name="_Toc6481"/>
      <w:bookmarkStart w:id="184" w:name="_Toc15343"/>
      <w:r>
        <w:rPr>
          <w:rFonts w:ascii="Times New Roman" w:hAnsi="Times New Roman"/>
          <w:sz w:val="28"/>
          <w:szCs w:val="28"/>
          <w:lang w:val="en-US"/>
        </w:rPr>
        <w:t>（2）经济概况</w:t>
      </w:r>
      <w:bookmarkEnd w:id="182"/>
      <w:bookmarkEnd w:id="183"/>
      <w:bookmarkEnd w:id="184"/>
      <w:bookmarkStart w:id="185" w:name="_Toc19454"/>
    </w:p>
    <w:p>
      <w:pPr>
        <w:pStyle w:val="2"/>
        <w:ind w:firstLine="560" w:firstLineChars="200"/>
        <w:rPr>
          <w:rFonts w:ascii="Times New Roman" w:hAnsi="Times New Roman"/>
          <w:sz w:val="28"/>
          <w:szCs w:val="28"/>
          <w:lang w:val="en-US"/>
        </w:rPr>
      </w:pPr>
      <w:r>
        <w:rPr>
          <w:rFonts w:ascii="Times New Roman" w:hAnsi="Times New Roman"/>
          <w:sz w:val="28"/>
          <w:szCs w:val="28"/>
          <w:lang w:val="en-US"/>
        </w:rPr>
        <w:t>2015年5月，保定市行政区划调整后，徐水撤县设区，成为保定市五区之一。2019年，地方生产总值完成271.3亿元，全部财政收入完成57.98亿元，一般公共预算收入完成21.037亿元。社会消费品零售额完成114.8亿元，同比增长9.8%，实现了“平稳运行、稳中有升”的积极态势。2019年，徐水经济开发区完成主营业务收入1087.5亿元，位居全市第1位；完成全部财政收入38.8亿元，位居全市第2位。2019年，全年完成项目签约6个，总投资38亿元，北京戴纳可持续实验室智造产业园、太行集团整体搬迁项目等大体量、高质量项目落地开发区。2020年，徐水区地方生产总值完成249.2亿元，全部财政收入完成54.1亿元，一般公共预算收入完成24.6亿元，社会消费品零售额完成112.2亿元。2021年，徐水区地方生产总值共计200.8亿元。</w:t>
      </w:r>
    </w:p>
    <w:p>
      <w:pPr>
        <w:pStyle w:val="5"/>
        <w:spacing w:before="312" w:after="312"/>
        <w:rPr>
          <w:rFonts w:ascii="Times New Roman" w:hAnsi="Times New Roman" w:cs="Times New Roman"/>
          <w:lang w:val="en-US"/>
        </w:rPr>
      </w:pPr>
      <w:bookmarkStart w:id="186" w:name="_Toc18487"/>
      <w:bookmarkStart w:id="187" w:name="_Toc17321"/>
      <w:bookmarkStart w:id="188" w:name="_Toc12598"/>
      <w:bookmarkStart w:id="189" w:name="_Toc15320"/>
      <w:bookmarkStart w:id="190" w:name="_Toc12892"/>
      <w:bookmarkStart w:id="191" w:name="_Toc8500"/>
      <w:bookmarkStart w:id="192" w:name="_Toc12361"/>
      <w:r>
        <w:rPr>
          <w:rFonts w:ascii="Times New Roman" w:hAnsi="Times New Roman" w:cs="Times New Roman"/>
          <w:lang w:val="en-US"/>
        </w:rPr>
        <w:t>2.3区域生态环境状况</w:t>
      </w:r>
      <w:bookmarkEnd w:id="185"/>
      <w:bookmarkEnd w:id="186"/>
      <w:bookmarkEnd w:id="187"/>
      <w:bookmarkEnd w:id="188"/>
      <w:bookmarkEnd w:id="189"/>
      <w:bookmarkEnd w:id="190"/>
      <w:bookmarkEnd w:id="191"/>
      <w:bookmarkEnd w:id="192"/>
    </w:p>
    <w:p>
      <w:pPr>
        <w:pStyle w:val="6"/>
        <w:numPr>
          <w:ilvl w:val="2"/>
          <w:numId w:val="0"/>
        </w:numPr>
        <w:spacing w:before="156" w:after="156"/>
      </w:pPr>
      <w:bookmarkStart w:id="193" w:name="_Toc24100"/>
      <w:bookmarkStart w:id="194" w:name="_Toc24581"/>
      <w:bookmarkStart w:id="195" w:name="_Toc26440"/>
      <w:bookmarkStart w:id="196" w:name="_Toc21828"/>
      <w:r>
        <w:t>2.3.1大气环境状况</w:t>
      </w:r>
      <w:bookmarkEnd w:id="193"/>
      <w:bookmarkEnd w:id="194"/>
      <w:bookmarkEnd w:id="195"/>
      <w:bookmarkEnd w:id="196"/>
    </w:p>
    <w:p>
      <w:pPr>
        <w:pStyle w:val="2"/>
        <w:ind w:firstLine="560" w:firstLineChars="200"/>
        <w:rPr>
          <w:rFonts w:ascii="Times New Roman" w:hAnsi="Times New Roman"/>
          <w:sz w:val="28"/>
          <w:szCs w:val="28"/>
          <w:lang w:val="en-US"/>
        </w:rPr>
      </w:pPr>
      <w:r>
        <w:rPr>
          <w:rFonts w:ascii="Times New Roman" w:hAnsi="Times New Roman"/>
          <w:sz w:val="28"/>
          <w:szCs w:val="28"/>
          <w:lang w:val="en-US"/>
        </w:rPr>
        <w:t>项目所在地环境空气质量统计结果见表2.3-1。</w:t>
      </w:r>
    </w:p>
    <w:p>
      <w:pPr>
        <w:spacing w:line="360" w:lineRule="auto"/>
        <w:jc w:val="center"/>
        <w:rPr>
          <w:rFonts w:eastAsia="黑体"/>
          <w:b/>
          <w:bCs/>
          <w:szCs w:val="21"/>
        </w:rPr>
      </w:pPr>
      <w:r>
        <w:rPr>
          <w:rFonts w:eastAsia="黑体"/>
          <w:b/>
          <w:bCs/>
          <w:szCs w:val="21"/>
        </w:rPr>
        <w:t>表2.3-1  徐水区环境空气质量现状统计表</w:t>
      </w:r>
    </w:p>
    <w:tbl>
      <w:tblPr>
        <w:tblStyle w:val="23"/>
        <w:tblW w:w="7824"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304"/>
        <w:gridCol w:w="1304"/>
        <w:gridCol w:w="1304"/>
        <w:gridCol w:w="130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304" w:type="dxa"/>
            <w:tcBorders>
              <w:tl2br w:val="nil"/>
              <w:tr2bl w:val="nil"/>
            </w:tcBorders>
            <w:vAlign w:val="center"/>
          </w:tcPr>
          <w:p>
            <w:pPr>
              <w:jc w:val="left"/>
              <w:rPr>
                <w:rFonts w:eastAsia="黑体"/>
                <w:szCs w:val="21"/>
              </w:rPr>
            </w:pPr>
            <w:r>
              <w:rPr>
                <w:rFonts w:eastAsia="黑体"/>
                <w:szCs w:val="21"/>
              </w:rPr>
              <w:t>年份</w:t>
            </w:r>
          </w:p>
        </w:tc>
        <w:tc>
          <w:tcPr>
            <w:tcW w:w="1304" w:type="dxa"/>
            <w:tcBorders>
              <w:tl2br w:val="nil"/>
              <w:tr2bl w:val="nil"/>
            </w:tcBorders>
            <w:vAlign w:val="center"/>
          </w:tcPr>
          <w:p>
            <w:pPr>
              <w:jc w:val="left"/>
              <w:rPr>
                <w:rFonts w:eastAsia="黑体"/>
                <w:szCs w:val="21"/>
              </w:rPr>
            </w:pPr>
            <w:r>
              <w:rPr>
                <w:rFonts w:eastAsia="黑体"/>
                <w:szCs w:val="21"/>
              </w:rPr>
              <w:t>SO</w:t>
            </w:r>
            <w:r>
              <w:rPr>
                <w:rFonts w:eastAsia="黑体"/>
                <w:szCs w:val="21"/>
                <w:vertAlign w:val="subscript"/>
              </w:rPr>
              <w:t>2</w:t>
            </w:r>
          </w:p>
          <w:p>
            <w:pPr>
              <w:jc w:val="left"/>
              <w:rPr>
                <w:rFonts w:eastAsia="黑体"/>
                <w:szCs w:val="21"/>
              </w:rPr>
            </w:pPr>
            <w:r>
              <w:rPr>
                <w:rFonts w:eastAsia="黑体"/>
                <w:szCs w:val="21"/>
              </w:rPr>
              <w:t>年均值</w:t>
            </w:r>
          </w:p>
        </w:tc>
        <w:tc>
          <w:tcPr>
            <w:tcW w:w="1304" w:type="dxa"/>
            <w:tcBorders>
              <w:tl2br w:val="nil"/>
              <w:tr2bl w:val="nil"/>
            </w:tcBorders>
            <w:vAlign w:val="center"/>
          </w:tcPr>
          <w:p>
            <w:pPr>
              <w:jc w:val="left"/>
              <w:rPr>
                <w:rFonts w:eastAsia="黑体"/>
                <w:szCs w:val="21"/>
              </w:rPr>
            </w:pPr>
            <w:r>
              <w:rPr>
                <w:rFonts w:eastAsia="黑体"/>
                <w:szCs w:val="21"/>
              </w:rPr>
              <w:t>NO</w:t>
            </w:r>
            <w:r>
              <w:rPr>
                <w:rFonts w:eastAsia="黑体"/>
                <w:szCs w:val="21"/>
                <w:vertAlign w:val="subscript"/>
              </w:rPr>
              <w:t>2</w:t>
            </w:r>
          </w:p>
          <w:p>
            <w:pPr>
              <w:jc w:val="left"/>
              <w:rPr>
                <w:rFonts w:eastAsia="黑体"/>
                <w:szCs w:val="21"/>
              </w:rPr>
            </w:pPr>
            <w:r>
              <w:rPr>
                <w:rFonts w:eastAsia="黑体"/>
                <w:szCs w:val="21"/>
              </w:rPr>
              <w:t>年均值</w:t>
            </w:r>
          </w:p>
        </w:tc>
        <w:tc>
          <w:tcPr>
            <w:tcW w:w="1304" w:type="dxa"/>
            <w:tcBorders>
              <w:tl2br w:val="nil"/>
              <w:tr2bl w:val="nil"/>
            </w:tcBorders>
            <w:vAlign w:val="center"/>
          </w:tcPr>
          <w:p>
            <w:pPr>
              <w:jc w:val="left"/>
              <w:rPr>
                <w:rFonts w:eastAsia="黑体"/>
                <w:szCs w:val="21"/>
              </w:rPr>
            </w:pPr>
            <w:r>
              <w:rPr>
                <w:rFonts w:eastAsia="黑体"/>
                <w:szCs w:val="21"/>
              </w:rPr>
              <w:t>PM10</w:t>
            </w:r>
          </w:p>
          <w:p>
            <w:pPr>
              <w:jc w:val="left"/>
              <w:rPr>
                <w:rFonts w:eastAsia="黑体"/>
                <w:szCs w:val="21"/>
              </w:rPr>
            </w:pPr>
            <w:r>
              <w:rPr>
                <w:rFonts w:eastAsia="黑体"/>
                <w:szCs w:val="21"/>
              </w:rPr>
              <w:t>年均值</w:t>
            </w:r>
          </w:p>
        </w:tc>
        <w:tc>
          <w:tcPr>
            <w:tcW w:w="1304" w:type="dxa"/>
            <w:tcBorders>
              <w:tl2br w:val="nil"/>
              <w:tr2bl w:val="nil"/>
            </w:tcBorders>
            <w:vAlign w:val="center"/>
          </w:tcPr>
          <w:p>
            <w:pPr>
              <w:jc w:val="left"/>
              <w:rPr>
                <w:rFonts w:eastAsia="黑体"/>
                <w:szCs w:val="21"/>
              </w:rPr>
            </w:pPr>
            <w:r>
              <w:rPr>
                <w:rFonts w:eastAsia="黑体"/>
                <w:szCs w:val="21"/>
              </w:rPr>
              <w:t>PM2.5</w:t>
            </w:r>
          </w:p>
          <w:p>
            <w:pPr>
              <w:jc w:val="left"/>
              <w:rPr>
                <w:rFonts w:eastAsia="黑体"/>
                <w:szCs w:val="21"/>
              </w:rPr>
            </w:pPr>
            <w:r>
              <w:rPr>
                <w:rFonts w:eastAsia="黑体"/>
                <w:szCs w:val="21"/>
              </w:rPr>
              <w:t>年均值</w:t>
            </w:r>
          </w:p>
        </w:tc>
        <w:tc>
          <w:tcPr>
            <w:tcW w:w="1304" w:type="dxa"/>
            <w:tcBorders>
              <w:tl2br w:val="nil"/>
              <w:tr2bl w:val="nil"/>
            </w:tcBorders>
            <w:vAlign w:val="center"/>
          </w:tcPr>
          <w:p>
            <w:pPr>
              <w:jc w:val="left"/>
              <w:rPr>
                <w:rFonts w:eastAsia="黑体"/>
                <w:szCs w:val="21"/>
              </w:rPr>
            </w:pPr>
            <w:r>
              <w:rPr>
                <w:rFonts w:eastAsia="黑体"/>
                <w:szCs w:val="21"/>
              </w:rPr>
              <w:t>CO年均值</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4" w:type="dxa"/>
            <w:tcBorders>
              <w:tl2br w:val="nil"/>
              <w:tr2bl w:val="nil"/>
            </w:tcBorders>
            <w:vAlign w:val="center"/>
          </w:tcPr>
          <w:p>
            <w:pPr>
              <w:jc w:val="left"/>
              <w:rPr>
                <w:rFonts w:eastAsia="黑体"/>
                <w:szCs w:val="21"/>
              </w:rPr>
            </w:pPr>
            <w:r>
              <w:rPr>
                <w:rFonts w:eastAsia="黑体"/>
                <w:szCs w:val="21"/>
              </w:rPr>
              <w:t>2020</w:t>
            </w:r>
          </w:p>
        </w:tc>
        <w:tc>
          <w:tcPr>
            <w:tcW w:w="1304" w:type="dxa"/>
            <w:tcBorders>
              <w:tl2br w:val="nil"/>
              <w:tr2bl w:val="nil"/>
            </w:tcBorders>
            <w:vAlign w:val="center"/>
          </w:tcPr>
          <w:p>
            <w:pPr>
              <w:jc w:val="left"/>
              <w:rPr>
                <w:rFonts w:eastAsia="黑体"/>
                <w:szCs w:val="21"/>
              </w:rPr>
            </w:pPr>
            <w:r>
              <w:rPr>
                <w:rFonts w:eastAsia="黑体"/>
                <w:szCs w:val="21"/>
              </w:rPr>
              <w:t>9</w:t>
            </w:r>
          </w:p>
        </w:tc>
        <w:tc>
          <w:tcPr>
            <w:tcW w:w="1304" w:type="dxa"/>
            <w:tcBorders>
              <w:tl2br w:val="nil"/>
              <w:tr2bl w:val="nil"/>
            </w:tcBorders>
            <w:vAlign w:val="center"/>
          </w:tcPr>
          <w:p>
            <w:pPr>
              <w:jc w:val="left"/>
              <w:rPr>
                <w:rFonts w:eastAsia="黑体"/>
                <w:szCs w:val="21"/>
              </w:rPr>
            </w:pPr>
            <w:r>
              <w:rPr>
                <w:rFonts w:eastAsia="黑体"/>
                <w:szCs w:val="21"/>
              </w:rPr>
              <w:t>39</w:t>
            </w:r>
          </w:p>
        </w:tc>
        <w:tc>
          <w:tcPr>
            <w:tcW w:w="1304" w:type="dxa"/>
            <w:tcBorders>
              <w:tl2br w:val="nil"/>
              <w:tr2bl w:val="nil"/>
            </w:tcBorders>
            <w:vAlign w:val="center"/>
          </w:tcPr>
          <w:p>
            <w:pPr>
              <w:jc w:val="left"/>
              <w:rPr>
                <w:rFonts w:eastAsia="黑体"/>
                <w:szCs w:val="21"/>
              </w:rPr>
            </w:pPr>
            <w:r>
              <w:rPr>
                <w:rFonts w:eastAsia="黑体"/>
                <w:szCs w:val="21"/>
              </w:rPr>
              <w:t>108</w:t>
            </w:r>
          </w:p>
        </w:tc>
        <w:tc>
          <w:tcPr>
            <w:tcW w:w="1304" w:type="dxa"/>
            <w:tcBorders>
              <w:tl2br w:val="nil"/>
              <w:tr2bl w:val="nil"/>
            </w:tcBorders>
            <w:vAlign w:val="center"/>
          </w:tcPr>
          <w:p>
            <w:pPr>
              <w:jc w:val="left"/>
              <w:rPr>
                <w:rFonts w:eastAsia="黑体"/>
                <w:szCs w:val="21"/>
              </w:rPr>
            </w:pPr>
            <w:r>
              <w:rPr>
                <w:rFonts w:eastAsia="黑体"/>
                <w:szCs w:val="21"/>
              </w:rPr>
              <w:t>61</w:t>
            </w:r>
          </w:p>
        </w:tc>
        <w:tc>
          <w:tcPr>
            <w:tcW w:w="1304" w:type="dxa"/>
            <w:tcBorders>
              <w:tl2br w:val="nil"/>
              <w:tr2bl w:val="nil"/>
            </w:tcBorders>
            <w:vAlign w:val="center"/>
          </w:tcPr>
          <w:p>
            <w:pPr>
              <w:jc w:val="left"/>
              <w:rPr>
                <w:rFonts w:eastAsia="黑体"/>
                <w:szCs w:val="21"/>
              </w:rPr>
            </w:pPr>
            <w:r>
              <w:rPr>
                <w:rFonts w:eastAsia="黑体"/>
                <w:szCs w:val="21"/>
              </w:rPr>
              <w:t>1.9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04" w:type="dxa"/>
            <w:tcBorders>
              <w:tl2br w:val="nil"/>
              <w:tr2bl w:val="nil"/>
            </w:tcBorders>
            <w:vAlign w:val="center"/>
          </w:tcPr>
          <w:p>
            <w:pPr>
              <w:jc w:val="left"/>
              <w:rPr>
                <w:rFonts w:eastAsia="黑体"/>
                <w:szCs w:val="21"/>
              </w:rPr>
            </w:pPr>
            <w:r>
              <w:rPr>
                <w:rFonts w:eastAsia="黑体"/>
                <w:szCs w:val="21"/>
              </w:rPr>
              <w:t>2021</w:t>
            </w:r>
          </w:p>
        </w:tc>
        <w:tc>
          <w:tcPr>
            <w:tcW w:w="1304" w:type="dxa"/>
            <w:tcBorders>
              <w:tl2br w:val="nil"/>
              <w:tr2bl w:val="nil"/>
            </w:tcBorders>
            <w:vAlign w:val="center"/>
          </w:tcPr>
          <w:p>
            <w:pPr>
              <w:jc w:val="left"/>
              <w:rPr>
                <w:rFonts w:eastAsia="黑体"/>
                <w:szCs w:val="21"/>
              </w:rPr>
            </w:pPr>
            <w:r>
              <w:rPr>
                <w:rFonts w:eastAsia="黑体"/>
                <w:szCs w:val="21"/>
              </w:rPr>
              <w:t>9</w:t>
            </w:r>
          </w:p>
        </w:tc>
        <w:tc>
          <w:tcPr>
            <w:tcW w:w="1304" w:type="dxa"/>
            <w:tcBorders>
              <w:tl2br w:val="nil"/>
              <w:tr2bl w:val="nil"/>
            </w:tcBorders>
            <w:vAlign w:val="center"/>
          </w:tcPr>
          <w:p>
            <w:pPr>
              <w:jc w:val="left"/>
              <w:rPr>
                <w:rFonts w:eastAsia="黑体"/>
                <w:szCs w:val="21"/>
              </w:rPr>
            </w:pPr>
            <w:r>
              <w:rPr>
                <w:rFonts w:eastAsia="黑体"/>
                <w:szCs w:val="21"/>
              </w:rPr>
              <w:t>38</w:t>
            </w:r>
          </w:p>
        </w:tc>
        <w:tc>
          <w:tcPr>
            <w:tcW w:w="1304" w:type="dxa"/>
            <w:tcBorders>
              <w:tl2br w:val="nil"/>
              <w:tr2bl w:val="nil"/>
            </w:tcBorders>
            <w:vAlign w:val="center"/>
          </w:tcPr>
          <w:p>
            <w:pPr>
              <w:jc w:val="left"/>
              <w:rPr>
                <w:rFonts w:eastAsia="黑体"/>
                <w:szCs w:val="21"/>
              </w:rPr>
            </w:pPr>
            <w:r>
              <w:rPr>
                <w:rFonts w:eastAsia="黑体"/>
                <w:szCs w:val="21"/>
              </w:rPr>
              <w:t>87</w:t>
            </w:r>
          </w:p>
        </w:tc>
        <w:tc>
          <w:tcPr>
            <w:tcW w:w="1304" w:type="dxa"/>
            <w:tcBorders>
              <w:tl2br w:val="nil"/>
              <w:tr2bl w:val="nil"/>
            </w:tcBorders>
            <w:vAlign w:val="center"/>
          </w:tcPr>
          <w:p>
            <w:pPr>
              <w:jc w:val="left"/>
              <w:rPr>
                <w:rFonts w:eastAsia="黑体"/>
                <w:szCs w:val="21"/>
              </w:rPr>
            </w:pPr>
            <w:r>
              <w:rPr>
                <w:rFonts w:eastAsia="黑体"/>
                <w:szCs w:val="21"/>
              </w:rPr>
              <w:t>46</w:t>
            </w:r>
          </w:p>
        </w:tc>
        <w:tc>
          <w:tcPr>
            <w:tcW w:w="1304" w:type="dxa"/>
            <w:tcBorders>
              <w:tl2br w:val="nil"/>
              <w:tr2bl w:val="nil"/>
            </w:tcBorders>
            <w:vAlign w:val="center"/>
          </w:tcPr>
          <w:p>
            <w:pPr>
              <w:jc w:val="left"/>
              <w:rPr>
                <w:rFonts w:eastAsia="黑体"/>
                <w:szCs w:val="21"/>
              </w:rPr>
            </w:pPr>
            <w:r>
              <w:rPr>
                <w:rFonts w:eastAsia="黑体"/>
                <w:szCs w:val="21"/>
              </w:rPr>
              <w:t>1.3</w:t>
            </w:r>
          </w:p>
        </w:tc>
      </w:tr>
    </w:tbl>
    <w:p>
      <w:pPr>
        <w:pStyle w:val="2"/>
        <w:ind w:firstLine="560" w:firstLineChars="200"/>
        <w:rPr>
          <w:rFonts w:ascii="Times New Roman" w:hAnsi="Times New Roman"/>
          <w:sz w:val="28"/>
          <w:szCs w:val="28"/>
          <w:lang w:val="en-US"/>
        </w:rPr>
      </w:pPr>
      <w:r>
        <w:rPr>
          <w:rFonts w:ascii="Times New Roman" w:hAnsi="Times New Roman"/>
          <w:sz w:val="28"/>
          <w:szCs w:val="28"/>
          <w:lang w:val="en-US"/>
        </w:rPr>
        <w:t>2020年市下达徐水区空气质量目标是：PM2.5平均浓度为63μg/m</w:t>
      </w:r>
      <w:r>
        <w:rPr>
          <w:rFonts w:ascii="Times New Roman" w:hAnsi="Times New Roman"/>
          <w:sz w:val="28"/>
          <w:szCs w:val="28"/>
          <w:vertAlign w:val="superscript"/>
          <w:lang w:val="en-US"/>
        </w:rPr>
        <w:t>3</w:t>
      </w:r>
      <w:r>
        <w:rPr>
          <w:rFonts w:ascii="Times New Roman" w:hAnsi="Times New Roman"/>
          <w:sz w:val="28"/>
          <w:szCs w:val="28"/>
          <w:lang w:val="en-US"/>
        </w:rPr>
        <w:t>；2021年市下达徐水区空气质量目标是：PM2.5平均浓度为57μg/m</w:t>
      </w:r>
      <w:r>
        <w:rPr>
          <w:rFonts w:ascii="Times New Roman" w:hAnsi="Times New Roman"/>
          <w:sz w:val="28"/>
          <w:szCs w:val="28"/>
          <w:vertAlign w:val="superscript"/>
          <w:lang w:val="en-US"/>
        </w:rPr>
        <w:t>3</w:t>
      </w:r>
      <w:r>
        <w:rPr>
          <w:rFonts w:ascii="Times New Roman" w:hAnsi="Times New Roman"/>
          <w:sz w:val="28"/>
          <w:szCs w:val="28"/>
          <w:lang w:val="en-US"/>
        </w:rPr>
        <w:t>。较2020年下降7%以上，优良天数为223天，同比增加11天，优良天数占比61.1%。</w:t>
      </w:r>
      <w:r>
        <w:rPr>
          <w:rFonts w:hint="eastAsia" w:ascii="Times New Roman" w:hAnsi="Times New Roman"/>
          <w:sz w:val="28"/>
          <w:szCs w:val="28"/>
          <w:lang w:val="en-US" w:eastAsia="zh-CN"/>
        </w:rPr>
        <w:t>截至</w:t>
      </w:r>
      <w:r>
        <w:rPr>
          <w:rFonts w:ascii="Times New Roman" w:hAnsi="Times New Roman"/>
          <w:sz w:val="28"/>
          <w:szCs w:val="28"/>
          <w:lang w:val="en-US"/>
        </w:rPr>
        <w:t>12月31日徐水区空气综合指数为5.03，PM2.5平均浓度为46μg/m</w:t>
      </w:r>
      <w:r>
        <w:rPr>
          <w:rFonts w:ascii="Times New Roman" w:hAnsi="Times New Roman"/>
          <w:sz w:val="28"/>
          <w:szCs w:val="28"/>
          <w:vertAlign w:val="superscript"/>
          <w:lang w:val="en-US"/>
        </w:rPr>
        <w:t>3</w:t>
      </w:r>
      <w:r>
        <w:rPr>
          <w:rFonts w:ascii="Times New Roman" w:hAnsi="Times New Roman"/>
          <w:sz w:val="28"/>
          <w:szCs w:val="28"/>
          <w:lang w:val="en-US"/>
        </w:rPr>
        <w:t>，同比下降24.59%，优良天数为243天，同比增加28天，比率达到66.57%。</w:t>
      </w:r>
    </w:p>
    <w:p>
      <w:pPr>
        <w:pStyle w:val="6"/>
        <w:numPr>
          <w:ilvl w:val="2"/>
          <w:numId w:val="0"/>
        </w:numPr>
        <w:spacing w:before="156" w:after="156"/>
      </w:pPr>
      <w:bookmarkStart w:id="197" w:name="_Toc28668"/>
      <w:bookmarkStart w:id="198" w:name="_Toc20404"/>
      <w:bookmarkStart w:id="199" w:name="_Toc30847"/>
      <w:bookmarkStart w:id="200" w:name="_Toc4946"/>
      <w:r>
        <w:t>2.3.2地表水环境状况</w:t>
      </w:r>
      <w:bookmarkEnd w:id="197"/>
      <w:bookmarkEnd w:id="198"/>
      <w:bookmarkEnd w:id="199"/>
      <w:bookmarkEnd w:id="200"/>
    </w:p>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徐水区各断面地表水断面水质状况评价结果见表2.3-2。</w:t>
      </w:r>
    </w:p>
    <w:p>
      <w:pPr>
        <w:spacing w:line="360" w:lineRule="auto"/>
        <w:jc w:val="center"/>
        <w:rPr>
          <w:rFonts w:eastAsia="黑体"/>
          <w:b/>
          <w:bCs/>
          <w:szCs w:val="21"/>
        </w:rPr>
      </w:pPr>
      <w:r>
        <w:rPr>
          <w:rFonts w:eastAsia="黑体"/>
          <w:b/>
          <w:bCs/>
          <w:szCs w:val="21"/>
        </w:rPr>
        <w:t>表2.3-2  断面水质状况评价结果  单位：mg/L（pH除外）</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1236"/>
        <w:gridCol w:w="1595"/>
        <w:gridCol w:w="1363"/>
        <w:gridCol w:w="1287"/>
        <w:gridCol w:w="1488"/>
        <w:gridCol w:w="140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exact"/>
          <w:jc w:val="center"/>
        </w:trPr>
        <w:tc>
          <w:tcPr>
            <w:tcW w:w="1236" w:type="dxa"/>
            <w:vMerge w:val="restart"/>
            <w:tcBorders>
              <w:tl2br w:val="nil"/>
              <w:tr2bl w:val="nil"/>
            </w:tcBorders>
            <w:vAlign w:val="center"/>
          </w:tcPr>
          <w:p>
            <w:pPr>
              <w:jc w:val="center"/>
              <w:rPr>
                <w:rFonts w:eastAsia="黑体"/>
                <w:b/>
                <w:bCs/>
                <w:szCs w:val="21"/>
              </w:rPr>
            </w:pPr>
            <w:r>
              <w:rPr>
                <w:rFonts w:eastAsia="黑体"/>
                <w:b/>
                <w:bCs/>
                <w:szCs w:val="21"/>
              </w:rPr>
              <w:t>河流名称</w:t>
            </w:r>
          </w:p>
        </w:tc>
        <w:tc>
          <w:tcPr>
            <w:tcW w:w="1595" w:type="dxa"/>
            <w:vMerge w:val="restart"/>
            <w:tcBorders>
              <w:tl2br w:val="nil"/>
              <w:tr2bl w:val="nil"/>
            </w:tcBorders>
            <w:vAlign w:val="center"/>
          </w:tcPr>
          <w:p>
            <w:pPr>
              <w:jc w:val="center"/>
              <w:rPr>
                <w:rFonts w:eastAsia="黑体"/>
                <w:b/>
                <w:bCs/>
                <w:szCs w:val="21"/>
              </w:rPr>
            </w:pPr>
            <w:r>
              <w:rPr>
                <w:rFonts w:eastAsia="黑体"/>
                <w:b/>
                <w:bCs/>
                <w:szCs w:val="21"/>
              </w:rPr>
              <w:t>断面名称</w:t>
            </w:r>
          </w:p>
        </w:tc>
        <w:tc>
          <w:tcPr>
            <w:tcW w:w="2650" w:type="dxa"/>
            <w:gridSpan w:val="2"/>
            <w:tcBorders>
              <w:tl2br w:val="nil"/>
              <w:tr2bl w:val="nil"/>
            </w:tcBorders>
            <w:vAlign w:val="center"/>
          </w:tcPr>
          <w:p>
            <w:pPr>
              <w:jc w:val="center"/>
              <w:rPr>
                <w:rFonts w:eastAsia="黑体"/>
                <w:b/>
                <w:bCs/>
                <w:szCs w:val="21"/>
              </w:rPr>
            </w:pPr>
            <w:r>
              <w:rPr>
                <w:rFonts w:eastAsia="黑体"/>
                <w:b/>
                <w:bCs/>
                <w:szCs w:val="21"/>
              </w:rPr>
              <w:t>2021年</w:t>
            </w:r>
          </w:p>
        </w:tc>
        <w:tc>
          <w:tcPr>
            <w:tcW w:w="2891" w:type="dxa"/>
            <w:gridSpan w:val="2"/>
            <w:tcBorders>
              <w:tl2br w:val="nil"/>
              <w:tr2bl w:val="nil"/>
            </w:tcBorders>
            <w:vAlign w:val="center"/>
          </w:tcPr>
          <w:p>
            <w:pPr>
              <w:jc w:val="center"/>
              <w:rPr>
                <w:rFonts w:eastAsia="黑体"/>
                <w:b/>
                <w:bCs/>
                <w:szCs w:val="21"/>
              </w:rPr>
            </w:pPr>
            <w:r>
              <w:rPr>
                <w:rFonts w:eastAsia="黑体"/>
                <w:b/>
                <w:bCs/>
                <w:szCs w:val="21"/>
              </w:rPr>
              <w:t>2020年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exact"/>
          <w:jc w:val="center"/>
        </w:trPr>
        <w:tc>
          <w:tcPr>
            <w:tcW w:w="1236" w:type="dxa"/>
            <w:vMerge w:val="continue"/>
            <w:tcBorders>
              <w:tl2br w:val="nil"/>
              <w:tr2bl w:val="nil"/>
            </w:tcBorders>
            <w:vAlign w:val="center"/>
          </w:tcPr>
          <w:p>
            <w:pPr>
              <w:jc w:val="center"/>
              <w:rPr>
                <w:rFonts w:eastAsia="黑体"/>
                <w:b/>
                <w:bCs/>
                <w:szCs w:val="21"/>
              </w:rPr>
            </w:pPr>
          </w:p>
        </w:tc>
        <w:tc>
          <w:tcPr>
            <w:tcW w:w="1595" w:type="dxa"/>
            <w:vMerge w:val="continue"/>
            <w:tcBorders>
              <w:tl2br w:val="nil"/>
              <w:tr2bl w:val="nil"/>
            </w:tcBorders>
            <w:vAlign w:val="center"/>
          </w:tcPr>
          <w:p>
            <w:pPr>
              <w:jc w:val="center"/>
              <w:rPr>
                <w:rFonts w:eastAsia="黑体"/>
                <w:b/>
                <w:bCs/>
                <w:szCs w:val="21"/>
              </w:rPr>
            </w:pPr>
          </w:p>
        </w:tc>
        <w:tc>
          <w:tcPr>
            <w:tcW w:w="1363" w:type="dxa"/>
            <w:tcBorders>
              <w:tl2br w:val="nil"/>
              <w:tr2bl w:val="nil"/>
            </w:tcBorders>
            <w:vAlign w:val="center"/>
          </w:tcPr>
          <w:p>
            <w:pPr>
              <w:jc w:val="center"/>
              <w:rPr>
                <w:rFonts w:eastAsia="黑体"/>
                <w:b/>
                <w:bCs/>
                <w:szCs w:val="21"/>
              </w:rPr>
            </w:pPr>
            <w:r>
              <w:rPr>
                <w:rFonts w:eastAsia="黑体"/>
                <w:b/>
                <w:bCs/>
                <w:szCs w:val="21"/>
              </w:rPr>
              <w:t>水质类别</w:t>
            </w:r>
          </w:p>
        </w:tc>
        <w:tc>
          <w:tcPr>
            <w:tcW w:w="1287" w:type="dxa"/>
            <w:tcBorders>
              <w:tl2br w:val="nil"/>
              <w:tr2bl w:val="nil"/>
            </w:tcBorders>
            <w:vAlign w:val="center"/>
          </w:tcPr>
          <w:p>
            <w:pPr>
              <w:jc w:val="center"/>
              <w:rPr>
                <w:rFonts w:eastAsia="黑体"/>
                <w:b/>
                <w:bCs/>
                <w:szCs w:val="21"/>
              </w:rPr>
            </w:pPr>
            <w:r>
              <w:rPr>
                <w:rFonts w:eastAsia="黑体"/>
                <w:b/>
                <w:bCs/>
                <w:szCs w:val="21"/>
              </w:rPr>
              <w:t>水质状况</w:t>
            </w:r>
          </w:p>
        </w:tc>
        <w:tc>
          <w:tcPr>
            <w:tcW w:w="1488" w:type="dxa"/>
            <w:tcBorders>
              <w:tl2br w:val="nil"/>
              <w:tr2bl w:val="nil"/>
            </w:tcBorders>
            <w:vAlign w:val="center"/>
          </w:tcPr>
          <w:p>
            <w:pPr>
              <w:jc w:val="center"/>
              <w:rPr>
                <w:rFonts w:eastAsia="黑体"/>
                <w:b/>
                <w:bCs/>
                <w:szCs w:val="21"/>
              </w:rPr>
            </w:pPr>
            <w:r>
              <w:rPr>
                <w:rFonts w:eastAsia="黑体"/>
                <w:b/>
                <w:bCs/>
                <w:szCs w:val="21"/>
              </w:rPr>
              <w:t>水质类别</w:t>
            </w:r>
          </w:p>
        </w:tc>
        <w:tc>
          <w:tcPr>
            <w:tcW w:w="1403" w:type="dxa"/>
            <w:tcBorders>
              <w:tl2br w:val="nil"/>
              <w:tr2bl w:val="nil"/>
            </w:tcBorders>
            <w:vAlign w:val="center"/>
          </w:tcPr>
          <w:p>
            <w:pPr>
              <w:jc w:val="center"/>
              <w:rPr>
                <w:rFonts w:eastAsia="黑体"/>
                <w:b/>
                <w:bCs/>
                <w:szCs w:val="21"/>
              </w:rPr>
            </w:pPr>
            <w:r>
              <w:rPr>
                <w:rFonts w:eastAsia="黑体"/>
                <w:b/>
                <w:bCs/>
                <w:szCs w:val="21"/>
              </w:rPr>
              <w:t>水质状况</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36" w:type="dxa"/>
            <w:vMerge w:val="restart"/>
            <w:tcBorders>
              <w:tl2br w:val="nil"/>
              <w:tr2bl w:val="nil"/>
            </w:tcBorders>
            <w:vAlign w:val="center"/>
          </w:tcPr>
          <w:p>
            <w:pPr>
              <w:jc w:val="center"/>
              <w:rPr>
                <w:rFonts w:eastAsia="黑体"/>
                <w:szCs w:val="21"/>
              </w:rPr>
            </w:pPr>
            <w:r>
              <w:rPr>
                <w:rFonts w:eastAsia="黑体"/>
                <w:szCs w:val="21"/>
              </w:rPr>
              <w:t>瀑河</w:t>
            </w:r>
          </w:p>
        </w:tc>
        <w:tc>
          <w:tcPr>
            <w:tcW w:w="1595" w:type="dxa"/>
            <w:tcBorders>
              <w:tl2br w:val="nil"/>
              <w:tr2bl w:val="nil"/>
            </w:tcBorders>
            <w:vAlign w:val="center"/>
          </w:tcPr>
          <w:p>
            <w:pPr>
              <w:jc w:val="center"/>
              <w:rPr>
                <w:rFonts w:eastAsia="黑体"/>
                <w:szCs w:val="21"/>
              </w:rPr>
            </w:pPr>
            <w:r>
              <w:rPr>
                <w:rFonts w:eastAsia="黑体"/>
                <w:szCs w:val="21"/>
              </w:rPr>
              <w:t>屯里断面</w:t>
            </w:r>
          </w:p>
        </w:tc>
        <w:tc>
          <w:tcPr>
            <w:tcW w:w="1363" w:type="dxa"/>
            <w:tcBorders>
              <w:tl2br w:val="nil"/>
              <w:tr2bl w:val="nil"/>
            </w:tcBorders>
            <w:vAlign w:val="center"/>
          </w:tcPr>
          <w:p>
            <w:pPr>
              <w:jc w:val="center"/>
              <w:rPr>
                <w:rFonts w:eastAsia="黑体"/>
                <w:szCs w:val="21"/>
              </w:rPr>
            </w:pPr>
            <w:r>
              <w:rPr>
                <w:rFonts w:eastAsia="黑体"/>
                <w:szCs w:val="21"/>
              </w:rPr>
              <w:t>Ⅱ类</w:t>
            </w:r>
          </w:p>
        </w:tc>
        <w:tc>
          <w:tcPr>
            <w:tcW w:w="1287" w:type="dxa"/>
            <w:tcBorders>
              <w:tl2br w:val="nil"/>
              <w:tr2bl w:val="nil"/>
            </w:tcBorders>
            <w:vAlign w:val="center"/>
          </w:tcPr>
          <w:p>
            <w:pPr>
              <w:jc w:val="center"/>
              <w:rPr>
                <w:rFonts w:eastAsia="黑体"/>
                <w:szCs w:val="21"/>
              </w:rPr>
            </w:pPr>
            <w:r>
              <w:rPr>
                <w:rFonts w:eastAsia="黑体"/>
                <w:szCs w:val="21"/>
              </w:rPr>
              <w:t>优</w:t>
            </w:r>
          </w:p>
        </w:tc>
        <w:tc>
          <w:tcPr>
            <w:tcW w:w="1488" w:type="dxa"/>
            <w:tcBorders>
              <w:tl2br w:val="nil"/>
              <w:tr2bl w:val="nil"/>
            </w:tcBorders>
            <w:vAlign w:val="center"/>
          </w:tcPr>
          <w:p>
            <w:pPr>
              <w:jc w:val="center"/>
              <w:rPr>
                <w:rFonts w:eastAsia="黑体"/>
                <w:szCs w:val="21"/>
              </w:rPr>
            </w:pPr>
            <w:r>
              <w:rPr>
                <w:rFonts w:eastAsia="黑体"/>
                <w:szCs w:val="21"/>
              </w:rPr>
              <w:t>Ⅱ类</w:t>
            </w:r>
          </w:p>
        </w:tc>
        <w:tc>
          <w:tcPr>
            <w:tcW w:w="1403" w:type="dxa"/>
            <w:tcBorders>
              <w:tl2br w:val="nil"/>
              <w:tr2bl w:val="nil"/>
            </w:tcBorders>
            <w:vAlign w:val="center"/>
          </w:tcPr>
          <w:p>
            <w:pPr>
              <w:jc w:val="center"/>
              <w:rPr>
                <w:rFonts w:eastAsia="黑体"/>
                <w:szCs w:val="21"/>
              </w:rPr>
            </w:pPr>
            <w:r>
              <w:rPr>
                <w:rFonts w:eastAsia="黑体"/>
                <w:szCs w:val="21"/>
              </w:rPr>
              <w:t>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36" w:type="dxa"/>
            <w:vMerge w:val="continue"/>
            <w:tcBorders>
              <w:tl2br w:val="nil"/>
              <w:tr2bl w:val="nil"/>
            </w:tcBorders>
            <w:vAlign w:val="center"/>
          </w:tcPr>
          <w:p>
            <w:pPr>
              <w:jc w:val="center"/>
              <w:rPr>
                <w:rFonts w:eastAsia="黑体"/>
                <w:szCs w:val="21"/>
              </w:rPr>
            </w:pPr>
          </w:p>
        </w:tc>
        <w:tc>
          <w:tcPr>
            <w:tcW w:w="1595" w:type="dxa"/>
            <w:tcBorders>
              <w:tl2br w:val="nil"/>
              <w:tr2bl w:val="nil"/>
            </w:tcBorders>
            <w:vAlign w:val="center"/>
          </w:tcPr>
          <w:p>
            <w:pPr>
              <w:jc w:val="center"/>
              <w:rPr>
                <w:rFonts w:eastAsia="黑体"/>
                <w:szCs w:val="21"/>
              </w:rPr>
            </w:pPr>
            <w:r>
              <w:rPr>
                <w:rFonts w:eastAsia="黑体"/>
                <w:szCs w:val="21"/>
              </w:rPr>
              <w:t>任庄断面</w:t>
            </w:r>
          </w:p>
        </w:tc>
        <w:tc>
          <w:tcPr>
            <w:tcW w:w="1363" w:type="dxa"/>
            <w:tcBorders>
              <w:tl2br w:val="nil"/>
              <w:tr2bl w:val="nil"/>
            </w:tcBorders>
            <w:vAlign w:val="center"/>
          </w:tcPr>
          <w:p>
            <w:pPr>
              <w:jc w:val="center"/>
              <w:rPr>
                <w:rFonts w:eastAsia="黑体"/>
                <w:szCs w:val="21"/>
              </w:rPr>
            </w:pPr>
            <w:r>
              <w:rPr>
                <w:rFonts w:eastAsia="黑体"/>
                <w:szCs w:val="21"/>
              </w:rPr>
              <w:t>Ⅱ类</w:t>
            </w:r>
          </w:p>
        </w:tc>
        <w:tc>
          <w:tcPr>
            <w:tcW w:w="1287" w:type="dxa"/>
            <w:tcBorders>
              <w:tl2br w:val="nil"/>
              <w:tr2bl w:val="nil"/>
            </w:tcBorders>
            <w:vAlign w:val="center"/>
          </w:tcPr>
          <w:p>
            <w:pPr>
              <w:jc w:val="center"/>
              <w:rPr>
                <w:rFonts w:eastAsia="黑体"/>
                <w:szCs w:val="21"/>
              </w:rPr>
            </w:pPr>
            <w:r>
              <w:rPr>
                <w:rFonts w:eastAsia="黑体"/>
                <w:szCs w:val="21"/>
              </w:rPr>
              <w:t>优</w:t>
            </w:r>
          </w:p>
        </w:tc>
        <w:tc>
          <w:tcPr>
            <w:tcW w:w="1488" w:type="dxa"/>
            <w:tcBorders>
              <w:tl2br w:val="nil"/>
              <w:tr2bl w:val="nil"/>
            </w:tcBorders>
            <w:vAlign w:val="center"/>
          </w:tcPr>
          <w:p>
            <w:pPr>
              <w:jc w:val="center"/>
              <w:rPr>
                <w:rFonts w:eastAsia="黑体"/>
                <w:szCs w:val="21"/>
              </w:rPr>
            </w:pPr>
            <w:r>
              <w:rPr>
                <w:rFonts w:eastAsia="黑体"/>
                <w:szCs w:val="21"/>
              </w:rPr>
              <w:t>Ⅲ类</w:t>
            </w:r>
          </w:p>
        </w:tc>
        <w:tc>
          <w:tcPr>
            <w:tcW w:w="1403" w:type="dxa"/>
            <w:tcBorders>
              <w:tl2br w:val="nil"/>
              <w:tr2bl w:val="nil"/>
            </w:tcBorders>
            <w:vAlign w:val="center"/>
          </w:tcPr>
          <w:p>
            <w:pPr>
              <w:jc w:val="center"/>
              <w:rPr>
                <w:rFonts w:eastAsia="黑体"/>
                <w:szCs w:val="21"/>
              </w:rPr>
            </w:pPr>
            <w:r>
              <w:rPr>
                <w:rFonts w:eastAsia="黑体"/>
                <w:szCs w:val="21"/>
              </w:rPr>
              <w:t>良好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36" w:type="dxa"/>
            <w:vMerge w:val="continue"/>
            <w:tcBorders>
              <w:tl2br w:val="nil"/>
              <w:tr2bl w:val="nil"/>
            </w:tcBorders>
            <w:vAlign w:val="center"/>
          </w:tcPr>
          <w:p>
            <w:pPr>
              <w:jc w:val="center"/>
              <w:rPr>
                <w:rFonts w:eastAsia="黑体"/>
                <w:szCs w:val="21"/>
              </w:rPr>
            </w:pPr>
          </w:p>
        </w:tc>
        <w:tc>
          <w:tcPr>
            <w:tcW w:w="1595" w:type="dxa"/>
            <w:tcBorders>
              <w:tl2br w:val="nil"/>
              <w:tr2bl w:val="nil"/>
            </w:tcBorders>
            <w:vAlign w:val="center"/>
          </w:tcPr>
          <w:p>
            <w:pPr>
              <w:jc w:val="center"/>
              <w:rPr>
                <w:rFonts w:eastAsia="黑体"/>
                <w:szCs w:val="21"/>
              </w:rPr>
            </w:pPr>
            <w:r>
              <w:rPr>
                <w:rFonts w:eastAsia="黑体"/>
                <w:szCs w:val="21"/>
              </w:rPr>
              <w:t>瀑河水库库区</w:t>
            </w:r>
          </w:p>
        </w:tc>
        <w:tc>
          <w:tcPr>
            <w:tcW w:w="1363" w:type="dxa"/>
            <w:tcBorders>
              <w:tl2br w:val="nil"/>
              <w:tr2bl w:val="nil"/>
            </w:tcBorders>
            <w:vAlign w:val="center"/>
          </w:tcPr>
          <w:p>
            <w:pPr>
              <w:jc w:val="center"/>
              <w:rPr>
                <w:rFonts w:eastAsia="黑体"/>
                <w:szCs w:val="21"/>
              </w:rPr>
            </w:pPr>
            <w:r>
              <w:rPr>
                <w:rFonts w:eastAsia="黑体"/>
                <w:szCs w:val="21"/>
              </w:rPr>
              <w:t>Ⅱ类</w:t>
            </w:r>
          </w:p>
        </w:tc>
        <w:tc>
          <w:tcPr>
            <w:tcW w:w="1287" w:type="dxa"/>
            <w:tcBorders>
              <w:tl2br w:val="nil"/>
              <w:tr2bl w:val="nil"/>
            </w:tcBorders>
            <w:vAlign w:val="center"/>
          </w:tcPr>
          <w:p>
            <w:pPr>
              <w:jc w:val="center"/>
              <w:rPr>
                <w:rFonts w:eastAsia="黑体"/>
                <w:szCs w:val="21"/>
              </w:rPr>
            </w:pPr>
            <w:r>
              <w:rPr>
                <w:rFonts w:eastAsia="黑体"/>
                <w:szCs w:val="21"/>
              </w:rPr>
              <w:t>优</w:t>
            </w:r>
          </w:p>
        </w:tc>
        <w:tc>
          <w:tcPr>
            <w:tcW w:w="1488" w:type="dxa"/>
            <w:tcBorders>
              <w:tl2br w:val="nil"/>
              <w:tr2bl w:val="nil"/>
            </w:tcBorders>
            <w:vAlign w:val="center"/>
          </w:tcPr>
          <w:p>
            <w:pPr>
              <w:jc w:val="center"/>
              <w:rPr>
                <w:rFonts w:eastAsia="黑体"/>
                <w:szCs w:val="21"/>
              </w:rPr>
            </w:pPr>
            <w:r>
              <w:rPr>
                <w:rFonts w:eastAsia="黑体"/>
                <w:szCs w:val="21"/>
              </w:rPr>
              <w:t>Ⅱ类</w:t>
            </w:r>
          </w:p>
        </w:tc>
        <w:tc>
          <w:tcPr>
            <w:tcW w:w="1403" w:type="dxa"/>
            <w:tcBorders>
              <w:tl2br w:val="nil"/>
              <w:tr2bl w:val="nil"/>
            </w:tcBorders>
            <w:vAlign w:val="center"/>
          </w:tcPr>
          <w:p>
            <w:pPr>
              <w:jc w:val="center"/>
              <w:rPr>
                <w:rFonts w:eastAsia="黑体"/>
                <w:szCs w:val="21"/>
              </w:rPr>
            </w:pPr>
            <w:r>
              <w:rPr>
                <w:rFonts w:eastAsia="黑体"/>
                <w:szCs w:val="21"/>
              </w:rPr>
              <w:t>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exact"/>
          <w:jc w:val="center"/>
        </w:trPr>
        <w:tc>
          <w:tcPr>
            <w:tcW w:w="1236" w:type="dxa"/>
            <w:vMerge w:val="continue"/>
            <w:tcBorders>
              <w:tl2br w:val="nil"/>
              <w:tr2bl w:val="nil"/>
            </w:tcBorders>
            <w:vAlign w:val="center"/>
          </w:tcPr>
          <w:p>
            <w:pPr>
              <w:jc w:val="center"/>
              <w:rPr>
                <w:rFonts w:eastAsia="黑体"/>
                <w:szCs w:val="21"/>
              </w:rPr>
            </w:pPr>
          </w:p>
        </w:tc>
        <w:tc>
          <w:tcPr>
            <w:tcW w:w="1595" w:type="dxa"/>
            <w:tcBorders>
              <w:tl2br w:val="nil"/>
              <w:tr2bl w:val="nil"/>
            </w:tcBorders>
            <w:vAlign w:val="center"/>
          </w:tcPr>
          <w:p>
            <w:pPr>
              <w:jc w:val="center"/>
              <w:rPr>
                <w:rFonts w:eastAsia="黑体"/>
                <w:szCs w:val="21"/>
              </w:rPr>
            </w:pPr>
            <w:r>
              <w:rPr>
                <w:rFonts w:eastAsia="黑体"/>
                <w:szCs w:val="21"/>
              </w:rPr>
              <w:t>贺寿营北桥</w:t>
            </w:r>
          </w:p>
        </w:tc>
        <w:tc>
          <w:tcPr>
            <w:tcW w:w="1363" w:type="dxa"/>
            <w:tcBorders>
              <w:tl2br w:val="nil"/>
              <w:tr2bl w:val="nil"/>
            </w:tcBorders>
            <w:vAlign w:val="center"/>
          </w:tcPr>
          <w:p>
            <w:pPr>
              <w:jc w:val="center"/>
              <w:rPr>
                <w:rFonts w:eastAsia="黑体"/>
                <w:szCs w:val="21"/>
              </w:rPr>
            </w:pPr>
            <w:r>
              <w:rPr>
                <w:rFonts w:eastAsia="黑体"/>
                <w:szCs w:val="21"/>
              </w:rPr>
              <w:t>Ⅱ类</w:t>
            </w:r>
          </w:p>
        </w:tc>
        <w:tc>
          <w:tcPr>
            <w:tcW w:w="1287" w:type="dxa"/>
            <w:tcBorders>
              <w:tl2br w:val="nil"/>
              <w:tr2bl w:val="nil"/>
            </w:tcBorders>
            <w:vAlign w:val="center"/>
          </w:tcPr>
          <w:p>
            <w:pPr>
              <w:jc w:val="center"/>
              <w:rPr>
                <w:rFonts w:eastAsia="黑体"/>
                <w:szCs w:val="21"/>
              </w:rPr>
            </w:pPr>
            <w:r>
              <w:rPr>
                <w:rFonts w:eastAsia="黑体"/>
                <w:szCs w:val="21"/>
              </w:rPr>
              <w:t>优</w:t>
            </w:r>
          </w:p>
        </w:tc>
        <w:tc>
          <w:tcPr>
            <w:tcW w:w="1488" w:type="dxa"/>
            <w:tcBorders>
              <w:tl2br w:val="nil"/>
              <w:tr2bl w:val="nil"/>
            </w:tcBorders>
            <w:vAlign w:val="center"/>
          </w:tcPr>
          <w:p>
            <w:pPr>
              <w:jc w:val="center"/>
              <w:rPr>
                <w:rFonts w:eastAsia="黑体"/>
                <w:szCs w:val="21"/>
              </w:rPr>
            </w:pPr>
            <w:r>
              <w:rPr>
                <w:rFonts w:eastAsia="黑体"/>
                <w:szCs w:val="21"/>
              </w:rPr>
              <w:t>Ⅲ类</w:t>
            </w:r>
          </w:p>
        </w:tc>
        <w:tc>
          <w:tcPr>
            <w:tcW w:w="1403" w:type="dxa"/>
            <w:tcBorders>
              <w:tl2br w:val="nil"/>
              <w:tr2bl w:val="nil"/>
            </w:tcBorders>
            <w:vAlign w:val="center"/>
          </w:tcPr>
          <w:p>
            <w:pPr>
              <w:jc w:val="center"/>
              <w:rPr>
                <w:rFonts w:eastAsia="黑体"/>
                <w:szCs w:val="21"/>
              </w:rPr>
            </w:pPr>
            <w:r>
              <w:rPr>
                <w:rFonts w:eastAsia="黑体"/>
                <w:szCs w:val="21"/>
              </w:rPr>
              <w:t>良好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680" w:hRule="exact"/>
          <w:jc w:val="center"/>
        </w:trPr>
        <w:tc>
          <w:tcPr>
            <w:tcW w:w="1236" w:type="dxa"/>
            <w:vMerge w:val="continue"/>
            <w:tcBorders>
              <w:tl2br w:val="nil"/>
              <w:tr2bl w:val="nil"/>
            </w:tcBorders>
            <w:vAlign w:val="center"/>
          </w:tcPr>
          <w:p>
            <w:pPr>
              <w:jc w:val="center"/>
              <w:rPr>
                <w:rFonts w:eastAsia="黑体"/>
                <w:szCs w:val="21"/>
              </w:rPr>
            </w:pPr>
          </w:p>
        </w:tc>
        <w:tc>
          <w:tcPr>
            <w:tcW w:w="1595" w:type="dxa"/>
            <w:tcBorders>
              <w:tl2br w:val="nil"/>
              <w:tr2bl w:val="nil"/>
            </w:tcBorders>
            <w:vAlign w:val="center"/>
          </w:tcPr>
          <w:p>
            <w:pPr>
              <w:jc w:val="center"/>
              <w:rPr>
                <w:rFonts w:eastAsia="黑体"/>
                <w:szCs w:val="21"/>
              </w:rPr>
            </w:pPr>
            <w:r>
              <w:rPr>
                <w:rFonts w:eastAsia="黑体"/>
                <w:szCs w:val="21"/>
              </w:rPr>
              <w:t>瀑河屯里水库</w:t>
            </w:r>
          </w:p>
          <w:p>
            <w:pPr>
              <w:jc w:val="center"/>
              <w:rPr>
                <w:rFonts w:eastAsia="黑体"/>
                <w:szCs w:val="21"/>
              </w:rPr>
            </w:pPr>
            <w:r>
              <w:rPr>
                <w:rFonts w:eastAsia="黑体"/>
                <w:szCs w:val="21"/>
              </w:rPr>
              <w:t>/入库口</w:t>
            </w:r>
          </w:p>
        </w:tc>
        <w:tc>
          <w:tcPr>
            <w:tcW w:w="1363" w:type="dxa"/>
            <w:tcBorders>
              <w:tl2br w:val="nil"/>
              <w:tr2bl w:val="nil"/>
            </w:tcBorders>
            <w:vAlign w:val="center"/>
          </w:tcPr>
          <w:p>
            <w:pPr>
              <w:jc w:val="center"/>
              <w:rPr>
                <w:rFonts w:eastAsia="黑体"/>
                <w:szCs w:val="21"/>
              </w:rPr>
            </w:pPr>
            <w:r>
              <w:rPr>
                <w:rFonts w:eastAsia="黑体"/>
                <w:szCs w:val="21"/>
              </w:rPr>
              <w:t>Ⅲ类</w:t>
            </w:r>
          </w:p>
        </w:tc>
        <w:tc>
          <w:tcPr>
            <w:tcW w:w="1287" w:type="dxa"/>
            <w:tcBorders>
              <w:tl2br w:val="nil"/>
              <w:tr2bl w:val="nil"/>
            </w:tcBorders>
            <w:vAlign w:val="center"/>
          </w:tcPr>
          <w:p>
            <w:pPr>
              <w:jc w:val="center"/>
              <w:rPr>
                <w:rFonts w:eastAsia="黑体"/>
                <w:szCs w:val="21"/>
              </w:rPr>
            </w:pPr>
            <w:r>
              <w:rPr>
                <w:rFonts w:eastAsia="黑体"/>
                <w:szCs w:val="21"/>
              </w:rPr>
              <w:t>良好</w:t>
            </w:r>
          </w:p>
        </w:tc>
        <w:tc>
          <w:tcPr>
            <w:tcW w:w="1488" w:type="dxa"/>
            <w:tcBorders>
              <w:tl2br w:val="nil"/>
              <w:tr2bl w:val="nil"/>
            </w:tcBorders>
            <w:vAlign w:val="center"/>
          </w:tcPr>
          <w:p>
            <w:pPr>
              <w:jc w:val="center"/>
              <w:rPr>
                <w:rFonts w:eastAsia="黑体"/>
                <w:szCs w:val="21"/>
              </w:rPr>
            </w:pPr>
            <w:r>
              <w:rPr>
                <w:rFonts w:eastAsia="黑体"/>
                <w:szCs w:val="21"/>
              </w:rPr>
              <w:t>Ⅱ类</w:t>
            </w:r>
          </w:p>
        </w:tc>
        <w:tc>
          <w:tcPr>
            <w:tcW w:w="1403" w:type="dxa"/>
            <w:tcBorders>
              <w:tl2br w:val="nil"/>
              <w:tr2bl w:val="nil"/>
            </w:tcBorders>
            <w:vAlign w:val="center"/>
          </w:tcPr>
          <w:p>
            <w:pPr>
              <w:jc w:val="center"/>
              <w:rPr>
                <w:rFonts w:eastAsia="黑体"/>
                <w:szCs w:val="21"/>
              </w:rPr>
            </w:pPr>
            <w:r>
              <w:rPr>
                <w:rFonts w:eastAsia="黑体"/>
                <w:szCs w:val="21"/>
              </w:rPr>
              <w:t>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exact"/>
          <w:jc w:val="center"/>
        </w:trPr>
        <w:tc>
          <w:tcPr>
            <w:tcW w:w="1236" w:type="dxa"/>
            <w:vMerge w:val="continue"/>
            <w:tcBorders>
              <w:tl2br w:val="nil"/>
              <w:tr2bl w:val="nil"/>
            </w:tcBorders>
            <w:vAlign w:val="center"/>
          </w:tcPr>
          <w:p>
            <w:pPr>
              <w:jc w:val="center"/>
              <w:rPr>
                <w:rFonts w:eastAsia="黑体"/>
                <w:szCs w:val="21"/>
              </w:rPr>
            </w:pPr>
          </w:p>
        </w:tc>
        <w:tc>
          <w:tcPr>
            <w:tcW w:w="1595" w:type="dxa"/>
            <w:tcBorders>
              <w:tl2br w:val="nil"/>
              <w:tr2bl w:val="nil"/>
            </w:tcBorders>
            <w:vAlign w:val="center"/>
          </w:tcPr>
          <w:p>
            <w:pPr>
              <w:jc w:val="center"/>
              <w:rPr>
                <w:rFonts w:eastAsia="黑体"/>
                <w:szCs w:val="21"/>
              </w:rPr>
            </w:pPr>
            <w:r>
              <w:rPr>
                <w:rFonts w:eastAsia="黑体"/>
                <w:szCs w:val="21"/>
              </w:rPr>
              <w:t>马庄断面</w:t>
            </w:r>
          </w:p>
        </w:tc>
        <w:tc>
          <w:tcPr>
            <w:tcW w:w="1363" w:type="dxa"/>
            <w:tcBorders>
              <w:tl2br w:val="nil"/>
              <w:tr2bl w:val="nil"/>
            </w:tcBorders>
            <w:vAlign w:val="center"/>
          </w:tcPr>
          <w:p>
            <w:pPr>
              <w:jc w:val="center"/>
              <w:rPr>
                <w:rFonts w:eastAsia="黑体"/>
                <w:szCs w:val="21"/>
              </w:rPr>
            </w:pPr>
            <w:r>
              <w:rPr>
                <w:rFonts w:eastAsia="黑体"/>
                <w:szCs w:val="21"/>
              </w:rPr>
              <w:t>Ⅱ类</w:t>
            </w:r>
          </w:p>
        </w:tc>
        <w:tc>
          <w:tcPr>
            <w:tcW w:w="1287" w:type="dxa"/>
            <w:tcBorders>
              <w:tl2br w:val="nil"/>
              <w:tr2bl w:val="nil"/>
            </w:tcBorders>
            <w:vAlign w:val="center"/>
          </w:tcPr>
          <w:p>
            <w:pPr>
              <w:jc w:val="center"/>
              <w:rPr>
                <w:rFonts w:eastAsia="黑体"/>
                <w:szCs w:val="21"/>
              </w:rPr>
            </w:pPr>
            <w:r>
              <w:rPr>
                <w:rFonts w:eastAsia="黑体"/>
                <w:szCs w:val="21"/>
              </w:rPr>
              <w:t>优</w:t>
            </w:r>
          </w:p>
        </w:tc>
        <w:tc>
          <w:tcPr>
            <w:tcW w:w="1488" w:type="dxa"/>
            <w:tcBorders>
              <w:tl2br w:val="nil"/>
              <w:tr2bl w:val="nil"/>
            </w:tcBorders>
            <w:vAlign w:val="center"/>
          </w:tcPr>
          <w:p>
            <w:pPr>
              <w:jc w:val="center"/>
              <w:rPr>
                <w:rFonts w:eastAsia="黑体"/>
                <w:szCs w:val="21"/>
              </w:rPr>
            </w:pPr>
            <w:r>
              <w:rPr>
                <w:rFonts w:eastAsia="黑体"/>
                <w:szCs w:val="21"/>
              </w:rPr>
              <w:t>Ⅱ类</w:t>
            </w:r>
          </w:p>
        </w:tc>
        <w:tc>
          <w:tcPr>
            <w:tcW w:w="1403" w:type="dxa"/>
            <w:tcBorders>
              <w:tl2br w:val="nil"/>
              <w:tr2bl w:val="nil"/>
            </w:tcBorders>
            <w:vAlign w:val="center"/>
          </w:tcPr>
          <w:p>
            <w:pPr>
              <w:jc w:val="center"/>
              <w:rPr>
                <w:rFonts w:eastAsia="黑体"/>
                <w:szCs w:val="21"/>
              </w:rPr>
            </w:pPr>
            <w:r>
              <w:rPr>
                <w:rFonts w:eastAsia="黑体"/>
                <w:szCs w:val="21"/>
              </w:rPr>
              <w:t>优</w:t>
            </w:r>
          </w:p>
        </w:tc>
      </w:tr>
    </w:tbl>
    <w:p>
      <w:pPr>
        <w:pStyle w:val="2"/>
        <w:ind w:firstLine="560" w:firstLineChars="200"/>
        <w:rPr>
          <w:rFonts w:ascii="Times New Roman" w:hAnsi="Times New Roman"/>
          <w:sz w:val="28"/>
          <w:szCs w:val="28"/>
          <w:lang w:val="en-US"/>
        </w:rPr>
      </w:pPr>
      <w:r>
        <w:rPr>
          <w:rFonts w:ascii="Times New Roman" w:hAnsi="Times New Roman"/>
          <w:sz w:val="28"/>
          <w:szCs w:val="28"/>
          <w:lang w:val="en-US"/>
        </w:rPr>
        <w:t>由于徐水区的主要河流均为季节性河流，且近几年徐水区区域内干旱缺水，导致部分河流断流，无法获得检测数据。根据现有检测数据结果显示，2020年、2021年徐水区境内各断面水质状况良好或优秀，全部达到相应水质类别的要求。</w:t>
      </w:r>
    </w:p>
    <w:p>
      <w:pPr>
        <w:pStyle w:val="5"/>
        <w:spacing w:before="312" w:after="312"/>
        <w:rPr>
          <w:rFonts w:ascii="Times New Roman" w:hAnsi="Times New Roman" w:cs="Times New Roman"/>
          <w:lang w:val="en-US"/>
        </w:rPr>
      </w:pPr>
      <w:bookmarkStart w:id="201" w:name="_Toc32387"/>
      <w:r>
        <w:rPr>
          <w:rFonts w:ascii="Times New Roman" w:hAnsi="Times New Roman" w:cs="Times New Roman"/>
          <w:lang w:val="en-US"/>
        </w:rPr>
        <w:t>2.4畜禽养殖污染防治现状</w:t>
      </w:r>
      <w:bookmarkEnd w:id="201"/>
    </w:p>
    <w:p>
      <w:pPr>
        <w:pStyle w:val="6"/>
        <w:numPr>
          <w:ilvl w:val="2"/>
          <w:numId w:val="0"/>
        </w:numPr>
        <w:spacing w:before="156" w:after="156"/>
      </w:pPr>
      <w:r>
        <w:t>2.4.1调查方法</w:t>
      </w:r>
    </w:p>
    <w:p>
      <w:pPr>
        <w:pStyle w:val="2"/>
        <w:ind w:firstLine="560" w:firstLineChars="200"/>
        <w:rPr>
          <w:rFonts w:ascii="Times New Roman" w:hAnsi="Times New Roman"/>
          <w:lang w:val="en-US"/>
        </w:rPr>
      </w:pPr>
      <w:r>
        <w:rPr>
          <w:rFonts w:ascii="Times New Roman" w:hAnsi="Times New Roman"/>
          <w:sz w:val="28"/>
          <w:szCs w:val="28"/>
          <w:lang w:val="en-US"/>
        </w:rPr>
        <w:t>本规划采用资料收集与现场调研相结合的方法，多次咨询走访徐水区农业农村、环保等行政主管部门，同时分批分类发放回收调查问卷进行科学分析后制订现场调研计划，按计划多次现场调研养殖场及粪污处理相关企业，掌握第一手徐水区畜禽养殖现状及畜禽粪污处理现状资料。</w:t>
      </w:r>
    </w:p>
    <w:p>
      <w:pPr>
        <w:pStyle w:val="2"/>
        <w:ind w:firstLine="0"/>
        <w:rPr>
          <w:rFonts w:ascii="Times New Roman" w:hAnsi="Times New Roman"/>
          <w:b/>
          <w:bCs/>
          <w:sz w:val="28"/>
          <w:szCs w:val="28"/>
          <w:lang w:val="en-US"/>
        </w:rPr>
      </w:pPr>
      <w:r>
        <w:rPr>
          <w:rFonts w:ascii="Times New Roman" w:hAnsi="Times New Roman"/>
          <w:b/>
          <w:bCs/>
          <w:sz w:val="28"/>
          <w:szCs w:val="28"/>
          <w:lang w:val="en-US"/>
        </w:rPr>
        <w:t>2.4.1.1 收集资料</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本规划对以下基础资料进行了收集：各个相关类法律法规及技术规范、徐水区近期相关各类规划、徐水区行政区划、徐水区土地现状、徐水区文物保护单位名录、徐水区河流状态、徐水区环境空气质量统计数据、徐水区畜禽养殖现状及粪污处理现状、徐水区病死畜禽处理现状、徐水区重点推进项目等。</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规划编制前召开了区级畜禽养殖污染防治规划工作推进会，会议对实施保定市徐水区畜禽养殖污染防治专项规划项目推进进行安排，并与参会各部门进行信息交流并制定数据收集计划。之后联系与会部门负责人进行数据的统一收集，经统计分析后提出现场调研计划，由农业农村局和环保局牵头进行大量现场调研：了解养殖场（户）的基本养殖情况，了解养殖场（户）目前畜禽粪污处理的方法，了解养殖场（户）在养殖过程中遇到的困难，了解养殖场（户）对未来发展的计划，以期为后续科学的污染防治规划奠定坚实基础。</w:t>
      </w:r>
    </w:p>
    <w:p>
      <w:pPr>
        <w:pStyle w:val="2"/>
        <w:ind w:firstLine="0"/>
        <w:rPr>
          <w:rFonts w:ascii="Times New Roman" w:hAnsi="Times New Roman"/>
          <w:b/>
          <w:bCs/>
          <w:sz w:val="28"/>
          <w:szCs w:val="28"/>
          <w:lang w:val="en-US"/>
        </w:rPr>
      </w:pPr>
      <w:r>
        <w:rPr>
          <w:rFonts w:ascii="Times New Roman" w:hAnsi="Times New Roman"/>
          <w:b/>
          <w:bCs/>
          <w:sz w:val="28"/>
          <w:szCs w:val="28"/>
          <w:lang w:val="en-US"/>
        </w:rPr>
        <w:t>2.4.1.2 现场调查</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（1）调查范围</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根据河北省生态环境厅2021年12月27日“关于印发《河北省畜禽养殖污染防治技术指南》的通知”中对于畜禽养殖规模的分类，按照规模化养殖场、养殖专业户、养殖散户三类养殖户进行全面调查。畜禽规模口径分类详见表2.4-1。</w:t>
      </w:r>
    </w:p>
    <w:p>
      <w:pPr>
        <w:spacing w:line="360" w:lineRule="auto"/>
        <w:jc w:val="center"/>
        <w:rPr>
          <w:rFonts w:eastAsia="黑体"/>
          <w:b/>
          <w:bCs/>
          <w:szCs w:val="21"/>
        </w:rPr>
      </w:pPr>
      <w:r>
        <w:rPr>
          <w:rFonts w:eastAsia="黑体"/>
          <w:b/>
          <w:bCs/>
          <w:szCs w:val="21"/>
        </w:rPr>
        <w:t>表2.4-1  畜禽养殖规模口径</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2491"/>
        <w:gridCol w:w="2730"/>
        <w:gridCol w:w="2190"/>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99" w:type="dxa"/>
            <w:tcBorders>
              <w:tl2br w:val="nil"/>
              <w:tr2bl w:val="nil"/>
            </w:tcBorders>
            <w:vAlign w:val="center"/>
          </w:tcPr>
          <w:p>
            <w:pPr>
              <w:jc w:val="center"/>
              <w:rPr>
                <w:rFonts w:eastAsia="黑体"/>
                <w:b/>
                <w:bCs/>
                <w:szCs w:val="21"/>
              </w:rPr>
            </w:pPr>
            <w:r>
              <w:rPr>
                <w:rFonts w:eastAsia="黑体"/>
                <w:b/>
                <w:bCs/>
                <w:szCs w:val="21"/>
              </w:rPr>
              <w:t>畜  种</w:t>
            </w:r>
          </w:p>
        </w:tc>
        <w:tc>
          <w:tcPr>
            <w:tcW w:w="2491" w:type="dxa"/>
            <w:tcBorders>
              <w:tl2br w:val="nil"/>
              <w:tr2bl w:val="nil"/>
            </w:tcBorders>
            <w:vAlign w:val="center"/>
          </w:tcPr>
          <w:p>
            <w:pPr>
              <w:jc w:val="center"/>
              <w:rPr>
                <w:rFonts w:eastAsia="黑体"/>
                <w:b/>
                <w:bCs/>
                <w:szCs w:val="21"/>
              </w:rPr>
            </w:pPr>
            <w:r>
              <w:rPr>
                <w:rFonts w:eastAsia="黑体"/>
                <w:b/>
                <w:bCs/>
                <w:szCs w:val="21"/>
              </w:rPr>
              <w:t>规模化养殖场</w:t>
            </w:r>
          </w:p>
        </w:tc>
        <w:tc>
          <w:tcPr>
            <w:tcW w:w="2730" w:type="dxa"/>
            <w:tcBorders>
              <w:tl2br w:val="nil"/>
              <w:tr2bl w:val="nil"/>
            </w:tcBorders>
            <w:vAlign w:val="center"/>
          </w:tcPr>
          <w:p>
            <w:pPr>
              <w:jc w:val="center"/>
              <w:rPr>
                <w:rFonts w:eastAsia="黑体"/>
                <w:b/>
                <w:bCs/>
                <w:szCs w:val="21"/>
              </w:rPr>
            </w:pPr>
            <w:r>
              <w:rPr>
                <w:rFonts w:eastAsia="黑体"/>
                <w:b/>
                <w:bCs/>
                <w:szCs w:val="21"/>
              </w:rPr>
              <w:t>养殖专业户</w:t>
            </w:r>
          </w:p>
        </w:tc>
        <w:tc>
          <w:tcPr>
            <w:tcW w:w="2190" w:type="dxa"/>
            <w:tcBorders>
              <w:tl2br w:val="nil"/>
              <w:tr2bl w:val="nil"/>
            </w:tcBorders>
            <w:vAlign w:val="center"/>
          </w:tcPr>
          <w:p>
            <w:pPr>
              <w:jc w:val="center"/>
              <w:rPr>
                <w:rFonts w:eastAsia="黑体"/>
                <w:b/>
                <w:bCs/>
                <w:szCs w:val="21"/>
              </w:rPr>
            </w:pPr>
            <w:r>
              <w:rPr>
                <w:rFonts w:eastAsia="黑体"/>
                <w:b/>
                <w:bCs/>
                <w:szCs w:val="21"/>
              </w:rPr>
              <w:t>养殖散户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99" w:type="dxa"/>
            <w:tcBorders>
              <w:tl2br w:val="nil"/>
              <w:tr2bl w:val="nil"/>
            </w:tcBorders>
            <w:vAlign w:val="center"/>
          </w:tcPr>
          <w:p>
            <w:pPr>
              <w:jc w:val="center"/>
              <w:rPr>
                <w:rFonts w:eastAsia="黑体"/>
                <w:szCs w:val="21"/>
              </w:rPr>
            </w:pPr>
            <w:r>
              <w:rPr>
                <w:rFonts w:eastAsia="黑体"/>
                <w:szCs w:val="21"/>
              </w:rPr>
              <w:t>生猪（头）</w:t>
            </w:r>
          </w:p>
        </w:tc>
        <w:tc>
          <w:tcPr>
            <w:tcW w:w="2491" w:type="dxa"/>
            <w:tcBorders>
              <w:tl2br w:val="nil"/>
              <w:tr2bl w:val="nil"/>
            </w:tcBorders>
            <w:vAlign w:val="center"/>
          </w:tcPr>
          <w:p>
            <w:pPr>
              <w:jc w:val="center"/>
              <w:rPr>
                <w:rFonts w:eastAsia="黑体"/>
                <w:szCs w:val="21"/>
              </w:rPr>
            </w:pPr>
            <w:r>
              <w:rPr>
                <w:rFonts w:eastAsia="黑体"/>
                <w:szCs w:val="21"/>
              </w:rPr>
              <w:t>生猪≥500头</w:t>
            </w:r>
          </w:p>
          <w:p>
            <w:pPr>
              <w:jc w:val="center"/>
              <w:rPr>
                <w:rFonts w:eastAsia="黑体"/>
                <w:szCs w:val="21"/>
              </w:rPr>
            </w:pPr>
            <w:r>
              <w:rPr>
                <w:rFonts w:eastAsia="黑体"/>
                <w:szCs w:val="21"/>
              </w:rPr>
              <w:t>（出栏）</w:t>
            </w:r>
          </w:p>
        </w:tc>
        <w:tc>
          <w:tcPr>
            <w:tcW w:w="2730" w:type="dxa"/>
            <w:tcBorders>
              <w:tl2br w:val="nil"/>
              <w:tr2bl w:val="nil"/>
            </w:tcBorders>
            <w:vAlign w:val="center"/>
          </w:tcPr>
          <w:p>
            <w:pPr>
              <w:jc w:val="center"/>
              <w:rPr>
                <w:rFonts w:eastAsia="黑体"/>
                <w:szCs w:val="21"/>
              </w:rPr>
            </w:pPr>
            <w:r>
              <w:rPr>
                <w:rFonts w:eastAsia="黑体"/>
                <w:szCs w:val="21"/>
              </w:rPr>
              <w:t>50头≤生猪&lt;500头</w:t>
            </w:r>
          </w:p>
          <w:p>
            <w:pPr>
              <w:jc w:val="center"/>
              <w:rPr>
                <w:rFonts w:eastAsia="黑体"/>
                <w:szCs w:val="21"/>
              </w:rPr>
            </w:pPr>
            <w:r>
              <w:rPr>
                <w:rFonts w:eastAsia="黑体"/>
                <w:szCs w:val="21"/>
              </w:rPr>
              <w:t>（出栏）</w:t>
            </w:r>
          </w:p>
        </w:tc>
        <w:tc>
          <w:tcPr>
            <w:tcW w:w="2190" w:type="dxa"/>
            <w:tcBorders>
              <w:tl2br w:val="nil"/>
              <w:tr2bl w:val="nil"/>
            </w:tcBorders>
            <w:vAlign w:val="center"/>
          </w:tcPr>
          <w:p>
            <w:pPr>
              <w:jc w:val="center"/>
              <w:rPr>
                <w:rFonts w:eastAsia="黑体"/>
                <w:szCs w:val="21"/>
              </w:rPr>
            </w:pPr>
            <w:r>
              <w:rPr>
                <w:rFonts w:eastAsia="黑体"/>
                <w:szCs w:val="21"/>
              </w:rPr>
              <w:t>&lt;50头</w:t>
            </w:r>
          </w:p>
          <w:p>
            <w:pPr>
              <w:jc w:val="center"/>
              <w:rPr>
                <w:rFonts w:eastAsia="黑体"/>
                <w:szCs w:val="21"/>
              </w:rPr>
            </w:pPr>
            <w:r>
              <w:rPr>
                <w:rFonts w:eastAsia="黑体"/>
                <w:szCs w:val="21"/>
              </w:rPr>
              <w:t>（出栏）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199" w:type="dxa"/>
            <w:tcBorders>
              <w:tl2br w:val="nil"/>
              <w:tr2bl w:val="nil"/>
            </w:tcBorders>
            <w:vAlign w:val="center"/>
          </w:tcPr>
          <w:p>
            <w:pPr>
              <w:jc w:val="center"/>
              <w:rPr>
                <w:rFonts w:eastAsia="黑体"/>
                <w:szCs w:val="21"/>
              </w:rPr>
            </w:pPr>
            <w:r>
              <w:rPr>
                <w:rFonts w:eastAsia="黑体"/>
                <w:szCs w:val="21"/>
              </w:rPr>
              <w:t>蛋禽（羽）</w:t>
            </w:r>
          </w:p>
        </w:tc>
        <w:tc>
          <w:tcPr>
            <w:tcW w:w="2491" w:type="dxa"/>
            <w:tcBorders>
              <w:tl2br w:val="nil"/>
              <w:tr2bl w:val="nil"/>
            </w:tcBorders>
            <w:vAlign w:val="center"/>
          </w:tcPr>
          <w:p>
            <w:pPr>
              <w:jc w:val="center"/>
              <w:rPr>
                <w:rFonts w:eastAsia="黑体"/>
                <w:szCs w:val="21"/>
              </w:rPr>
            </w:pPr>
            <w:r>
              <w:rPr>
                <w:rFonts w:eastAsia="黑体"/>
                <w:szCs w:val="21"/>
              </w:rPr>
              <w:t>蛋鸡≥10000羽</w:t>
            </w:r>
          </w:p>
          <w:p>
            <w:pPr>
              <w:jc w:val="center"/>
              <w:rPr>
                <w:rFonts w:eastAsia="黑体"/>
                <w:szCs w:val="21"/>
              </w:rPr>
            </w:pPr>
            <w:r>
              <w:rPr>
                <w:rFonts w:eastAsia="黑体"/>
                <w:szCs w:val="21"/>
              </w:rPr>
              <w:t>（存栏）</w:t>
            </w:r>
          </w:p>
        </w:tc>
        <w:tc>
          <w:tcPr>
            <w:tcW w:w="2730" w:type="dxa"/>
            <w:tcBorders>
              <w:tl2br w:val="nil"/>
              <w:tr2bl w:val="nil"/>
            </w:tcBorders>
            <w:vAlign w:val="center"/>
          </w:tcPr>
          <w:p>
            <w:pPr>
              <w:jc w:val="center"/>
              <w:rPr>
                <w:rFonts w:eastAsia="黑体"/>
                <w:szCs w:val="21"/>
              </w:rPr>
            </w:pPr>
            <w:r>
              <w:rPr>
                <w:rFonts w:eastAsia="黑体"/>
                <w:szCs w:val="21"/>
              </w:rPr>
              <w:t>500羽≤蛋鸡&lt;10000羽</w:t>
            </w:r>
          </w:p>
          <w:p>
            <w:pPr>
              <w:jc w:val="center"/>
              <w:rPr>
                <w:rFonts w:eastAsia="黑体"/>
                <w:szCs w:val="21"/>
              </w:rPr>
            </w:pPr>
            <w:r>
              <w:rPr>
                <w:rFonts w:eastAsia="黑体"/>
                <w:szCs w:val="21"/>
              </w:rPr>
              <w:t>（存栏）</w:t>
            </w:r>
          </w:p>
        </w:tc>
        <w:tc>
          <w:tcPr>
            <w:tcW w:w="2190" w:type="dxa"/>
            <w:tcBorders>
              <w:tl2br w:val="nil"/>
              <w:tr2bl w:val="nil"/>
            </w:tcBorders>
            <w:vAlign w:val="center"/>
          </w:tcPr>
          <w:p>
            <w:pPr>
              <w:jc w:val="center"/>
              <w:rPr>
                <w:rFonts w:eastAsia="黑体"/>
                <w:szCs w:val="21"/>
              </w:rPr>
            </w:pPr>
            <w:r>
              <w:rPr>
                <w:rFonts w:eastAsia="黑体"/>
                <w:szCs w:val="21"/>
              </w:rPr>
              <w:t>&lt;500羽</w:t>
            </w:r>
          </w:p>
          <w:p>
            <w:pPr>
              <w:jc w:val="center"/>
              <w:rPr>
                <w:rFonts w:eastAsia="黑体"/>
                <w:szCs w:val="21"/>
              </w:rPr>
            </w:pPr>
            <w:r>
              <w:rPr>
                <w:rFonts w:eastAsia="黑体"/>
                <w:szCs w:val="21"/>
              </w:rPr>
              <w:t>（存栏）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199" w:type="dxa"/>
            <w:tcBorders>
              <w:tl2br w:val="nil"/>
              <w:tr2bl w:val="nil"/>
            </w:tcBorders>
            <w:vAlign w:val="center"/>
          </w:tcPr>
          <w:p>
            <w:pPr>
              <w:jc w:val="center"/>
              <w:rPr>
                <w:rFonts w:eastAsia="黑体"/>
                <w:szCs w:val="21"/>
              </w:rPr>
            </w:pPr>
            <w:r>
              <w:rPr>
                <w:rFonts w:eastAsia="黑体"/>
                <w:szCs w:val="21"/>
              </w:rPr>
              <w:t>肉禽（羽）</w:t>
            </w:r>
          </w:p>
        </w:tc>
        <w:tc>
          <w:tcPr>
            <w:tcW w:w="2491" w:type="dxa"/>
            <w:tcBorders>
              <w:tl2br w:val="nil"/>
              <w:tr2bl w:val="nil"/>
            </w:tcBorders>
            <w:vAlign w:val="center"/>
          </w:tcPr>
          <w:p>
            <w:pPr>
              <w:jc w:val="center"/>
              <w:rPr>
                <w:rFonts w:eastAsia="黑体"/>
                <w:szCs w:val="21"/>
              </w:rPr>
            </w:pPr>
            <w:r>
              <w:rPr>
                <w:rFonts w:eastAsia="黑体"/>
                <w:szCs w:val="21"/>
              </w:rPr>
              <w:t>肉鸡≥40000羽</w:t>
            </w:r>
          </w:p>
          <w:p>
            <w:pPr>
              <w:jc w:val="center"/>
              <w:rPr>
                <w:rFonts w:eastAsia="黑体"/>
                <w:szCs w:val="21"/>
              </w:rPr>
            </w:pPr>
            <w:r>
              <w:rPr>
                <w:rFonts w:eastAsia="黑体"/>
                <w:szCs w:val="21"/>
              </w:rPr>
              <w:t>（出栏）</w:t>
            </w:r>
          </w:p>
        </w:tc>
        <w:tc>
          <w:tcPr>
            <w:tcW w:w="2730" w:type="dxa"/>
            <w:tcBorders>
              <w:tl2br w:val="nil"/>
              <w:tr2bl w:val="nil"/>
            </w:tcBorders>
            <w:vAlign w:val="center"/>
          </w:tcPr>
          <w:p>
            <w:pPr>
              <w:jc w:val="center"/>
              <w:rPr>
                <w:rFonts w:eastAsia="黑体"/>
                <w:szCs w:val="21"/>
              </w:rPr>
            </w:pPr>
            <w:r>
              <w:rPr>
                <w:rFonts w:eastAsia="黑体"/>
                <w:szCs w:val="21"/>
              </w:rPr>
              <w:t>2000头≤肉鸡&lt;50000羽</w:t>
            </w:r>
          </w:p>
          <w:p>
            <w:pPr>
              <w:jc w:val="center"/>
              <w:rPr>
                <w:rFonts w:eastAsia="黑体"/>
                <w:szCs w:val="21"/>
              </w:rPr>
            </w:pPr>
            <w:r>
              <w:rPr>
                <w:rFonts w:eastAsia="黑体"/>
                <w:szCs w:val="21"/>
              </w:rPr>
              <w:t>（出栏）</w:t>
            </w:r>
          </w:p>
        </w:tc>
        <w:tc>
          <w:tcPr>
            <w:tcW w:w="2190" w:type="dxa"/>
            <w:tcBorders>
              <w:tl2br w:val="nil"/>
              <w:tr2bl w:val="nil"/>
            </w:tcBorders>
            <w:vAlign w:val="center"/>
          </w:tcPr>
          <w:p>
            <w:pPr>
              <w:jc w:val="center"/>
              <w:rPr>
                <w:rFonts w:eastAsia="黑体"/>
                <w:szCs w:val="21"/>
              </w:rPr>
            </w:pPr>
            <w:r>
              <w:rPr>
                <w:rFonts w:eastAsia="黑体"/>
                <w:szCs w:val="21"/>
              </w:rPr>
              <w:t>&lt;2000羽</w:t>
            </w:r>
          </w:p>
          <w:p>
            <w:pPr>
              <w:jc w:val="center"/>
              <w:rPr>
                <w:rFonts w:eastAsia="黑体"/>
                <w:szCs w:val="21"/>
              </w:rPr>
            </w:pPr>
            <w:r>
              <w:rPr>
                <w:rFonts w:eastAsia="黑体"/>
                <w:szCs w:val="21"/>
              </w:rPr>
              <w:t>（出栏）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99" w:type="dxa"/>
            <w:tcBorders>
              <w:tl2br w:val="nil"/>
              <w:tr2bl w:val="nil"/>
            </w:tcBorders>
            <w:vAlign w:val="center"/>
          </w:tcPr>
          <w:p>
            <w:pPr>
              <w:jc w:val="center"/>
              <w:rPr>
                <w:rFonts w:eastAsia="黑体"/>
                <w:szCs w:val="21"/>
              </w:rPr>
            </w:pPr>
            <w:r>
              <w:rPr>
                <w:rFonts w:eastAsia="黑体"/>
                <w:szCs w:val="21"/>
              </w:rPr>
              <w:t>肉牛（头）</w:t>
            </w:r>
          </w:p>
        </w:tc>
        <w:tc>
          <w:tcPr>
            <w:tcW w:w="2491" w:type="dxa"/>
            <w:tcBorders>
              <w:tl2br w:val="nil"/>
              <w:tr2bl w:val="nil"/>
            </w:tcBorders>
            <w:vAlign w:val="center"/>
          </w:tcPr>
          <w:p>
            <w:pPr>
              <w:jc w:val="center"/>
              <w:rPr>
                <w:rFonts w:eastAsia="黑体"/>
                <w:szCs w:val="21"/>
              </w:rPr>
            </w:pPr>
            <w:r>
              <w:rPr>
                <w:rFonts w:eastAsia="黑体"/>
                <w:szCs w:val="21"/>
              </w:rPr>
              <w:t>肉牛≥100头</w:t>
            </w:r>
          </w:p>
          <w:p>
            <w:pPr>
              <w:jc w:val="center"/>
              <w:rPr>
                <w:rFonts w:eastAsia="黑体"/>
                <w:szCs w:val="21"/>
              </w:rPr>
            </w:pPr>
            <w:r>
              <w:rPr>
                <w:rFonts w:eastAsia="黑体"/>
                <w:szCs w:val="21"/>
              </w:rPr>
              <w:t>（出栏）</w:t>
            </w:r>
          </w:p>
        </w:tc>
        <w:tc>
          <w:tcPr>
            <w:tcW w:w="2730" w:type="dxa"/>
            <w:tcBorders>
              <w:tl2br w:val="nil"/>
              <w:tr2bl w:val="nil"/>
            </w:tcBorders>
            <w:vAlign w:val="center"/>
          </w:tcPr>
          <w:p>
            <w:pPr>
              <w:jc w:val="center"/>
              <w:rPr>
                <w:rFonts w:eastAsia="黑体"/>
                <w:szCs w:val="21"/>
              </w:rPr>
            </w:pPr>
            <w:r>
              <w:rPr>
                <w:rFonts w:eastAsia="黑体"/>
                <w:szCs w:val="21"/>
              </w:rPr>
              <w:t>10头≤肉牛&lt;200头</w:t>
            </w:r>
          </w:p>
          <w:p>
            <w:pPr>
              <w:jc w:val="center"/>
              <w:rPr>
                <w:rFonts w:eastAsia="黑体"/>
                <w:szCs w:val="21"/>
              </w:rPr>
            </w:pPr>
            <w:r>
              <w:rPr>
                <w:rFonts w:eastAsia="黑体"/>
                <w:szCs w:val="21"/>
              </w:rPr>
              <w:t>（出栏）</w:t>
            </w:r>
          </w:p>
        </w:tc>
        <w:tc>
          <w:tcPr>
            <w:tcW w:w="2190" w:type="dxa"/>
            <w:tcBorders>
              <w:tl2br w:val="nil"/>
              <w:tr2bl w:val="nil"/>
            </w:tcBorders>
            <w:vAlign w:val="center"/>
          </w:tcPr>
          <w:p>
            <w:pPr>
              <w:jc w:val="center"/>
              <w:rPr>
                <w:rFonts w:eastAsia="黑体"/>
                <w:szCs w:val="21"/>
              </w:rPr>
            </w:pPr>
            <w:r>
              <w:rPr>
                <w:rFonts w:eastAsia="黑体"/>
                <w:szCs w:val="21"/>
              </w:rPr>
              <w:t>&lt;10头</w:t>
            </w:r>
          </w:p>
          <w:p>
            <w:pPr>
              <w:jc w:val="center"/>
              <w:rPr>
                <w:rFonts w:eastAsia="黑体"/>
                <w:szCs w:val="21"/>
              </w:rPr>
            </w:pPr>
            <w:r>
              <w:rPr>
                <w:rFonts w:eastAsia="黑体"/>
                <w:szCs w:val="21"/>
              </w:rPr>
              <w:t>（出栏）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99" w:type="dxa"/>
            <w:tcBorders>
              <w:tl2br w:val="nil"/>
              <w:tr2bl w:val="nil"/>
            </w:tcBorders>
            <w:vAlign w:val="center"/>
          </w:tcPr>
          <w:p>
            <w:pPr>
              <w:jc w:val="center"/>
              <w:rPr>
                <w:rFonts w:eastAsia="黑体"/>
                <w:szCs w:val="21"/>
              </w:rPr>
            </w:pPr>
            <w:r>
              <w:rPr>
                <w:rFonts w:eastAsia="黑体"/>
                <w:szCs w:val="21"/>
              </w:rPr>
              <w:t>奶牛（头）</w:t>
            </w:r>
          </w:p>
        </w:tc>
        <w:tc>
          <w:tcPr>
            <w:tcW w:w="2491" w:type="dxa"/>
            <w:tcBorders>
              <w:tl2br w:val="nil"/>
              <w:tr2bl w:val="nil"/>
            </w:tcBorders>
            <w:vAlign w:val="center"/>
          </w:tcPr>
          <w:p>
            <w:pPr>
              <w:jc w:val="center"/>
              <w:rPr>
                <w:rFonts w:eastAsia="黑体"/>
                <w:szCs w:val="21"/>
              </w:rPr>
            </w:pPr>
            <w:r>
              <w:rPr>
                <w:rFonts w:eastAsia="黑体"/>
                <w:szCs w:val="21"/>
              </w:rPr>
              <w:t>奶牛≥100头</w:t>
            </w:r>
          </w:p>
          <w:p>
            <w:pPr>
              <w:jc w:val="center"/>
              <w:rPr>
                <w:rFonts w:eastAsia="黑体"/>
                <w:szCs w:val="21"/>
              </w:rPr>
            </w:pPr>
            <w:r>
              <w:rPr>
                <w:rFonts w:eastAsia="黑体"/>
                <w:szCs w:val="21"/>
              </w:rPr>
              <w:t>（</w:t>
            </w:r>
            <w:r>
              <w:rPr>
                <w:rFonts w:hint="eastAsia" w:eastAsia="黑体"/>
                <w:szCs w:val="21"/>
              </w:rPr>
              <w:t>存</w:t>
            </w:r>
            <w:r>
              <w:rPr>
                <w:rFonts w:eastAsia="黑体"/>
                <w:szCs w:val="21"/>
              </w:rPr>
              <w:t>栏）</w:t>
            </w:r>
          </w:p>
        </w:tc>
        <w:tc>
          <w:tcPr>
            <w:tcW w:w="2730" w:type="dxa"/>
            <w:tcBorders>
              <w:tl2br w:val="nil"/>
              <w:tr2bl w:val="nil"/>
            </w:tcBorders>
            <w:vAlign w:val="center"/>
          </w:tcPr>
          <w:p>
            <w:pPr>
              <w:jc w:val="center"/>
              <w:rPr>
                <w:rFonts w:eastAsia="黑体"/>
                <w:szCs w:val="21"/>
              </w:rPr>
            </w:pPr>
            <w:r>
              <w:rPr>
                <w:rFonts w:eastAsia="黑体"/>
                <w:szCs w:val="21"/>
              </w:rPr>
              <w:t>5头≤奶牛&lt;75头</w:t>
            </w:r>
          </w:p>
          <w:p>
            <w:pPr>
              <w:jc w:val="center"/>
              <w:rPr>
                <w:rFonts w:eastAsia="黑体"/>
                <w:szCs w:val="21"/>
              </w:rPr>
            </w:pPr>
            <w:r>
              <w:rPr>
                <w:rFonts w:eastAsia="黑体"/>
                <w:szCs w:val="21"/>
              </w:rPr>
              <w:t>（</w:t>
            </w:r>
            <w:r>
              <w:rPr>
                <w:rFonts w:hint="eastAsia" w:eastAsia="黑体"/>
                <w:szCs w:val="21"/>
              </w:rPr>
              <w:t>存</w:t>
            </w:r>
            <w:r>
              <w:rPr>
                <w:rFonts w:eastAsia="黑体"/>
                <w:szCs w:val="21"/>
              </w:rPr>
              <w:t>栏）</w:t>
            </w:r>
          </w:p>
        </w:tc>
        <w:tc>
          <w:tcPr>
            <w:tcW w:w="2190" w:type="dxa"/>
            <w:tcBorders>
              <w:tl2br w:val="nil"/>
              <w:tr2bl w:val="nil"/>
            </w:tcBorders>
            <w:vAlign w:val="center"/>
          </w:tcPr>
          <w:p>
            <w:pPr>
              <w:jc w:val="center"/>
              <w:rPr>
                <w:rFonts w:eastAsia="黑体"/>
                <w:szCs w:val="21"/>
              </w:rPr>
            </w:pPr>
            <w:r>
              <w:rPr>
                <w:rFonts w:eastAsia="黑体"/>
                <w:szCs w:val="21"/>
              </w:rPr>
              <w:t>&lt;5头</w:t>
            </w:r>
          </w:p>
          <w:p>
            <w:pPr>
              <w:jc w:val="center"/>
              <w:rPr>
                <w:rFonts w:eastAsia="黑体"/>
                <w:szCs w:val="21"/>
              </w:rPr>
            </w:pPr>
            <w:r>
              <w:rPr>
                <w:rFonts w:eastAsia="黑体"/>
                <w:szCs w:val="21"/>
              </w:rPr>
              <w:t>（</w:t>
            </w:r>
            <w:r>
              <w:rPr>
                <w:rFonts w:hint="eastAsia" w:eastAsia="黑体"/>
                <w:szCs w:val="21"/>
              </w:rPr>
              <w:t>存</w:t>
            </w:r>
            <w:r>
              <w:rPr>
                <w:rFonts w:eastAsia="黑体"/>
                <w:szCs w:val="21"/>
              </w:rPr>
              <w:t>栏）</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99" w:type="dxa"/>
            <w:tcBorders>
              <w:tl2br w:val="nil"/>
              <w:tr2bl w:val="nil"/>
            </w:tcBorders>
            <w:vAlign w:val="center"/>
          </w:tcPr>
          <w:p>
            <w:pPr>
              <w:jc w:val="center"/>
              <w:rPr>
                <w:rFonts w:eastAsia="黑体"/>
                <w:szCs w:val="21"/>
              </w:rPr>
            </w:pPr>
            <w:r>
              <w:rPr>
                <w:rFonts w:eastAsia="黑体"/>
                <w:szCs w:val="21"/>
              </w:rPr>
              <w:t>肉羊（只）</w:t>
            </w:r>
          </w:p>
        </w:tc>
        <w:tc>
          <w:tcPr>
            <w:tcW w:w="2491" w:type="dxa"/>
            <w:tcBorders>
              <w:tl2br w:val="nil"/>
              <w:tr2bl w:val="nil"/>
            </w:tcBorders>
            <w:vAlign w:val="center"/>
          </w:tcPr>
          <w:p>
            <w:pPr>
              <w:jc w:val="center"/>
              <w:rPr>
                <w:rFonts w:eastAsia="黑体"/>
                <w:szCs w:val="21"/>
              </w:rPr>
            </w:pPr>
            <w:r>
              <w:rPr>
                <w:rFonts w:eastAsia="黑体"/>
                <w:szCs w:val="21"/>
              </w:rPr>
              <w:t>肉羊≥500只</w:t>
            </w:r>
          </w:p>
          <w:p>
            <w:pPr>
              <w:jc w:val="center"/>
              <w:rPr>
                <w:rFonts w:eastAsia="黑体"/>
                <w:szCs w:val="21"/>
              </w:rPr>
            </w:pPr>
            <w:r>
              <w:rPr>
                <w:rFonts w:eastAsia="黑体"/>
                <w:szCs w:val="21"/>
              </w:rPr>
              <w:t>（出栏）</w:t>
            </w:r>
          </w:p>
        </w:tc>
        <w:tc>
          <w:tcPr>
            <w:tcW w:w="2730" w:type="dxa"/>
            <w:tcBorders>
              <w:tl2br w:val="nil"/>
              <w:tr2bl w:val="nil"/>
            </w:tcBorders>
            <w:vAlign w:val="center"/>
          </w:tcPr>
          <w:p>
            <w:pPr>
              <w:jc w:val="center"/>
              <w:rPr>
                <w:rFonts w:eastAsia="黑体"/>
                <w:szCs w:val="21"/>
              </w:rPr>
            </w:pPr>
            <w:r>
              <w:rPr>
                <w:rFonts w:eastAsia="黑体"/>
                <w:szCs w:val="21"/>
              </w:rPr>
              <w:t>125只≤肉羊&lt;500只</w:t>
            </w:r>
          </w:p>
        </w:tc>
        <w:tc>
          <w:tcPr>
            <w:tcW w:w="2190" w:type="dxa"/>
            <w:tcBorders>
              <w:tl2br w:val="nil"/>
              <w:tr2bl w:val="nil"/>
            </w:tcBorders>
            <w:vAlign w:val="center"/>
          </w:tcPr>
          <w:p>
            <w:pPr>
              <w:jc w:val="center"/>
              <w:rPr>
                <w:rFonts w:eastAsia="黑体"/>
                <w:szCs w:val="21"/>
              </w:rPr>
            </w:pPr>
            <w:r>
              <w:rPr>
                <w:rFonts w:eastAsia="黑体"/>
                <w:szCs w:val="21"/>
              </w:rPr>
              <w:t>&lt;125只</w:t>
            </w:r>
          </w:p>
          <w:p>
            <w:pPr>
              <w:jc w:val="center"/>
              <w:rPr>
                <w:rFonts w:eastAsia="黑体"/>
                <w:szCs w:val="21"/>
              </w:rPr>
            </w:pPr>
            <w:r>
              <w:rPr>
                <w:rFonts w:eastAsia="黑体"/>
                <w:szCs w:val="21"/>
              </w:rPr>
              <w:t>（出栏）</w:t>
            </w:r>
          </w:p>
        </w:tc>
      </w:tr>
    </w:tbl>
    <w:p>
      <w:pPr>
        <w:pStyle w:val="2"/>
        <w:ind w:firstLine="560" w:firstLineChars="200"/>
        <w:rPr>
          <w:rFonts w:ascii="Times New Roman" w:hAnsi="Times New Roman"/>
          <w:sz w:val="28"/>
          <w:szCs w:val="28"/>
          <w:lang w:val="en-US"/>
        </w:rPr>
      </w:pPr>
      <w:r>
        <w:rPr>
          <w:rFonts w:ascii="Times New Roman" w:hAnsi="Times New Roman"/>
          <w:sz w:val="28"/>
          <w:szCs w:val="28"/>
          <w:lang w:val="en-US"/>
        </w:rPr>
        <w:t>（2）调查内容</w:t>
      </w:r>
    </w:p>
    <w:p>
      <w:pPr>
        <w:pStyle w:val="2"/>
        <w:ind w:firstLine="560" w:firstLineChars="200"/>
        <w:rPr>
          <w:rFonts w:ascii="Times New Roman" w:hAnsi="Times New Roman"/>
          <w:sz w:val="28"/>
          <w:szCs w:val="28"/>
          <w:lang w:val="en-US"/>
        </w:rPr>
      </w:pPr>
      <w:bookmarkStart w:id="202" w:name="OLE_LINK72"/>
      <w:r>
        <w:rPr>
          <w:rFonts w:ascii="Times New Roman" w:hAnsi="Times New Roman"/>
          <w:sz w:val="28"/>
          <w:szCs w:val="28"/>
          <w:lang w:val="en-US"/>
        </w:rPr>
        <w:t>第一：养殖现状调查。调查了规模化养殖场的位置、养殖种类、养殖规模、设计存栏量和出栏量；调查了养殖专业户和养殖散户的数量、养殖规模及种类。</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第二：畜禽养殖粪污处理情况调查。调查了规模化养殖场粪污处理方式、粪污处理工艺流程、粪污处理设施及投资金额；调查了各乡镇养殖专业户和养殖散户的粪污处理方式；调查了徐水区集中处理园区的年处理量及工艺流程。</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第三：病死畜禽处理情况调查。调查了各规模化养殖场、各乡镇养殖专业户和养殖散户病死畜禽处理方式；调查了徐水区病死畜禽处理中心的年处理量及工艺流程。</w:t>
      </w:r>
    </w:p>
    <w:bookmarkEnd w:id="202"/>
    <w:p>
      <w:pPr>
        <w:pStyle w:val="2"/>
        <w:ind w:firstLine="560" w:firstLineChars="200"/>
        <w:rPr>
          <w:rFonts w:ascii="Times New Roman" w:hAnsi="Times New Roman"/>
          <w:sz w:val="28"/>
          <w:szCs w:val="28"/>
          <w:lang w:val="en-US"/>
        </w:rPr>
      </w:pPr>
      <w:r>
        <w:rPr>
          <w:rFonts w:ascii="Times New Roman" w:hAnsi="Times New Roman"/>
          <w:sz w:val="28"/>
          <w:szCs w:val="28"/>
          <w:lang w:val="en-US"/>
        </w:rPr>
        <w:t>（3）调查方式</w:t>
      </w:r>
    </w:p>
    <w:p>
      <w:pPr>
        <w:pStyle w:val="2"/>
        <w:ind w:firstLine="560" w:firstLineChars="200"/>
        <w:rPr>
          <w:rFonts w:ascii="Times New Roman" w:hAnsi="Times New Roman"/>
          <w:lang w:val="en-US"/>
        </w:rPr>
      </w:pPr>
      <w:r>
        <w:rPr>
          <w:rFonts w:ascii="Times New Roman" w:hAnsi="Times New Roman"/>
          <w:sz w:val="28"/>
          <w:szCs w:val="28"/>
          <w:lang w:val="en-US"/>
        </w:rPr>
        <w:t>本次调查以现有资料为基础，基于畜禽养殖主管部门农业农村局的统计资料，进行全方位的多层次的现场调查。对典型的、不同养殖种类的规模化养殖场、养殖专业户、养殖散户和集中处理园区以及徐水区病死畜禽处理中心进行详尽的现场调研。</w:t>
      </w:r>
    </w:p>
    <w:p>
      <w:pPr>
        <w:pStyle w:val="6"/>
        <w:numPr>
          <w:ilvl w:val="2"/>
          <w:numId w:val="0"/>
        </w:numPr>
        <w:spacing w:before="156" w:after="156"/>
      </w:pPr>
      <w:r>
        <w:t>2.4.2畜禽养殖基本情况</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根据农业部办公厅于2018年1月15日印发了《畜禽粪污土地承载力测算技术指南》，按存栏量折算：100头猪相当于15头奶牛、30头肉牛、250只羊、2500只家禽；1头生猪相当于30只蛋鸡。</w:t>
      </w:r>
    </w:p>
    <w:p>
      <w:pPr>
        <w:pStyle w:val="2"/>
        <w:ind w:firstLine="560" w:firstLineChars="200"/>
        <w:rPr>
          <w:rFonts w:ascii="Times New Roman" w:hAnsi="Times New Roman"/>
          <w:color w:val="FF0000"/>
          <w:sz w:val="28"/>
          <w:szCs w:val="28"/>
          <w:lang w:val="en-US"/>
        </w:rPr>
      </w:pPr>
      <w:r>
        <w:rPr>
          <w:rFonts w:ascii="Times New Roman" w:hAnsi="Times New Roman"/>
          <w:sz w:val="28"/>
          <w:szCs w:val="28"/>
          <w:lang w:val="en-US"/>
        </w:rPr>
        <w:t>根据徐水区农业农村局提供的2021年度数据分析，统计表明2021年徐水区内畜禽养殖种类分为生猪、肉牛、奶牛、肉鸡、蛋鸡、羊，徐水区内总的生猪存栏222110头，羊存栏量45753头，肉牛10016头，奶牛18480头，蛋鸡1383661羽，肉鸡1007371羽，鸭8000羽。其中仅奶牛实现了全部集约化养殖。徐水区养殖种类以猪、牛为主，其中生猪养殖量最大。徐水区地处白洋淀上游，紧邻雄安新区，生态环境质量的提高已成为全区重点工作内容，重点发展种养结合模式，提升畜禽粪污资源化利用水平是本规划的主要研究内容。下面进行详细论述。</w:t>
      </w:r>
    </w:p>
    <w:p>
      <w:pPr>
        <w:pStyle w:val="2"/>
        <w:ind w:firstLine="0"/>
        <w:rPr>
          <w:rFonts w:ascii="Times New Roman" w:hAnsi="Times New Roman"/>
          <w:b/>
          <w:bCs/>
          <w:sz w:val="28"/>
          <w:szCs w:val="28"/>
          <w:lang w:val="en-US"/>
        </w:rPr>
      </w:pPr>
      <w:r>
        <w:rPr>
          <w:rFonts w:ascii="Times New Roman" w:hAnsi="Times New Roman"/>
          <w:b/>
          <w:bCs/>
          <w:sz w:val="28"/>
          <w:szCs w:val="28"/>
          <w:lang w:val="en-US"/>
        </w:rPr>
        <w:t>2.4.2.1 养殖专业户及养殖散户畜禽养殖统计数据</w:t>
      </w:r>
    </w:p>
    <w:p>
      <w:pPr>
        <w:pStyle w:val="2"/>
        <w:ind w:firstLine="560" w:firstLineChars="200"/>
        <w:rPr>
          <w:rFonts w:ascii="Times New Roman" w:hAnsi="Times New Roman" w:eastAsia="黑体"/>
          <w:b/>
          <w:bCs/>
        </w:rPr>
      </w:pPr>
      <w:r>
        <w:rPr>
          <w:rFonts w:ascii="Times New Roman" w:hAnsi="Times New Roman"/>
          <w:sz w:val="28"/>
          <w:szCs w:val="28"/>
          <w:lang w:val="en-US"/>
        </w:rPr>
        <w:t>徐水区各乡镇养殖专业户及散户畜禽养殖统计数据见表2.4-2。</w:t>
      </w:r>
      <w:bookmarkStart w:id="203" w:name="_Toc17926"/>
      <w:bookmarkStart w:id="204" w:name="_Toc21101"/>
    </w:p>
    <w:p>
      <w:pPr>
        <w:spacing w:line="360" w:lineRule="auto"/>
        <w:jc w:val="center"/>
        <w:rPr>
          <w:rFonts w:eastAsia="黑体"/>
          <w:b/>
          <w:bCs/>
          <w:szCs w:val="21"/>
        </w:rPr>
      </w:pPr>
      <w:r>
        <w:rPr>
          <w:rFonts w:eastAsia="黑体"/>
          <w:b/>
          <w:bCs/>
          <w:szCs w:val="21"/>
        </w:rPr>
        <w:t>表2.4-2  养殖专业户及散户畜禽养殖统计数据一览表  单位：头、羽</w:t>
      </w:r>
      <w:bookmarkEnd w:id="203"/>
      <w:bookmarkEnd w:id="204"/>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799"/>
        <w:gridCol w:w="907"/>
        <w:gridCol w:w="907"/>
        <w:gridCol w:w="907"/>
        <w:gridCol w:w="907"/>
        <w:gridCol w:w="907"/>
        <w:gridCol w:w="907"/>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6" w:type="dxa"/>
            <w:tcBorders>
              <w:tl2br w:val="nil"/>
              <w:tr2bl w:val="nil"/>
            </w:tcBorders>
            <w:vAlign w:val="center"/>
          </w:tcPr>
          <w:p>
            <w:pPr>
              <w:jc w:val="center"/>
              <w:rPr>
                <w:rFonts w:eastAsia="黑体"/>
                <w:b/>
                <w:bCs/>
                <w:szCs w:val="21"/>
              </w:rPr>
            </w:pPr>
            <w:bookmarkStart w:id="205" w:name="_Toc10840"/>
            <w:bookmarkStart w:id="206" w:name="_Toc26900"/>
            <w:bookmarkStart w:id="207" w:name="_Toc14821"/>
            <w:r>
              <w:rPr>
                <w:rFonts w:eastAsia="黑体"/>
                <w:b/>
                <w:bCs/>
                <w:szCs w:val="21"/>
              </w:rPr>
              <w:t>序号</w:t>
            </w:r>
            <w:bookmarkEnd w:id="205"/>
            <w:bookmarkEnd w:id="206"/>
            <w:bookmarkEnd w:id="207"/>
          </w:p>
        </w:tc>
        <w:tc>
          <w:tcPr>
            <w:tcW w:w="1799" w:type="dxa"/>
            <w:tcBorders>
              <w:tl2br w:val="nil"/>
              <w:tr2bl w:val="nil"/>
            </w:tcBorders>
            <w:vAlign w:val="center"/>
          </w:tcPr>
          <w:p>
            <w:pPr>
              <w:jc w:val="center"/>
              <w:rPr>
                <w:rFonts w:eastAsia="黑体"/>
                <w:b/>
                <w:bCs/>
                <w:szCs w:val="21"/>
              </w:rPr>
            </w:pPr>
            <w:bookmarkStart w:id="208" w:name="_Toc20529"/>
            <w:bookmarkStart w:id="209" w:name="_Toc22907"/>
            <w:bookmarkStart w:id="210" w:name="_Toc13757"/>
            <w:r>
              <w:rPr>
                <w:rFonts w:eastAsia="黑体"/>
                <w:b/>
                <w:bCs/>
                <w:szCs w:val="21"/>
              </w:rPr>
              <w:t>乡镇</w:t>
            </w:r>
            <w:bookmarkEnd w:id="208"/>
            <w:bookmarkEnd w:id="209"/>
            <w:bookmarkEnd w:id="210"/>
          </w:p>
        </w:tc>
        <w:tc>
          <w:tcPr>
            <w:tcW w:w="907" w:type="dxa"/>
            <w:tcBorders>
              <w:tl2br w:val="nil"/>
              <w:tr2bl w:val="nil"/>
            </w:tcBorders>
            <w:vAlign w:val="center"/>
          </w:tcPr>
          <w:p>
            <w:pPr>
              <w:jc w:val="center"/>
              <w:rPr>
                <w:rFonts w:eastAsia="黑体"/>
                <w:b/>
                <w:bCs/>
                <w:szCs w:val="21"/>
              </w:rPr>
            </w:pPr>
            <w:bookmarkStart w:id="211" w:name="_Toc31335"/>
            <w:bookmarkStart w:id="212" w:name="_Toc10418"/>
            <w:bookmarkStart w:id="213" w:name="_Toc16127"/>
            <w:r>
              <w:rPr>
                <w:rFonts w:eastAsia="黑体"/>
                <w:b/>
                <w:bCs/>
                <w:szCs w:val="21"/>
              </w:rPr>
              <w:t>生猪</w:t>
            </w:r>
            <w:bookmarkEnd w:id="211"/>
            <w:bookmarkEnd w:id="212"/>
            <w:bookmarkEnd w:id="213"/>
          </w:p>
        </w:tc>
        <w:tc>
          <w:tcPr>
            <w:tcW w:w="907" w:type="dxa"/>
            <w:tcBorders>
              <w:tl2br w:val="nil"/>
              <w:tr2bl w:val="nil"/>
            </w:tcBorders>
            <w:vAlign w:val="center"/>
          </w:tcPr>
          <w:p>
            <w:pPr>
              <w:jc w:val="center"/>
              <w:rPr>
                <w:rFonts w:eastAsia="黑体"/>
                <w:b/>
                <w:bCs/>
                <w:szCs w:val="21"/>
              </w:rPr>
            </w:pPr>
            <w:bookmarkStart w:id="214" w:name="_Toc5593"/>
            <w:bookmarkStart w:id="215" w:name="_Toc7280"/>
            <w:bookmarkStart w:id="216" w:name="_Toc24306"/>
            <w:r>
              <w:rPr>
                <w:rFonts w:eastAsia="黑体"/>
                <w:b/>
                <w:bCs/>
                <w:szCs w:val="21"/>
              </w:rPr>
              <w:t>肉</w:t>
            </w:r>
            <w:bookmarkEnd w:id="214"/>
            <w:bookmarkEnd w:id="215"/>
            <w:bookmarkEnd w:id="216"/>
            <w:r>
              <w:rPr>
                <w:rFonts w:eastAsia="黑体"/>
                <w:b/>
                <w:bCs/>
                <w:szCs w:val="21"/>
              </w:rPr>
              <w:t>羊</w:t>
            </w:r>
          </w:p>
        </w:tc>
        <w:tc>
          <w:tcPr>
            <w:tcW w:w="907" w:type="dxa"/>
            <w:tcBorders>
              <w:tl2br w:val="nil"/>
              <w:tr2bl w:val="nil"/>
            </w:tcBorders>
            <w:vAlign w:val="center"/>
          </w:tcPr>
          <w:p>
            <w:pPr>
              <w:jc w:val="center"/>
              <w:rPr>
                <w:rFonts w:eastAsia="黑体"/>
                <w:b/>
                <w:bCs/>
                <w:szCs w:val="21"/>
              </w:rPr>
            </w:pPr>
            <w:r>
              <w:rPr>
                <w:rFonts w:eastAsia="黑体"/>
                <w:b/>
                <w:bCs/>
                <w:szCs w:val="21"/>
              </w:rPr>
              <w:t>肉牛</w:t>
            </w:r>
          </w:p>
        </w:tc>
        <w:tc>
          <w:tcPr>
            <w:tcW w:w="907" w:type="dxa"/>
            <w:tcBorders>
              <w:tl2br w:val="nil"/>
              <w:tr2bl w:val="nil"/>
            </w:tcBorders>
            <w:vAlign w:val="center"/>
          </w:tcPr>
          <w:p>
            <w:pPr>
              <w:jc w:val="center"/>
              <w:rPr>
                <w:rFonts w:eastAsia="黑体"/>
                <w:b/>
                <w:bCs/>
                <w:szCs w:val="21"/>
              </w:rPr>
            </w:pPr>
            <w:r>
              <w:rPr>
                <w:rFonts w:eastAsia="黑体"/>
                <w:b/>
                <w:bCs/>
                <w:szCs w:val="21"/>
              </w:rPr>
              <w:t>蛋鸡</w:t>
            </w:r>
          </w:p>
        </w:tc>
        <w:tc>
          <w:tcPr>
            <w:tcW w:w="907" w:type="dxa"/>
            <w:tcBorders>
              <w:tl2br w:val="nil"/>
              <w:tr2bl w:val="nil"/>
            </w:tcBorders>
            <w:vAlign w:val="center"/>
          </w:tcPr>
          <w:p>
            <w:pPr>
              <w:jc w:val="center"/>
              <w:rPr>
                <w:rFonts w:eastAsia="黑体"/>
                <w:b/>
                <w:bCs/>
                <w:szCs w:val="21"/>
              </w:rPr>
            </w:pPr>
            <w:r>
              <w:rPr>
                <w:rFonts w:eastAsia="黑体"/>
                <w:b/>
                <w:bCs/>
                <w:szCs w:val="21"/>
              </w:rPr>
              <w:t>肉鸡</w:t>
            </w:r>
          </w:p>
        </w:tc>
        <w:tc>
          <w:tcPr>
            <w:tcW w:w="907" w:type="dxa"/>
            <w:tcBorders>
              <w:tl2br w:val="nil"/>
              <w:tr2bl w:val="nil"/>
            </w:tcBorders>
            <w:vAlign w:val="center"/>
          </w:tcPr>
          <w:p>
            <w:pPr>
              <w:jc w:val="center"/>
              <w:rPr>
                <w:rFonts w:eastAsia="黑体"/>
                <w:b/>
                <w:bCs/>
                <w:szCs w:val="21"/>
              </w:rPr>
            </w:pPr>
            <w:r>
              <w:rPr>
                <w:rFonts w:eastAsia="黑体"/>
                <w:b/>
                <w:bCs/>
                <w:szCs w:val="21"/>
              </w:rPr>
              <w:t>鸭</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17" w:name="_Toc17714"/>
            <w:bookmarkStart w:id="218" w:name="_Toc4860"/>
            <w:bookmarkStart w:id="219" w:name="_Toc7328"/>
            <w:r>
              <w:rPr>
                <w:rFonts w:eastAsia="黑体"/>
                <w:szCs w:val="21"/>
              </w:rPr>
              <w:t>1</w:t>
            </w:r>
            <w:bookmarkEnd w:id="217"/>
            <w:bookmarkEnd w:id="218"/>
            <w:bookmarkEnd w:id="219"/>
          </w:p>
        </w:tc>
        <w:tc>
          <w:tcPr>
            <w:tcW w:w="1799" w:type="dxa"/>
            <w:tcBorders>
              <w:tl2br w:val="nil"/>
              <w:tr2bl w:val="nil"/>
            </w:tcBorders>
            <w:vAlign w:val="center"/>
          </w:tcPr>
          <w:p>
            <w:pPr>
              <w:jc w:val="center"/>
              <w:rPr>
                <w:rFonts w:eastAsia="黑体"/>
                <w:szCs w:val="21"/>
              </w:rPr>
            </w:pPr>
            <w:r>
              <w:rPr>
                <w:rFonts w:eastAsia="黑体"/>
                <w:szCs w:val="21"/>
              </w:rPr>
              <w:t>安肃镇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23870</w:t>
            </w:r>
          </w:p>
        </w:tc>
        <w:tc>
          <w:tcPr>
            <w:tcW w:w="907" w:type="dxa"/>
            <w:tcBorders>
              <w:tl2br w:val="nil"/>
              <w:tr2bl w:val="nil"/>
            </w:tcBorders>
            <w:vAlign w:val="center"/>
          </w:tcPr>
          <w:p>
            <w:pPr>
              <w:jc w:val="center"/>
              <w:rPr>
                <w:rFonts w:eastAsia="黑体"/>
                <w:szCs w:val="21"/>
              </w:rPr>
            </w:pPr>
            <w:r>
              <w:rPr>
                <w:rFonts w:eastAsia="黑体"/>
                <w:szCs w:val="21"/>
              </w:rPr>
              <w:t>3220</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1009</w:t>
            </w:r>
          </w:p>
        </w:tc>
        <w:tc>
          <w:tcPr>
            <w:tcW w:w="907" w:type="dxa"/>
            <w:tcBorders>
              <w:tl2br w:val="nil"/>
              <w:tr2bl w:val="nil"/>
            </w:tcBorders>
            <w:vAlign w:val="center"/>
          </w:tcPr>
          <w:p>
            <w:pPr>
              <w:jc w:val="center"/>
              <w:rPr>
                <w:rFonts w:eastAsia="黑体"/>
                <w:szCs w:val="21"/>
              </w:rPr>
            </w:pPr>
            <w:r>
              <w:rPr>
                <w:rFonts w:eastAsia="黑体"/>
                <w:szCs w:val="21"/>
              </w:rPr>
              <w:t>31155</w:t>
            </w:r>
          </w:p>
        </w:tc>
        <w:tc>
          <w:tcPr>
            <w:tcW w:w="907" w:type="dxa"/>
            <w:tcBorders>
              <w:tl2br w:val="nil"/>
              <w:tr2bl w:val="nil"/>
            </w:tcBorders>
            <w:vAlign w:val="center"/>
          </w:tcPr>
          <w:p>
            <w:pPr>
              <w:jc w:val="center"/>
              <w:rPr>
                <w:rFonts w:eastAsia="黑体"/>
                <w:szCs w:val="21"/>
              </w:rPr>
            </w:pPr>
            <w:r>
              <w:rPr>
                <w:rFonts w:eastAsia="黑体"/>
                <w:szCs w:val="21"/>
              </w:rPr>
              <w:t>13500</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20" w:name="_Toc3800"/>
            <w:bookmarkStart w:id="221" w:name="_Toc1486"/>
            <w:bookmarkStart w:id="222" w:name="_Toc3631"/>
            <w:r>
              <w:rPr>
                <w:rFonts w:eastAsia="黑体"/>
                <w:szCs w:val="21"/>
              </w:rPr>
              <w:t>2</w:t>
            </w:r>
            <w:bookmarkEnd w:id="220"/>
            <w:bookmarkEnd w:id="221"/>
            <w:bookmarkEnd w:id="222"/>
          </w:p>
        </w:tc>
        <w:tc>
          <w:tcPr>
            <w:tcW w:w="1799" w:type="dxa"/>
            <w:tcBorders>
              <w:tl2br w:val="nil"/>
              <w:tr2bl w:val="nil"/>
            </w:tcBorders>
            <w:vAlign w:val="center"/>
          </w:tcPr>
          <w:p>
            <w:pPr>
              <w:jc w:val="center"/>
              <w:rPr>
                <w:rFonts w:eastAsia="黑体"/>
                <w:szCs w:val="21"/>
              </w:rPr>
            </w:pPr>
            <w:r>
              <w:rPr>
                <w:rFonts w:eastAsia="黑体"/>
                <w:szCs w:val="21"/>
              </w:rPr>
              <w:t>漕河镇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6205</w:t>
            </w:r>
          </w:p>
        </w:tc>
        <w:tc>
          <w:tcPr>
            <w:tcW w:w="907" w:type="dxa"/>
            <w:tcBorders>
              <w:tl2br w:val="nil"/>
              <w:tr2bl w:val="nil"/>
            </w:tcBorders>
            <w:vAlign w:val="center"/>
          </w:tcPr>
          <w:p>
            <w:pPr>
              <w:jc w:val="center"/>
              <w:rPr>
                <w:rFonts w:eastAsia="黑体"/>
                <w:szCs w:val="21"/>
              </w:rPr>
            </w:pPr>
            <w:r>
              <w:rPr>
                <w:rFonts w:eastAsia="黑体"/>
                <w:szCs w:val="21"/>
              </w:rPr>
              <w:t>8610</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800</w:t>
            </w:r>
          </w:p>
        </w:tc>
        <w:tc>
          <w:tcPr>
            <w:tcW w:w="907" w:type="dxa"/>
            <w:tcBorders>
              <w:tl2br w:val="nil"/>
              <w:tr2bl w:val="nil"/>
            </w:tcBorders>
            <w:vAlign w:val="center"/>
          </w:tcPr>
          <w:p>
            <w:pPr>
              <w:jc w:val="center"/>
              <w:rPr>
                <w:rFonts w:eastAsia="黑体"/>
                <w:szCs w:val="21"/>
              </w:rPr>
            </w:pPr>
            <w:r>
              <w:rPr>
                <w:rFonts w:eastAsia="黑体"/>
                <w:szCs w:val="21"/>
              </w:rPr>
              <w:t>28508</w:t>
            </w:r>
          </w:p>
        </w:tc>
        <w:tc>
          <w:tcPr>
            <w:tcW w:w="907" w:type="dxa"/>
            <w:tcBorders>
              <w:tl2br w:val="nil"/>
              <w:tr2bl w:val="nil"/>
            </w:tcBorders>
            <w:vAlign w:val="center"/>
          </w:tcPr>
          <w:p>
            <w:pPr>
              <w:jc w:val="center"/>
              <w:rPr>
                <w:rFonts w:eastAsia="黑体"/>
                <w:szCs w:val="21"/>
              </w:rPr>
            </w:pPr>
            <w:r>
              <w:rPr>
                <w:rFonts w:eastAsia="黑体"/>
                <w:szCs w:val="21"/>
              </w:rPr>
              <w:t>8000</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23" w:name="_Toc27458"/>
            <w:bookmarkStart w:id="224" w:name="_Toc5575"/>
            <w:bookmarkStart w:id="225" w:name="_Toc30199"/>
            <w:r>
              <w:rPr>
                <w:rFonts w:eastAsia="黑体"/>
                <w:szCs w:val="21"/>
              </w:rPr>
              <w:t>3</w:t>
            </w:r>
            <w:bookmarkEnd w:id="223"/>
            <w:bookmarkEnd w:id="224"/>
            <w:bookmarkEnd w:id="225"/>
          </w:p>
        </w:tc>
        <w:tc>
          <w:tcPr>
            <w:tcW w:w="1799" w:type="dxa"/>
            <w:tcBorders>
              <w:tl2br w:val="nil"/>
              <w:tr2bl w:val="nil"/>
            </w:tcBorders>
            <w:vAlign w:val="center"/>
          </w:tcPr>
          <w:p>
            <w:pPr>
              <w:jc w:val="center"/>
              <w:rPr>
                <w:rFonts w:eastAsia="黑体"/>
                <w:szCs w:val="21"/>
              </w:rPr>
            </w:pPr>
            <w:r>
              <w:rPr>
                <w:rFonts w:eastAsia="黑体"/>
                <w:szCs w:val="21"/>
              </w:rPr>
              <w:t>崔庄镇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23340</w:t>
            </w:r>
          </w:p>
        </w:tc>
        <w:tc>
          <w:tcPr>
            <w:tcW w:w="907" w:type="dxa"/>
            <w:tcBorders>
              <w:tl2br w:val="nil"/>
              <w:tr2bl w:val="nil"/>
            </w:tcBorders>
            <w:vAlign w:val="center"/>
          </w:tcPr>
          <w:p>
            <w:pPr>
              <w:jc w:val="center"/>
              <w:rPr>
                <w:rFonts w:eastAsia="黑体"/>
                <w:szCs w:val="21"/>
              </w:rPr>
            </w:pPr>
            <w:r>
              <w:rPr>
                <w:rFonts w:eastAsia="黑体"/>
                <w:szCs w:val="21"/>
              </w:rPr>
              <w:t>3485</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826</w:t>
            </w:r>
          </w:p>
        </w:tc>
        <w:tc>
          <w:tcPr>
            <w:tcW w:w="907" w:type="dxa"/>
            <w:tcBorders>
              <w:tl2br w:val="nil"/>
              <w:tr2bl w:val="nil"/>
            </w:tcBorders>
            <w:vAlign w:val="center"/>
          </w:tcPr>
          <w:p>
            <w:pPr>
              <w:jc w:val="center"/>
              <w:rPr>
                <w:rFonts w:eastAsia="黑体"/>
                <w:szCs w:val="21"/>
              </w:rPr>
            </w:pPr>
            <w:r>
              <w:rPr>
                <w:rFonts w:eastAsia="黑体"/>
                <w:szCs w:val="21"/>
              </w:rPr>
              <w:t>27403</w:t>
            </w:r>
          </w:p>
        </w:tc>
        <w:tc>
          <w:tcPr>
            <w:tcW w:w="907" w:type="dxa"/>
            <w:tcBorders>
              <w:tl2br w:val="nil"/>
              <w:tr2bl w:val="nil"/>
            </w:tcBorders>
            <w:vAlign w:val="center"/>
          </w:tcPr>
          <w:p>
            <w:pPr>
              <w:jc w:val="center"/>
              <w:rPr>
                <w:rFonts w:eastAsia="黑体"/>
                <w:szCs w:val="21"/>
              </w:rPr>
            </w:pPr>
            <w:r>
              <w:rPr>
                <w:rFonts w:eastAsia="黑体"/>
                <w:szCs w:val="21"/>
              </w:rPr>
              <w:t>13851</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26" w:name="_Toc852"/>
            <w:bookmarkStart w:id="227" w:name="_Toc23174"/>
            <w:bookmarkStart w:id="228" w:name="_Toc19275"/>
            <w:r>
              <w:rPr>
                <w:rFonts w:eastAsia="黑体"/>
                <w:szCs w:val="21"/>
              </w:rPr>
              <w:t>4</w:t>
            </w:r>
            <w:bookmarkEnd w:id="226"/>
            <w:bookmarkEnd w:id="227"/>
            <w:bookmarkEnd w:id="228"/>
          </w:p>
        </w:tc>
        <w:tc>
          <w:tcPr>
            <w:tcW w:w="1799" w:type="dxa"/>
            <w:tcBorders>
              <w:tl2br w:val="nil"/>
              <w:tr2bl w:val="nil"/>
            </w:tcBorders>
            <w:vAlign w:val="center"/>
          </w:tcPr>
          <w:p>
            <w:pPr>
              <w:jc w:val="center"/>
              <w:rPr>
                <w:rFonts w:eastAsia="黑体"/>
                <w:szCs w:val="21"/>
              </w:rPr>
            </w:pPr>
            <w:r>
              <w:rPr>
                <w:rFonts w:eastAsia="黑体"/>
                <w:szCs w:val="21"/>
              </w:rPr>
              <w:t>大王店镇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21281</w:t>
            </w:r>
          </w:p>
        </w:tc>
        <w:tc>
          <w:tcPr>
            <w:tcW w:w="907" w:type="dxa"/>
            <w:tcBorders>
              <w:tl2br w:val="nil"/>
              <w:tr2bl w:val="nil"/>
            </w:tcBorders>
            <w:vAlign w:val="center"/>
          </w:tcPr>
          <w:p>
            <w:pPr>
              <w:jc w:val="center"/>
              <w:rPr>
                <w:rFonts w:eastAsia="黑体"/>
                <w:szCs w:val="21"/>
              </w:rPr>
            </w:pPr>
            <w:r>
              <w:rPr>
                <w:rFonts w:eastAsia="黑体"/>
                <w:szCs w:val="21"/>
              </w:rPr>
              <w:t>7910</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1160</w:t>
            </w:r>
          </w:p>
        </w:tc>
        <w:tc>
          <w:tcPr>
            <w:tcW w:w="907" w:type="dxa"/>
            <w:tcBorders>
              <w:tl2br w:val="nil"/>
              <w:tr2bl w:val="nil"/>
            </w:tcBorders>
            <w:vAlign w:val="center"/>
          </w:tcPr>
          <w:p>
            <w:pPr>
              <w:jc w:val="center"/>
              <w:rPr>
                <w:rFonts w:eastAsia="黑体"/>
                <w:szCs w:val="21"/>
              </w:rPr>
            </w:pPr>
            <w:r>
              <w:rPr>
                <w:rFonts w:eastAsia="黑体"/>
                <w:szCs w:val="21"/>
              </w:rPr>
              <w:t>95973</w:t>
            </w:r>
          </w:p>
        </w:tc>
        <w:tc>
          <w:tcPr>
            <w:tcW w:w="907" w:type="dxa"/>
            <w:tcBorders>
              <w:tl2br w:val="nil"/>
              <w:tr2bl w:val="nil"/>
            </w:tcBorders>
            <w:vAlign w:val="center"/>
          </w:tcPr>
          <w:p>
            <w:pPr>
              <w:jc w:val="center"/>
              <w:rPr>
                <w:rFonts w:eastAsia="黑体"/>
                <w:szCs w:val="21"/>
              </w:rPr>
            </w:pPr>
            <w:r>
              <w:rPr>
                <w:rFonts w:eastAsia="黑体"/>
                <w:szCs w:val="21"/>
              </w:rPr>
              <w:t>/</w:t>
            </w:r>
          </w:p>
        </w:tc>
        <w:tc>
          <w:tcPr>
            <w:tcW w:w="907" w:type="dxa"/>
            <w:tcBorders>
              <w:tl2br w:val="nil"/>
              <w:tr2bl w:val="nil"/>
            </w:tcBorders>
            <w:vAlign w:val="center"/>
          </w:tcPr>
          <w:p>
            <w:pPr>
              <w:jc w:val="center"/>
              <w:rPr>
                <w:rFonts w:eastAsia="黑体"/>
                <w:szCs w:val="21"/>
              </w:rPr>
            </w:pPr>
            <w:r>
              <w:rPr>
                <w:rFonts w:eastAsia="黑体"/>
                <w:szCs w:val="21"/>
              </w:rPr>
              <w:t>8000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29" w:name="_Toc15346"/>
            <w:bookmarkStart w:id="230" w:name="_Toc8070"/>
            <w:bookmarkStart w:id="231" w:name="_Toc2145"/>
            <w:r>
              <w:rPr>
                <w:rFonts w:eastAsia="黑体"/>
                <w:szCs w:val="21"/>
              </w:rPr>
              <w:t>5</w:t>
            </w:r>
            <w:bookmarkEnd w:id="229"/>
            <w:bookmarkEnd w:id="230"/>
            <w:bookmarkEnd w:id="231"/>
          </w:p>
        </w:tc>
        <w:tc>
          <w:tcPr>
            <w:tcW w:w="1799" w:type="dxa"/>
            <w:tcBorders>
              <w:tl2br w:val="nil"/>
              <w:tr2bl w:val="nil"/>
            </w:tcBorders>
            <w:vAlign w:val="center"/>
          </w:tcPr>
          <w:p>
            <w:pPr>
              <w:jc w:val="center"/>
              <w:rPr>
                <w:rFonts w:eastAsia="黑体"/>
                <w:szCs w:val="21"/>
              </w:rPr>
            </w:pPr>
            <w:r>
              <w:rPr>
                <w:rFonts w:eastAsia="黑体"/>
                <w:szCs w:val="21"/>
              </w:rPr>
              <w:t>大因镇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42130</w:t>
            </w:r>
          </w:p>
        </w:tc>
        <w:tc>
          <w:tcPr>
            <w:tcW w:w="907" w:type="dxa"/>
            <w:tcBorders>
              <w:tl2br w:val="nil"/>
              <w:tr2bl w:val="nil"/>
            </w:tcBorders>
            <w:vAlign w:val="center"/>
          </w:tcPr>
          <w:p>
            <w:pPr>
              <w:jc w:val="center"/>
              <w:rPr>
                <w:rFonts w:eastAsia="黑体"/>
                <w:szCs w:val="21"/>
              </w:rPr>
            </w:pPr>
            <w:r>
              <w:rPr>
                <w:rFonts w:eastAsia="黑体"/>
                <w:szCs w:val="21"/>
              </w:rPr>
              <w:t>1340</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515</w:t>
            </w:r>
          </w:p>
        </w:tc>
        <w:tc>
          <w:tcPr>
            <w:tcW w:w="907" w:type="dxa"/>
            <w:tcBorders>
              <w:tl2br w:val="nil"/>
              <w:tr2bl w:val="nil"/>
            </w:tcBorders>
            <w:vAlign w:val="center"/>
          </w:tcPr>
          <w:p>
            <w:pPr>
              <w:jc w:val="center"/>
              <w:rPr>
                <w:rFonts w:eastAsia="黑体"/>
                <w:szCs w:val="21"/>
              </w:rPr>
            </w:pPr>
            <w:r>
              <w:rPr>
                <w:rFonts w:eastAsia="黑体"/>
                <w:szCs w:val="21"/>
              </w:rPr>
              <w:t>15896</w:t>
            </w:r>
          </w:p>
        </w:tc>
        <w:tc>
          <w:tcPr>
            <w:tcW w:w="907" w:type="dxa"/>
            <w:tcBorders>
              <w:tl2br w:val="nil"/>
              <w:tr2bl w:val="nil"/>
            </w:tcBorders>
            <w:vAlign w:val="center"/>
          </w:tcPr>
          <w:p>
            <w:pPr>
              <w:jc w:val="center"/>
              <w:rPr>
                <w:rFonts w:eastAsia="黑体"/>
                <w:szCs w:val="21"/>
              </w:rPr>
            </w:pPr>
            <w:r>
              <w:rPr>
                <w:rFonts w:eastAsia="黑体"/>
                <w:szCs w:val="21"/>
              </w:rPr>
              <w:t>/</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32" w:name="_Toc15575"/>
            <w:bookmarkStart w:id="233" w:name="_Toc31222"/>
            <w:bookmarkStart w:id="234" w:name="_Toc31413"/>
            <w:r>
              <w:rPr>
                <w:rFonts w:eastAsia="黑体"/>
                <w:szCs w:val="21"/>
              </w:rPr>
              <w:t>6</w:t>
            </w:r>
            <w:bookmarkEnd w:id="232"/>
            <w:bookmarkEnd w:id="233"/>
            <w:bookmarkEnd w:id="234"/>
          </w:p>
        </w:tc>
        <w:tc>
          <w:tcPr>
            <w:tcW w:w="1799" w:type="dxa"/>
            <w:tcBorders>
              <w:tl2br w:val="nil"/>
              <w:tr2bl w:val="nil"/>
            </w:tcBorders>
            <w:vAlign w:val="center"/>
          </w:tcPr>
          <w:p>
            <w:pPr>
              <w:jc w:val="center"/>
              <w:rPr>
                <w:rFonts w:eastAsia="黑体"/>
                <w:szCs w:val="21"/>
              </w:rPr>
            </w:pPr>
            <w:r>
              <w:rPr>
                <w:rFonts w:eastAsia="黑体"/>
                <w:szCs w:val="21"/>
              </w:rPr>
              <w:t>东釜山乡</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4191</w:t>
            </w:r>
          </w:p>
        </w:tc>
        <w:tc>
          <w:tcPr>
            <w:tcW w:w="907" w:type="dxa"/>
            <w:tcBorders>
              <w:tl2br w:val="nil"/>
              <w:tr2bl w:val="nil"/>
            </w:tcBorders>
            <w:vAlign w:val="center"/>
          </w:tcPr>
          <w:p>
            <w:pPr>
              <w:jc w:val="center"/>
              <w:rPr>
                <w:rFonts w:eastAsia="黑体"/>
                <w:szCs w:val="21"/>
              </w:rPr>
            </w:pPr>
            <w:r>
              <w:rPr>
                <w:rFonts w:eastAsia="黑体"/>
                <w:szCs w:val="21"/>
              </w:rPr>
              <w:t>3953</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190</w:t>
            </w:r>
          </w:p>
        </w:tc>
        <w:tc>
          <w:tcPr>
            <w:tcW w:w="907" w:type="dxa"/>
            <w:tcBorders>
              <w:tl2br w:val="nil"/>
              <w:tr2bl w:val="nil"/>
            </w:tcBorders>
            <w:vAlign w:val="center"/>
          </w:tcPr>
          <w:p>
            <w:pPr>
              <w:jc w:val="center"/>
              <w:rPr>
                <w:rFonts w:eastAsia="黑体"/>
                <w:szCs w:val="21"/>
              </w:rPr>
            </w:pPr>
            <w:r>
              <w:rPr>
                <w:rFonts w:eastAsia="黑体"/>
                <w:szCs w:val="21"/>
              </w:rPr>
              <w:t>19478</w:t>
            </w:r>
          </w:p>
        </w:tc>
        <w:tc>
          <w:tcPr>
            <w:tcW w:w="907" w:type="dxa"/>
            <w:tcBorders>
              <w:tl2br w:val="nil"/>
              <w:tr2bl w:val="nil"/>
            </w:tcBorders>
            <w:vAlign w:val="center"/>
          </w:tcPr>
          <w:p>
            <w:pPr>
              <w:jc w:val="center"/>
              <w:rPr>
                <w:rFonts w:eastAsia="黑体"/>
                <w:szCs w:val="21"/>
              </w:rPr>
            </w:pPr>
            <w:r>
              <w:rPr>
                <w:rFonts w:eastAsia="黑体"/>
                <w:szCs w:val="21"/>
              </w:rPr>
              <w:t>/</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35" w:name="_Toc29500"/>
            <w:bookmarkStart w:id="236" w:name="_Toc14533"/>
            <w:bookmarkStart w:id="237" w:name="_Toc24288"/>
            <w:r>
              <w:rPr>
                <w:rFonts w:eastAsia="黑体"/>
                <w:szCs w:val="21"/>
              </w:rPr>
              <w:t>7</w:t>
            </w:r>
            <w:bookmarkEnd w:id="235"/>
            <w:bookmarkEnd w:id="236"/>
            <w:bookmarkEnd w:id="237"/>
          </w:p>
        </w:tc>
        <w:tc>
          <w:tcPr>
            <w:tcW w:w="1799" w:type="dxa"/>
            <w:tcBorders>
              <w:tl2br w:val="nil"/>
              <w:tr2bl w:val="nil"/>
            </w:tcBorders>
            <w:vAlign w:val="center"/>
          </w:tcPr>
          <w:p>
            <w:pPr>
              <w:jc w:val="center"/>
              <w:rPr>
                <w:rFonts w:eastAsia="黑体"/>
                <w:szCs w:val="21"/>
              </w:rPr>
            </w:pPr>
            <w:r>
              <w:rPr>
                <w:rFonts w:hint="eastAsia" w:eastAsia="黑体"/>
                <w:szCs w:val="21"/>
              </w:rPr>
              <w:t>东史端镇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8070</w:t>
            </w:r>
          </w:p>
        </w:tc>
        <w:tc>
          <w:tcPr>
            <w:tcW w:w="907" w:type="dxa"/>
            <w:tcBorders>
              <w:tl2br w:val="nil"/>
              <w:tr2bl w:val="nil"/>
            </w:tcBorders>
            <w:vAlign w:val="center"/>
          </w:tcPr>
          <w:p>
            <w:pPr>
              <w:jc w:val="center"/>
              <w:rPr>
                <w:rFonts w:eastAsia="黑体"/>
                <w:szCs w:val="21"/>
              </w:rPr>
            </w:pPr>
            <w:r>
              <w:rPr>
                <w:rFonts w:eastAsia="黑体"/>
                <w:szCs w:val="21"/>
              </w:rPr>
              <w:t>492</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105</w:t>
            </w:r>
          </w:p>
        </w:tc>
        <w:tc>
          <w:tcPr>
            <w:tcW w:w="907" w:type="dxa"/>
            <w:tcBorders>
              <w:tl2br w:val="nil"/>
              <w:tr2bl w:val="nil"/>
            </w:tcBorders>
            <w:vAlign w:val="center"/>
          </w:tcPr>
          <w:p>
            <w:pPr>
              <w:jc w:val="center"/>
              <w:rPr>
                <w:rFonts w:eastAsia="黑体"/>
                <w:szCs w:val="21"/>
              </w:rPr>
            </w:pPr>
            <w:r>
              <w:rPr>
                <w:rFonts w:eastAsia="黑体"/>
                <w:szCs w:val="21"/>
              </w:rPr>
              <w:t>5323</w:t>
            </w:r>
          </w:p>
        </w:tc>
        <w:tc>
          <w:tcPr>
            <w:tcW w:w="907" w:type="dxa"/>
            <w:tcBorders>
              <w:tl2br w:val="nil"/>
              <w:tr2bl w:val="nil"/>
            </w:tcBorders>
            <w:vAlign w:val="center"/>
          </w:tcPr>
          <w:p>
            <w:pPr>
              <w:jc w:val="center"/>
              <w:rPr>
                <w:rFonts w:eastAsia="黑体"/>
                <w:szCs w:val="21"/>
              </w:rPr>
            </w:pPr>
            <w:r>
              <w:rPr>
                <w:rFonts w:eastAsia="黑体"/>
                <w:szCs w:val="21"/>
              </w:rPr>
              <w:t>10000</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38" w:name="_Toc288"/>
            <w:bookmarkStart w:id="239" w:name="_Toc3404"/>
            <w:bookmarkStart w:id="240" w:name="_Toc28124"/>
            <w:r>
              <w:rPr>
                <w:rFonts w:eastAsia="黑体"/>
                <w:szCs w:val="21"/>
              </w:rPr>
              <w:t>8</w:t>
            </w:r>
            <w:bookmarkEnd w:id="238"/>
            <w:bookmarkEnd w:id="239"/>
            <w:bookmarkEnd w:id="240"/>
          </w:p>
        </w:tc>
        <w:tc>
          <w:tcPr>
            <w:tcW w:w="1799" w:type="dxa"/>
            <w:tcBorders>
              <w:tl2br w:val="nil"/>
              <w:tr2bl w:val="nil"/>
            </w:tcBorders>
            <w:vAlign w:val="center"/>
          </w:tcPr>
          <w:p>
            <w:pPr>
              <w:jc w:val="center"/>
              <w:rPr>
                <w:rFonts w:eastAsia="黑体"/>
                <w:szCs w:val="21"/>
              </w:rPr>
            </w:pPr>
            <w:r>
              <w:rPr>
                <w:rFonts w:eastAsia="黑体"/>
                <w:szCs w:val="21"/>
              </w:rPr>
              <w:t>高林村镇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17205</w:t>
            </w:r>
          </w:p>
        </w:tc>
        <w:tc>
          <w:tcPr>
            <w:tcW w:w="907" w:type="dxa"/>
            <w:tcBorders>
              <w:tl2br w:val="nil"/>
              <w:tr2bl w:val="nil"/>
            </w:tcBorders>
            <w:vAlign w:val="center"/>
          </w:tcPr>
          <w:p>
            <w:pPr>
              <w:jc w:val="center"/>
              <w:rPr>
                <w:rFonts w:eastAsia="黑体"/>
                <w:szCs w:val="21"/>
              </w:rPr>
            </w:pPr>
            <w:r>
              <w:rPr>
                <w:rFonts w:eastAsia="黑体"/>
                <w:szCs w:val="21"/>
              </w:rPr>
              <w:t>3350</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400</w:t>
            </w:r>
          </w:p>
        </w:tc>
        <w:tc>
          <w:tcPr>
            <w:tcW w:w="907" w:type="dxa"/>
            <w:tcBorders>
              <w:tl2br w:val="nil"/>
              <w:tr2bl w:val="nil"/>
            </w:tcBorders>
            <w:vAlign w:val="center"/>
          </w:tcPr>
          <w:p>
            <w:pPr>
              <w:jc w:val="center"/>
              <w:rPr>
                <w:rFonts w:eastAsia="黑体"/>
                <w:szCs w:val="21"/>
              </w:rPr>
            </w:pPr>
            <w:r>
              <w:rPr>
                <w:rFonts w:eastAsia="黑体"/>
                <w:szCs w:val="21"/>
              </w:rPr>
              <w:t>50867</w:t>
            </w:r>
          </w:p>
        </w:tc>
        <w:tc>
          <w:tcPr>
            <w:tcW w:w="907" w:type="dxa"/>
            <w:tcBorders>
              <w:tl2br w:val="nil"/>
              <w:tr2bl w:val="nil"/>
            </w:tcBorders>
            <w:vAlign w:val="center"/>
          </w:tcPr>
          <w:p>
            <w:pPr>
              <w:jc w:val="center"/>
              <w:rPr>
                <w:rFonts w:eastAsia="黑体"/>
                <w:szCs w:val="21"/>
              </w:rPr>
            </w:pPr>
            <w:r>
              <w:rPr>
                <w:rFonts w:eastAsia="黑体"/>
                <w:szCs w:val="21"/>
              </w:rPr>
              <w:t>11420</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41" w:name="_Toc10728"/>
            <w:r>
              <w:rPr>
                <w:rFonts w:eastAsia="黑体"/>
                <w:szCs w:val="21"/>
              </w:rPr>
              <w:t>9</w:t>
            </w:r>
            <w:bookmarkEnd w:id="241"/>
          </w:p>
        </w:tc>
        <w:tc>
          <w:tcPr>
            <w:tcW w:w="1799" w:type="dxa"/>
            <w:tcBorders>
              <w:tl2br w:val="nil"/>
              <w:tr2bl w:val="nil"/>
            </w:tcBorders>
            <w:vAlign w:val="center"/>
          </w:tcPr>
          <w:p>
            <w:pPr>
              <w:jc w:val="center"/>
              <w:rPr>
                <w:rFonts w:eastAsia="黑体"/>
                <w:szCs w:val="21"/>
              </w:rPr>
            </w:pPr>
            <w:r>
              <w:rPr>
                <w:rFonts w:eastAsia="黑体"/>
                <w:szCs w:val="21"/>
              </w:rPr>
              <w:t>户木乡</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8490</w:t>
            </w:r>
          </w:p>
        </w:tc>
        <w:tc>
          <w:tcPr>
            <w:tcW w:w="907" w:type="dxa"/>
            <w:tcBorders>
              <w:tl2br w:val="nil"/>
              <w:tr2bl w:val="nil"/>
            </w:tcBorders>
            <w:vAlign w:val="center"/>
          </w:tcPr>
          <w:p>
            <w:pPr>
              <w:jc w:val="center"/>
              <w:rPr>
                <w:rFonts w:eastAsia="黑体"/>
                <w:szCs w:val="21"/>
              </w:rPr>
            </w:pPr>
            <w:r>
              <w:rPr>
                <w:rFonts w:eastAsia="黑体"/>
                <w:szCs w:val="21"/>
              </w:rPr>
              <w:t>2885</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402</w:t>
            </w:r>
          </w:p>
        </w:tc>
        <w:tc>
          <w:tcPr>
            <w:tcW w:w="907" w:type="dxa"/>
            <w:tcBorders>
              <w:tl2br w:val="nil"/>
              <w:tr2bl w:val="nil"/>
            </w:tcBorders>
            <w:vAlign w:val="center"/>
          </w:tcPr>
          <w:p>
            <w:pPr>
              <w:jc w:val="center"/>
              <w:rPr>
                <w:rFonts w:eastAsia="黑体"/>
                <w:szCs w:val="21"/>
              </w:rPr>
            </w:pPr>
            <w:r>
              <w:rPr>
                <w:rFonts w:eastAsia="黑体"/>
                <w:szCs w:val="21"/>
              </w:rPr>
              <w:t>17812</w:t>
            </w:r>
          </w:p>
        </w:tc>
        <w:tc>
          <w:tcPr>
            <w:tcW w:w="907" w:type="dxa"/>
            <w:tcBorders>
              <w:tl2br w:val="nil"/>
              <w:tr2bl w:val="nil"/>
            </w:tcBorders>
            <w:vAlign w:val="center"/>
          </w:tcPr>
          <w:p>
            <w:pPr>
              <w:jc w:val="center"/>
              <w:rPr>
                <w:rFonts w:eastAsia="黑体"/>
                <w:szCs w:val="21"/>
              </w:rPr>
            </w:pPr>
            <w:r>
              <w:rPr>
                <w:rFonts w:eastAsia="黑体"/>
                <w:szCs w:val="21"/>
              </w:rPr>
              <w:t>15000</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bookmarkStart w:id="242" w:name="_Toc22564"/>
            <w:bookmarkStart w:id="243" w:name="_Toc8394"/>
            <w:bookmarkStart w:id="244" w:name="_Toc24893"/>
            <w:r>
              <w:rPr>
                <w:rFonts w:eastAsia="黑体"/>
                <w:szCs w:val="21"/>
              </w:rPr>
              <w:t>10</w:t>
            </w:r>
          </w:p>
        </w:tc>
        <w:tc>
          <w:tcPr>
            <w:tcW w:w="1799" w:type="dxa"/>
            <w:tcBorders>
              <w:tl2br w:val="nil"/>
              <w:tr2bl w:val="nil"/>
            </w:tcBorders>
            <w:vAlign w:val="center"/>
          </w:tcPr>
          <w:p>
            <w:pPr>
              <w:jc w:val="center"/>
              <w:rPr>
                <w:rFonts w:eastAsia="黑体"/>
                <w:szCs w:val="21"/>
              </w:rPr>
            </w:pPr>
            <w:r>
              <w:rPr>
                <w:rFonts w:eastAsia="黑体"/>
                <w:szCs w:val="21"/>
              </w:rPr>
              <w:t>留村镇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4495</w:t>
            </w:r>
          </w:p>
        </w:tc>
        <w:tc>
          <w:tcPr>
            <w:tcW w:w="907" w:type="dxa"/>
            <w:tcBorders>
              <w:tl2br w:val="nil"/>
              <w:tr2bl w:val="nil"/>
            </w:tcBorders>
            <w:vAlign w:val="center"/>
          </w:tcPr>
          <w:p>
            <w:pPr>
              <w:jc w:val="center"/>
              <w:rPr>
                <w:rFonts w:eastAsia="黑体"/>
                <w:szCs w:val="21"/>
              </w:rPr>
            </w:pPr>
            <w:r>
              <w:rPr>
                <w:rFonts w:eastAsia="黑体"/>
                <w:szCs w:val="21"/>
              </w:rPr>
              <w:t>1675</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115</w:t>
            </w:r>
          </w:p>
        </w:tc>
        <w:tc>
          <w:tcPr>
            <w:tcW w:w="907" w:type="dxa"/>
            <w:tcBorders>
              <w:tl2br w:val="nil"/>
              <w:tr2bl w:val="nil"/>
            </w:tcBorders>
            <w:vAlign w:val="center"/>
          </w:tcPr>
          <w:p>
            <w:pPr>
              <w:jc w:val="center"/>
              <w:rPr>
                <w:rFonts w:eastAsia="黑体"/>
                <w:szCs w:val="21"/>
              </w:rPr>
            </w:pPr>
            <w:r>
              <w:rPr>
                <w:rFonts w:eastAsia="黑体"/>
                <w:szCs w:val="21"/>
              </w:rPr>
              <w:t>66515</w:t>
            </w:r>
          </w:p>
        </w:tc>
        <w:tc>
          <w:tcPr>
            <w:tcW w:w="907" w:type="dxa"/>
            <w:tcBorders>
              <w:tl2br w:val="nil"/>
              <w:tr2bl w:val="nil"/>
            </w:tcBorders>
            <w:vAlign w:val="center"/>
          </w:tcPr>
          <w:p>
            <w:pPr>
              <w:jc w:val="center"/>
              <w:rPr>
                <w:rFonts w:eastAsia="黑体"/>
                <w:szCs w:val="21"/>
              </w:rPr>
            </w:pPr>
            <w:r>
              <w:rPr>
                <w:rFonts w:eastAsia="黑体"/>
                <w:szCs w:val="21"/>
              </w:rPr>
              <w:t>/</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r>
              <w:rPr>
                <w:rFonts w:eastAsia="黑体"/>
                <w:szCs w:val="21"/>
              </w:rPr>
              <w:t>11</w:t>
            </w:r>
          </w:p>
        </w:tc>
        <w:tc>
          <w:tcPr>
            <w:tcW w:w="1799" w:type="dxa"/>
            <w:tcBorders>
              <w:tl2br w:val="nil"/>
              <w:tr2bl w:val="nil"/>
            </w:tcBorders>
            <w:vAlign w:val="center"/>
          </w:tcPr>
          <w:p>
            <w:pPr>
              <w:jc w:val="center"/>
              <w:rPr>
                <w:rFonts w:eastAsia="黑体"/>
                <w:szCs w:val="21"/>
              </w:rPr>
            </w:pPr>
            <w:r>
              <w:rPr>
                <w:rFonts w:eastAsia="黑体"/>
                <w:szCs w:val="21"/>
              </w:rPr>
              <w:t>瀑河乡</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7772</w:t>
            </w:r>
          </w:p>
        </w:tc>
        <w:tc>
          <w:tcPr>
            <w:tcW w:w="907" w:type="dxa"/>
            <w:tcBorders>
              <w:tl2br w:val="nil"/>
              <w:tr2bl w:val="nil"/>
            </w:tcBorders>
            <w:vAlign w:val="center"/>
          </w:tcPr>
          <w:p>
            <w:pPr>
              <w:jc w:val="center"/>
              <w:rPr>
                <w:rFonts w:eastAsia="黑体"/>
                <w:szCs w:val="21"/>
              </w:rPr>
            </w:pPr>
            <w:r>
              <w:rPr>
                <w:rFonts w:eastAsia="黑体"/>
                <w:szCs w:val="21"/>
              </w:rPr>
              <w:t>1850</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875</w:t>
            </w:r>
          </w:p>
        </w:tc>
        <w:tc>
          <w:tcPr>
            <w:tcW w:w="907" w:type="dxa"/>
            <w:tcBorders>
              <w:tl2br w:val="nil"/>
              <w:tr2bl w:val="nil"/>
            </w:tcBorders>
            <w:vAlign w:val="center"/>
          </w:tcPr>
          <w:p>
            <w:pPr>
              <w:jc w:val="center"/>
              <w:rPr>
                <w:rFonts w:eastAsia="黑体"/>
                <w:szCs w:val="21"/>
              </w:rPr>
            </w:pPr>
            <w:r>
              <w:rPr>
                <w:rFonts w:eastAsia="黑体"/>
                <w:szCs w:val="21"/>
              </w:rPr>
              <w:t>88795</w:t>
            </w:r>
          </w:p>
        </w:tc>
        <w:tc>
          <w:tcPr>
            <w:tcW w:w="907" w:type="dxa"/>
            <w:tcBorders>
              <w:tl2br w:val="nil"/>
              <w:tr2bl w:val="nil"/>
            </w:tcBorders>
            <w:vAlign w:val="center"/>
          </w:tcPr>
          <w:p>
            <w:pPr>
              <w:jc w:val="center"/>
              <w:rPr>
                <w:rFonts w:eastAsia="黑体"/>
                <w:szCs w:val="21"/>
              </w:rPr>
            </w:pPr>
            <w:r>
              <w:rPr>
                <w:rFonts w:eastAsia="黑体"/>
                <w:szCs w:val="21"/>
              </w:rPr>
              <w:t>/</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r>
              <w:rPr>
                <w:rFonts w:eastAsia="黑体"/>
                <w:szCs w:val="21"/>
              </w:rPr>
              <w:t>12</w:t>
            </w:r>
          </w:p>
        </w:tc>
        <w:tc>
          <w:tcPr>
            <w:tcW w:w="1799" w:type="dxa"/>
            <w:tcBorders>
              <w:tl2br w:val="nil"/>
              <w:tr2bl w:val="nil"/>
            </w:tcBorders>
            <w:vAlign w:val="center"/>
          </w:tcPr>
          <w:p>
            <w:pPr>
              <w:jc w:val="center"/>
              <w:rPr>
                <w:rFonts w:eastAsia="黑体"/>
                <w:szCs w:val="21"/>
              </w:rPr>
            </w:pPr>
            <w:r>
              <w:rPr>
                <w:rFonts w:eastAsia="黑体"/>
                <w:szCs w:val="21"/>
              </w:rPr>
              <w:t>遂城镇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11925</w:t>
            </w:r>
          </w:p>
        </w:tc>
        <w:tc>
          <w:tcPr>
            <w:tcW w:w="907" w:type="dxa"/>
            <w:tcBorders>
              <w:tl2br w:val="nil"/>
              <w:tr2bl w:val="nil"/>
            </w:tcBorders>
            <w:vAlign w:val="center"/>
          </w:tcPr>
          <w:p>
            <w:pPr>
              <w:jc w:val="center"/>
              <w:rPr>
                <w:rFonts w:eastAsia="黑体"/>
                <w:szCs w:val="21"/>
              </w:rPr>
            </w:pPr>
            <w:r>
              <w:rPr>
                <w:rFonts w:eastAsia="黑体"/>
                <w:szCs w:val="21"/>
              </w:rPr>
              <w:t>1910</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965</w:t>
            </w:r>
          </w:p>
        </w:tc>
        <w:tc>
          <w:tcPr>
            <w:tcW w:w="907" w:type="dxa"/>
            <w:tcBorders>
              <w:tl2br w:val="nil"/>
              <w:tr2bl w:val="nil"/>
            </w:tcBorders>
            <w:vAlign w:val="center"/>
          </w:tcPr>
          <w:p>
            <w:pPr>
              <w:jc w:val="center"/>
              <w:rPr>
                <w:rFonts w:eastAsia="黑体"/>
                <w:szCs w:val="21"/>
              </w:rPr>
            </w:pPr>
            <w:r>
              <w:rPr>
                <w:rFonts w:eastAsia="黑体"/>
                <w:szCs w:val="21"/>
              </w:rPr>
              <w:t>136393</w:t>
            </w:r>
          </w:p>
        </w:tc>
        <w:tc>
          <w:tcPr>
            <w:tcW w:w="907" w:type="dxa"/>
            <w:tcBorders>
              <w:tl2br w:val="nil"/>
              <w:tr2bl w:val="nil"/>
            </w:tcBorders>
            <w:vAlign w:val="center"/>
          </w:tcPr>
          <w:p>
            <w:pPr>
              <w:jc w:val="center"/>
              <w:rPr>
                <w:rFonts w:eastAsia="黑体"/>
                <w:szCs w:val="21"/>
              </w:rPr>
            </w:pPr>
            <w:r>
              <w:rPr>
                <w:rFonts w:eastAsia="黑体"/>
                <w:szCs w:val="21"/>
              </w:rPr>
              <w:t>13000</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r>
              <w:rPr>
                <w:rFonts w:eastAsia="黑体"/>
                <w:szCs w:val="21"/>
              </w:rPr>
              <w:t>13</w:t>
            </w:r>
          </w:p>
        </w:tc>
        <w:tc>
          <w:tcPr>
            <w:tcW w:w="1799" w:type="dxa"/>
            <w:tcBorders>
              <w:tl2br w:val="nil"/>
              <w:tr2bl w:val="nil"/>
            </w:tcBorders>
            <w:vAlign w:val="center"/>
          </w:tcPr>
          <w:p>
            <w:pPr>
              <w:jc w:val="center"/>
              <w:rPr>
                <w:rFonts w:eastAsia="黑体"/>
                <w:szCs w:val="21"/>
              </w:rPr>
            </w:pPr>
            <w:r>
              <w:rPr>
                <w:rFonts w:eastAsia="黑体"/>
                <w:szCs w:val="21"/>
              </w:rPr>
              <w:t>正村镇</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7210</w:t>
            </w:r>
          </w:p>
        </w:tc>
        <w:tc>
          <w:tcPr>
            <w:tcW w:w="907" w:type="dxa"/>
            <w:tcBorders>
              <w:tl2br w:val="nil"/>
              <w:tr2bl w:val="nil"/>
            </w:tcBorders>
            <w:vAlign w:val="center"/>
          </w:tcPr>
          <w:p>
            <w:pPr>
              <w:jc w:val="center"/>
              <w:rPr>
                <w:rFonts w:eastAsia="黑体"/>
                <w:szCs w:val="21"/>
              </w:rPr>
            </w:pPr>
            <w:r>
              <w:rPr>
                <w:rFonts w:eastAsia="黑体"/>
                <w:szCs w:val="21"/>
              </w:rPr>
              <w:t>853</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306</w:t>
            </w:r>
          </w:p>
        </w:tc>
        <w:tc>
          <w:tcPr>
            <w:tcW w:w="907" w:type="dxa"/>
            <w:tcBorders>
              <w:tl2br w:val="nil"/>
              <w:tr2bl w:val="nil"/>
            </w:tcBorders>
            <w:vAlign w:val="center"/>
          </w:tcPr>
          <w:p>
            <w:pPr>
              <w:jc w:val="center"/>
              <w:rPr>
                <w:rFonts w:eastAsia="黑体"/>
                <w:szCs w:val="21"/>
              </w:rPr>
            </w:pPr>
            <w:r>
              <w:rPr>
                <w:rFonts w:eastAsia="黑体"/>
                <w:szCs w:val="21"/>
              </w:rPr>
              <w:t>51381</w:t>
            </w:r>
          </w:p>
        </w:tc>
        <w:tc>
          <w:tcPr>
            <w:tcW w:w="907" w:type="dxa"/>
            <w:tcBorders>
              <w:tl2br w:val="nil"/>
              <w:tr2bl w:val="nil"/>
            </w:tcBorders>
            <w:vAlign w:val="center"/>
          </w:tcPr>
          <w:p>
            <w:pPr>
              <w:jc w:val="center"/>
              <w:rPr>
                <w:rFonts w:eastAsia="黑体"/>
                <w:szCs w:val="21"/>
              </w:rPr>
            </w:pPr>
            <w:r>
              <w:rPr>
                <w:rFonts w:eastAsia="黑体"/>
                <w:szCs w:val="21"/>
              </w:rPr>
              <w:t>14500</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pPr>
              <w:jc w:val="center"/>
              <w:rPr>
                <w:rFonts w:eastAsia="黑体"/>
                <w:szCs w:val="21"/>
              </w:rPr>
            </w:pPr>
            <w:r>
              <w:rPr>
                <w:rFonts w:eastAsia="黑体"/>
                <w:szCs w:val="21"/>
              </w:rPr>
              <w:t>14</w:t>
            </w:r>
          </w:p>
        </w:tc>
        <w:tc>
          <w:tcPr>
            <w:tcW w:w="1799" w:type="dxa"/>
            <w:tcBorders>
              <w:tl2br w:val="nil"/>
              <w:tr2bl w:val="nil"/>
            </w:tcBorders>
            <w:vAlign w:val="center"/>
          </w:tcPr>
          <w:p>
            <w:pPr>
              <w:jc w:val="center"/>
              <w:rPr>
                <w:rFonts w:eastAsia="黑体"/>
                <w:szCs w:val="21"/>
              </w:rPr>
            </w:pPr>
            <w:r>
              <w:rPr>
                <w:rFonts w:eastAsia="黑体"/>
                <w:szCs w:val="21"/>
              </w:rPr>
              <w:t>义联庄乡</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3315</w:t>
            </w:r>
          </w:p>
        </w:tc>
        <w:tc>
          <w:tcPr>
            <w:tcW w:w="907" w:type="dxa"/>
            <w:tcBorders>
              <w:tl2br w:val="nil"/>
              <w:tr2bl w:val="nil"/>
            </w:tcBorders>
            <w:vAlign w:val="center"/>
          </w:tcPr>
          <w:p>
            <w:pPr>
              <w:jc w:val="center"/>
              <w:rPr>
                <w:rFonts w:eastAsia="黑体"/>
                <w:szCs w:val="21"/>
              </w:rPr>
            </w:pPr>
            <w:r>
              <w:rPr>
                <w:rFonts w:eastAsia="黑体"/>
                <w:szCs w:val="21"/>
              </w:rPr>
              <w:t>3620</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102</w:t>
            </w:r>
          </w:p>
        </w:tc>
        <w:tc>
          <w:tcPr>
            <w:tcW w:w="907" w:type="dxa"/>
            <w:tcBorders>
              <w:tl2br w:val="nil"/>
              <w:tr2bl w:val="nil"/>
            </w:tcBorders>
            <w:vAlign w:val="center"/>
          </w:tcPr>
          <w:p>
            <w:pPr>
              <w:jc w:val="center"/>
              <w:rPr>
                <w:rFonts w:eastAsia="黑体"/>
                <w:szCs w:val="21"/>
              </w:rPr>
            </w:pPr>
            <w:r>
              <w:rPr>
                <w:rFonts w:eastAsia="黑体"/>
                <w:szCs w:val="21"/>
              </w:rPr>
              <w:t>19462</w:t>
            </w:r>
          </w:p>
        </w:tc>
        <w:tc>
          <w:tcPr>
            <w:tcW w:w="907" w:type="dxa"/>
            <w:tcBorders>
              <w:tl2br w:val="nil"/>
              <w:tr2bl w:val="nil"/>
            </w:tcBorders>
            <w:vAlign w:val="center"/>
          </w:tcPr>
          <w:p>
            <w:pPr>
              <w:jc w:val="center"/>
              <w:rPr>
                <w:rFonts w:eastAsia="黑体"/>
                <w:szCs w:val="21"/>
              </w:rPr>
            </w:pPr>
            <w:r>
              <w:rPr>
                <w:rFonts w:eastAsia="黑体"/>
                <w:szCs w:val="21"/>
              </w:rPr>
              <w:t>/</w:t>
            </w:r>
          </w:p>
        </w:tc>
        <w:tc>
          <w:tcPr>
            <w:tcW w:w="907" w:type="dxa"/>
            <w:tcBorders>
              <w:tl2br w:val="nil"/>
              <w:tr2bl w:val="nil"/>
            </w:tcBorders>
            <w:vAlign w:val="center"/>
          </w:tcPr>
          <w:p>
            <w:pPr>
              <w:jc w:val="center"/>
              <w:rPr>
                <w:rFonts w:eastAsia="黑体"/>
                <w:szCs w:val="21"/>
              </w:rPr>
            </w:pPr>
            <w:r>
              <w:rPr>
                <w:rFonts w:eastAsia="黑体"/>
                <w:szCs w:val="21"/>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575" w:type="dxa"/>
            <w:gridSpan w:val="2"/>
            <w:tcBorders>
              <w:tl2br w:val="nil"/>
              <w:tr2bl w:val="nil"/>
            </w:tcBorders>
            <w:vAlign w:val="center"/>
          </w:tcPr>
          <w:p>
            <w:pPr>
              <w:jc w:val="center"/>
              <w:rPr>
                <w:rFonts w:eastAsia="黑体"/>
                <w:szCs w:val="21"/>
              </w:rPr>
            </w:pPr>
            <w:r>
              <w:rPr>
                <w:rFonts w:eastAsia="黑体"/>
                <w:szCs w:val="21"/>
              </w:rPr>
              <w:t>合计</w:t>
            </w:r>
            <w:bookmarkEnd w:id="242"/>
            <w:bookmarkEnd w:id="243"/>
            <w:bookmarkEnd w:id="244"/>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189499</w:t>
            </w:r>
          </w:p>
        </w:tc>
        <w:tc>
          <w:tcPr>
            <w:tcW w:w="907" w:type="dxa"/>
            <w:tcBorders>
              <w:tl2br w:val="nil"/>
              <w:tr2bl w:val="nil"/>
            </w:tcBorders>
            <w:vAlign w:val="center"/>
          </w:tcPr>
          <w:p>
            <w:pPr>
              <w:jc w:val="center"/>
              <w:rPr>
                <w:rFonts w:eastAsia="黑体"/>
                <w:szCs w:val="21"/>
              </w:rPr>
            </w:pPr>
            <w:r>
              <w:rPr>
                <w:rFonts w:eastAsia="黑体"/>
                <w:szCs w:val="21"/>
              </w:rPr>
              <w:t>45153</w:t>
            </w:r>
          </w:p>
        </w:tc>
        <w:tc>
          <w:tcPr>
            <w:tcW w:w="907" w:type="dxa"/>
            <w:tcBorders>
              <w:tl2br w:val="nil"/>
              <w:tr2bl w:val="nil"/>
            </w:tcBorders>
            <w:vAlign w:val="center"/>
          </w:tcPr>
          <w:p>
            <w:pPr>
              <w:widowControl/>
              <w:jc w:val="center"/>
              <w:textAlignment w:val="center"/>
              <w:rPr>
                <w:rFonts w:eastAsia="黑体"/>
                <w:szCs w:val="21"/>
              </w:rPr>
            </w:pPr>
            <w:r>
              <w:rPr>
                <w:color w:val="000000"/>
                <w:kern w:val="0"/>
                <w:szCs w:val="21"/>
                <w:lang w:bidi="ar"/>
              </w:rPr>
              <w:t>7770</w:t>
            </w:r>
          </w:p>
        </w:tc>
        <w:tc>
          <w:tcPr>
            <w:tcW w:w="907" w:type="dxa"/>
            <w:tcBorders>
              <w:tl2br w:val="nil"/>
              <w:tr2bl w:val="nil"/>
            </w:tcBorders>
            <w:vAlign w:val="center"/>
          </w:tcPr>
          <w:p>
            <w:pPr>
              <w:jc w:val="center"/>
              <w:rPr>
                <w:rFonts w:eastAsia="黑体"/>
                <w:szCs w:val="21"/>
              </w:rPr>
            </w:pPr>
            <w:r>
              <w:rPr>
                <w:rFonts w:eastAsia="黑体"/>
                <w:szCs w:val="21"/>
              </w:rPr>
              <w:t>654961</w:t>
            </w:r>
          </w:p>
        </w:tc>
        <w:tc>
          <w:tcPr>
            <w:tcW w:w="907" w:type="dxa"/>
            <w:tcBorders>
              <w:tl2br w:val="nil"/>
              <w:tr2bl w:val="nil"/>
            </w:tcBorders>
            <w:vAlign w:val="center"/>
          </w:tcPr>
          <w:p>
            <w:pPr>
              <w:jc w:val="center"/>
              <w:rPr>
                <w:rFonts w:eastAsia="黑体"/>
                <w:szCs w:val="21"/>
              </w:rPr>
            </w:pPr>
            <w:r>
              <w:rPr>
                <w:rFonts w:eastAsia="黑体"/>
                <w:szCs w:val="21"/>
              </w:rPr>
              <w:t>99271</w:t>
            </w:r>
          </w:p>
        </w:tc>
        <w:tc>
          <w:tcPr>
            <w:tcW w:w="907" w:type="dxa"/>
            <w:tcBorders>
              <w:tl2br w:val="nil"/>
              <w:tr2bl w:val="nil"/>
            </w:tcBorders>
            <w:vAlign w:val="center"/>
          </w:tcPr>
          <w:p>
            <w:pPr>
              <w:jc w:val="center"/>
              <w:rPr>
                <w:rFonts w:eastAsia="黑体"/>
                <w:szCs w:val="21"/>
              </w:rPr>
            </w:pPr>
            <w:r>
              <w:rPr>
                <w:rFonts w:eastAsia="黑体"/>
                <w:szCs w:val="21"/>
              </w:rPr>
              <w:t>8000</w:t>
            </w:r>
          </w:p>
        </w:tc>
      </w:tr>
    </w:tbl>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徐水区养殖专业户和养殖散户的养殖种类以生猪和肉牛为主，其中生猪的养殖量最大，且禽类养殖较少。</w:t>
      </w:r>
    </w:p>
    <w:p>
      <w:pPr>
        <w:pStyle w:val="2"/>
        <w:ind w:firstLine="0"/>
        <w:rPr>
          <w:rFonts w:ascii="Times New Roman" w:hAnsi="Times New Roman"/>
          <w:b/>
          <w:bCs/>
          <w:sz w:val="28"/>
          <w:szCs w:val="28"/>
          <w:lang w:val="en-US"/>
        </w:rPr>
      </w:pPr>
      <w:r>
        <w:rPr>
          <w:rFonts w:ascii="Times New Roman" w:hAnsi="Times New Roman"/>
          <w:b/>
          <w:bCs/>
          <w:sz w:val="28"/>
          <w:szCs w:val="28"/>
          <w:lang w:val="en-US"/>
        </w:rPr>
        <w:t>2.4.2.2 规模化养殖场畜禽养殖统计数据</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徐水区各规模化养殖场畜禽养殖统计数据见附表1、表2.4-3。</w:t>
      </w:r>
    </w:p>
    <w:p>
      <w:pPr>
        <w:spacing w:line="360" w:lineRule="auto"/>
        <w:jc w:val="center"/>
        <w:rPr>
          <w:sz w:val="28"/>
          <w:szCs w:val="28"/>
        </w:rPr>
      </w:pPr>
      <w:r>
        <w:rPr>
          <w:rFonts w:eastAsia="黑体"/>
          <w:b/>
          <w:bCs/>
          <w:szCs w:val="21"/>
        </w:rPr>
        <w:t>表2.4-3  规模化养殖场畜禽养殖统计数据一览表  单位：头、羽</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688"/>
        <w:gridCol w:w="1266"/>
        <w:gridCol w:w="977"/>
        <w:gridCol w:w="977"/>
        <w:gridCol w:w="977"/>
        <w:gridCol w:w="977"/>
        <w:gridCol w:w="979"/>
        <w:gridCol w:w="97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88" w:type="dxa"/>
            <w:tcBorders>
              <w:tl2br w:val="nil"/>
              <w:tr2bl w:val="nil"/>
            </w:tcBorders>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序号</w:t>
            </w:r>
          </w:p>
        </w:tc>
        <w:tc>
          <w:tcPr>
            <w:tcW w:w="1266" w:type="dxa"/>
            <w:tcBorders>
              <w:tl2br w:val="nil"/>
              <w:tr2bl w:val="nil"/>
            </w:tcBorders>
            <w:shd w:val="clear" w:color="auto" w:fill="auto"/>
            <w:vAlign w:val="center"/>
          </w:tcPr>
          <w:p>
            <w:pPr>
              <w:widowControl/>
              <w:jc w:val="center"/>
              <w:rPr>
                <w:rFonts w:eastAsia="黑体"/>
                <w:b/>
                <w:bCs/>
                <w:color w:val="000000"/>
                <w:kern w:val="0"/>
                <w:szCs w:val="21"/>
              </w:rPr>
            </w:pPr>
            <w:r>
              <w:rPr>
                <w:rFonts w:eastAsia="黑体"/>
                <w:b/>
                <w:bCs/>
                <w:color w:val="000000"/>
                <w:kern w:val="0"/>
                <w:szCs w:val="21"/>
              </w:rPr>
              <w:t>乡镇</w:t>
            </w:r>
          </w:p>
        </w:tc>
        <w:tc>
          <w:tcPr>
            <w:tcW w:w="977" w:type="dxa"/>
            <w:tcBorders>
              <w:tl2br w:val="nil"/>
              <w:tr2bl w:val="nil"/>
            </w:tcBorders>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生猪</w:t>
            </w:r>
          </w:p>
        </w:tc>
        <w:tc>
          <w:tcPr>
            <w:tcW w:w="977" w:type="dxa"/>
            <w:tcBorders>
              <w:tl2br w:val="nil"/>
              <w:tr2bl w:val="nil"/>
            </w:tcBorders>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奶牛</w:t>
            </w:r>
          </w:p>
        </w:tc>
        <w:tc>
          <w:tcPr>
            <w:tcW w:w="977" w:type="dxa"/>
            <w:tcBorders>
              <w:tl2br w:val="nil"/>
              <w:tr2bl w:val="nil"/>
            </w:tcBorders>
            <w:shd w:val="clear" w:color="auto" w:fill="auto"/>
            <w:vAlign w:val="center"/>
          </w:tcPr>
          <w:p>
            <w:pPr>
              <w:widowControl/>
              <w:jc w:val="center"/>
              <w:rPr>
                <w:rFonts w:eastAsia="黑体"/>
                <w:b/>
                <w:bCs/>
                <w:color w:val="000000"/>
                <w:kern w:val="0"/>
                <w:szCs w:val="21"/>
              </w:rPr>
            </w:pPr>
            <w:r>
              <w:rPr>
                <w:rFonts w:eastAsia="黑体"/>
                <w:b/>
                <w:bCs/>
                <w:color w:val="000000"/>
                <w:kern w:val="0"/>
                <w:szCs w:val="21"/>
              </w:rPr>
              <w:t>肉牛</w:t>
            </w:r>
          </w:p>
        </w:tc>
        <w:tc>
          <w:tcPr>
            <w:tcW w:w="977" w:type="dxa"/>
            <w:tcBorders>
              <w:tl2br w:val="nil"/>
              <w:tr2bl w:val="nil"/>
            </w:tcBorders>
            <w:shd w:val="clear" w:color="auto" w:fill="auto"/>
            <w:vAlign w:val="center"/>
          </w:tcPr>
          <w:p>
            <w:pPr>
              <w:widowControl/>
              <w:jc w:val="center"/>
              <w:rPr>
                <w:rFonts w:eastAsia="黑体"/>
                <w:b/>
                <w:bCs/>
                <w:color w:val="000000"/>
                <w:kern w:val="0"/>
                <w:szCs w:val="21"/>
              </w:rPr>
            </w:pPr>
            <w:r>
              <w:rPr>
                <w:rFonts w:eastAsia="黑体"/>
                <w:b/>
                <w:bCs/>
                <w:color w:val="000000"/>
                <w:kern w:val="0"/>
                <w:szCs w:val="21"/>
              </w:rPr>
              <w:t>蛋鸡</w:t>
            </w:r>
          </w:p>
        </w:tc>
        <w:tc>
          <w:tcPr>
            <w:tcW w:w="979" w:type="dxa"/>
            <w:tcBorders>
              <w:tl2br w:val="nil"/>
              <w:tr2bl w:val="nil"/>
            </w:tcBorders>
            <w:shd w:val="clear" w:color="auto" w:fill="auto"/>
            <w:vAlign w:val="center"/>
          </w:tcPr>
          <w:p>
            <w:pPr>
              <w:widowControl/>
              <w:jc w:val="center"/>
              <w:rPr>
                <w:rFonts w:eastAsia="黑体"/>
                <w:b/>
                <w:bCs/>
                <w:color w:val="000000"/>
                <w:kern w:val="0"/>
                <w:szCs w:val="21"/>
              </w:rPr>
            </w:pPr>
            <w:r>
              <w:rPr>
                <w:rFonts w:eastAsia="黑体"/>
                <w:b/>
                <w:bCs/>
                <w:color w:val="000000"/>
                <w:kern w:val="0"/>
                <w:szCs w:val="21"/>
              </w:rPr>
              <w:t>肉鸡</w:t>
            </w:r>
          </w:p>
        </w:tc>
        <w:tc>
          <w:tcPr>
            <w:tcW w:w="979" w:type="dxa"/>
            <w:tcBorders>
              <w:tl2br w:val="nil"/>
              <w:tr2bl w:val="nil"/>
            </w:tcBorders>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1</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安肃镇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8613</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30000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2</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漕河镇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872</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5960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664</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3</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崔庄镇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4453</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1215</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8000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120000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600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4</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大王店镇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1021</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1015</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380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5</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大因镇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6630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2100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600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6</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东釜山乡</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230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20000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7</w:t>
            </w:r>
          </w:p>
        </w:tc>
        <w:tc>
          <w:tcPr>
            <w:tcW w:w="1266" w:type="dxa"/>
            <w:tcBorders>
              <w:tl2br w:val="nil"/>
              <w:tr2bl w:val="nil"/>
            </w:tcBorders>
            <w:shd w:val="clear" w:color="auto" w:fill="auto"/>
            <w:vAlign w:val="center"/>
          </w:tcPr>
          <w:p>
            <w:pPr>
              <w:widowControl/>
              <w:jc w:val="center"/>
              <w:rPr>
                <w:color w:val="000000"/>
                <w:kern w:val="0"/>
                <w:szCs w:val="21"/>
              </w:rPr>
            </w:pPr>
            <w:r>
              <w:rPr>
                <w:rFonts w:hint="eastAsia" w:eastAsia="黑体"/>
                <w:color w:val="000000"/>
                <w:kern w:val="0"/>
                <w:szCs w:val="21"/>
              </w:rPr>
              <w:t>东史端镇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1120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264600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8</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高林村镇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1180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1160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675200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293500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9</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户木乡</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6000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2110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200000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10</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留村镇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3250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11</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瀑河乡</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682</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490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8000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12</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遂城镇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1220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602</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8000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13</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正村镇</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590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1180</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9500</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14</w:t>
            </w:r>
          </w:p>
        </w:tc>
        <w:tc>
          <w:tcPr>
            <w:tcW w:w="1266" w:type="dxa"/>
            <w:tcBorders>
              <w:tl2br w:val="nil"/>
              <w:tr2bl w:val="nil"/>
            </w:tcBorders>
            <w:shd w:val="clear" w:color="auto" w:fill="auto"/>
            <w:vAlign w:val="center"/>
          </w:tcPr>
          <w:p>
            <w:pPr>
              <w:widowControl/>
              <w:jc w:val="center"/>
              <w:rPr>
                <w:color w:val="000000"/>
                <w:kern w:val="0"/>
                <w:szCs w:val="21"/>
              </w:rPr>
            </w:pPr>
            <w:r>
              <w:rPr>
                <w:rFonts w:eastAsia="黑体"/>
                <w:color w:val="000000"/>
                <w:kern w:val="0"/>
                <w:szCs w:val="21"/>
              </w:rPr>
              <w:t>义联庄乡</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pPr>
              <w:widowControl/>
              <w:jc w:val="center"/>
              <w:rPr>
                <w:color w:val="000000"/>
                <w:kern w:val="0"/>
                <w:szCs w:val="21"/>
              </w:rPr>
            </w:pPr>
            <w:r>
              <w:rPr>
                <w:color w:val="000000"/>
                <w:kern w:val="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954" w:type="dxa"/>
            <w:gridSpan w:val="2"/>
            <w:tcBorders>
              <w:tl2br w:val="nil"/>
              <w:tr2bl w:val="nil"/>
            </w:tcBorders>
            <w:shd w:val="clear" w:color="auto" w:fill="auto"/>
            <w:vAlign w:val="center"/>
          </w:tcPr>
          <w:p>
            <w:pPr>
              <w:widowControl/>
              <w:jc w:val="center"/>
              <w:rPr>
                <w:rFonts w:eastAsia="黑体"/>
                <w:color w:val="000000"/>
                <w:kern w:val="0"/>
                <w:szCs w:val="21"/>
              </w:rPr>
            </w:pPr>
            <w:r>
              <w:rPr>
                <w:rFonts w:eastAsia="黑体"/>
                <w:color w:val="000000"/>
                <w:kern w:val="0"/>
                <w:szCs w:val="21"/>
              </w:rPr>
              <w:t>合计</w:t>
            </w:r>
          </w:p>
        </w:tc>
        <w:tc>
          <w:tcPr>
            <w:tcW w:w="977" w:type="dxa"/>
            <w:tcBorders>
              <w:tl2br w:val="nil"/>
              <w:tr2bl w:val="nil"/>
            </w:tcBorders>
            <w:shd w:val="clear" w:color="auto" w:fill="auto"/>
            <w:vAlign w:val="center"/>
          </w:tcPr>
          <w:p>
            <w:pPr>
              <w:widowControl/>
              <w:jc w:val="center"/>
              <w:textAlignment w:val="center"/>
              <w:rPr>
                <w:color w:val="000000"/>
                <w:kern w:val="0"/>
                <w:szCs w:val="21"/>
              </w:rPr>
            </w:pPr>
            <w:r>
              <w:rPr>
                <w:color w:val="000000"/>
                <w:kern w:val="0"/>
                <w:szCs w:val="21"/>
                <w:lang w:bidi="ar"/>
              </w:rPr>
              <w:t>32611</w:t>
            </w:r>
          </w:p>
        </w:tc>
        <w:tc>
          <w:tcPr>
            <w:tcW w:w="977" w:type="dxa"/>
            <w:tcBorders>
              <w:tl2br w:val="nil"/>
              <w:tr2bl w:val="nil"/>
            </w:tcBorders>
            <w:shd w:val="clear" w:color="auto" w:fill="auto"/>
            <w:vAlign w:val="center"/>
          </w:tcPr>
          <w:p>
            <w:pPr>
              <w:widowControl/>
              <w:jc w:val="center"/>
              <w:textAlignment w:val="center"/>
              <w:rPr>
                <w:color w:val="000000"/>
                <w:kern w:val="0"/>
                <w:szCs w:val="21"/>
              </w:rPr>
            </w:pPr>
            <w:r>
              <w:rPr>
                <w:color w:val="000000"/>
                <w:kern w:val="0"/>
                <w:szCs w:val="21"/>
                <w:lang w:bidi="ar"/>
              </w:rPr>
              <w:t>18480</w:t>
            </w:r>
          </w:p>
        </w:tc>
        <w:tc>
          <w:tcPr>
            <w:tcW w:w="977" w:type="dxa"/>
            <w:tcBorders>
              <w:tl2br w:val="nil"/>
              <w:tr2bl w:val="nil"/>
            </w:tcBorders>
            <w:shd w:val="clear" w:color="auto" w:fill="auto"/>
            <w:vAlign w:val="center"/>
          </w:tcPr>
          <w:p>
            <w:pPr>
              <w:widowControl/>
              <w:jc w:val="center"/>
              <w:textAlignment w:val="center"/>
              <w:rPr>
                <w:color w:val="000000"/>
                <w:kern w:val="0"/>
                <w:szCs w:val="21"/>
              </w:rPr>
            </w:pPr>
            <w:r>
              <w:rPr>
                <w:color w:val="000000"/>
                <w:kern w:val="0"/>
                <w:szCs w:val="21"/>
                <w:lang w:bidi="ar"/>
              </w:rPr>
              <w:t>2246</w:t>
            </w:r>
          </w:p>
        </w:tc>
        <w:tc>
          <w:tcPr>
            <w:tcW w:w="977" w:type="dxa"/>
            <w:tcBorders>
              <w:tl2br w:val="nil"/>
              <w:tr2bl w:val="nil"/>
            </w:tcBorders>
            <w:shd w:val="clear" w:color="auto" w:fill="auto"/>
            <w:vAlign w:val="center"/>
          </w:tcPr>
          <w:p>
            <w:pPr>
              <w:widowControl/>
              <w:jc w:val="center"/>
              <w:textAlignment w:val="center"/>
              <w:rPr>
                <w:color w:val="000000"/>
                <w:kern w:val="0"/>
                <w:szCs w:val="21"/>
              </w:rPr>
            </w:pPr>
            <w:r>
              <w:rPr>
                <w:color w:val="000000"/>
                <w:kern w:val="0"/>
                <w:szCs w:val="21"/>
                <w:lang w:bidi="ar"/>
              </w:rPr>
              <w:t>728700</w:t>
            </w:r>
          </w:p>
        </w:tc>
        <w:tc>
          <w:tcPr>
            <w:tcW w:w="979" w:type="dxa"/>
            <w:tcBorders>
              <w:tl2br w:val="nil"/>
              <w:tr2bl w:val="nil"/>
            </w:tcBorders>
            <w:shd w:val="clear" w:color="auto" w:fill="auto"/>
            <w:vAlign w:val="center"/>
          </w:tcPr>
          <w:p>
            <w:pPr>
              <w:widowControl/>
              <w:jc w:val="center"/>
              <w:textAlignment w:val="center"/>
              <w:rPr>
                <w:color w:val="000000"/>
                <w:kern w:val="0"/>
                <w:szCs w:val="21"/>
              </w:rPr>
            </w:pPr>
            <w:r>
              <w:rPr>
                <w:color w:val="000000"/>
                <w:kern w:val="0"/>
                <w:szCs w:val="21"/>
                <w:lang w:bidi="ar"/>
              </w:rPr>
              <w:t>908100</w:t>
            </w:r>
          </w:p>
        </w:tc>
        <w:tc>
          <w:tcPr>
            <w:tcW w:w="979" w:type="dxa"/>
            <w:tcBorders>
              <w:tl2br w:val="nil"/>
              <w:tr2bl w:val="nil"/>
            </w:tcBorders>
            <w:shd w:val="clear" w:color="auto" w:fill="auto"/>
            <w:vAlign w:val="center"/>
          </w:tcPr>
          <w:p>
            <w:pPr>
              <w:widowControl/>
              <w:jc w:val="center"/>
              <w:textAlignment w:val="center"/>
              <w:rPr>
                <w:color w:val="000000"/>
                <w:kern w:val="0"/>
                <w:szCs w:val="21"/>
              </w:rPr>
            </w:pPr>
            <w:r>
              <w:rPr>
                <w:color w:val="000000"/>
                <w:kern w:val="0"/>
                <w:szCs w:val="21"/>
                <w:lang w:bidi="ar"/>
              </w:rPr>
              <w:t>600</w:t>
            </w:r>
          </w:p>
        </w:tc>
      </w:tr>
    </w:tbl>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徐水区规模化养殖场的养殖种类以生猪、奶牛、肉鸡、蛋鸡为主，其中奶牛的养殖量最大（以猪当量计），且肉牛和肉羊的养殖量较少。</w:t>
      </w:r>
    </w:p>
    <w:p>
      <w:pPr>
        <w:pStyle w:val="2"/>
        <w:ind w:firstLine="0"/>
        <w:rPr>
          <w:rFonts w:ascii="Times New Roman" w:hAnsi="Times New Roman"/>
          <w:b/>
          <w:bCs/>
          <w:sz w:val="28"/>
          <w:szCs w:val="28"/>
          <w:lang w:val="en-US"/>
        </w:rPr>
      </w:pPr>
      <w:r>
        <w:rPr>
          <w:rFonts w:ascii="Times New Roman" w:hAnsi="Times New Roman"/>
          <w:b/>
          <w:bCs/>
          <w:sz w:val="28"/>
          <w:szCs w:val="28"/>
          <w:lang w:val="en-US"/>
        </w:rPr>
        <w:t>2.4.2.3 徐水区各乡镇畜禽养殖统计数据</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徐水区各乡镇畜禽养殖统计数据如表2.4-4所示。</w:t>
      </w:r>
    </w:p>
    <w:p>
      <w:pPr>
        <w:spacing w:line="360" w:lineRule="auto"/>
        <w:jc w:val="center"/>
        <w:rPr>
          <w:sz w:val="28"/>
          <w:szCs w:val="28"/>
        </w:rPr>
      </w:pPr>
      <w:r>
        <w:rPr>
          <w:rFonts w:eastAsia="黑体"/>
          <w:b/>
          <w:bCs/>
          <w:szCs w:val="21"/>
        </w:rPr>
        <w:t>表2.4-4  徐水区各乡镇畜禽养殖统计数据一览表  单位：头、羽</w:t>
      </w:r>
    </w:p>
    <w:tbl>
      <w:tblPr>
        <w:tblStyle w:val="23"/>
        <w:tblW w:w="8994"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681"/>
        <w:gridCol w:w="1257"/>
        <w:gridCol w:w="1038"/>
        <w:gridCol w:w="1038"/>
        <w:gridCol w:w="1038"/>
        <w:gridCol w:w="1038"/>
        <w:gridCol w:w="1038"/>
        <w:gridCol w:w="1038"/>
        <w:gridCol w:w="828"/>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tcBorders>
              <w:tl2br w:val="nil"/>
              <w:tr2bl w:val="nil"/>
            </w:tcBorders>
            <w:shd w:val="clear" w:color="auto" w:fill="auto"/>
            <w:vAlign w:val="center"/>
          </w:tcPr>
          <w:p>
            <w:pPr>
              <w:widowControl/>
              <w:jc w:val="center"/>
              <w:textAlignment w:val="center"/>
              <w:rPr>
                <w:rFonts w:eastAsia="黑体"/>
                <w:b/>
                <w:bCs/>
                <w:szCs w:val="21"/>
              </w:rPr>
            </w:pPr>
            <w:r>
              <w:rPr>
                <w:rFonts w:eastAsia="黑体"/>
                <w:b/>
                <w:bCs/>
                <w:kern w:val="0"/>
                <w:szCs w:val="21"/>
                <w:lang w:bidi="ar"/>
              </w:rPr>
              <w:t>序号</w:t>
            </w:r>
          </w:p>
        </w:tc>
        <w:tc>
          <w:tcPr>
            <w:tcW w:w="1257" w:type="dxa"/>
            <w:tcBorders>
              <w:tl2br w:val="nil"/>
              <w:tr2bl w:val="nil"/>
            </w:tcBorders>
            <w:shd w:val="clear" w:color="auto" w:fill="auto"/>
            <w:vAlign w:val="center"/>
          </w:tcPr>
          <w:p>
            <w:pPr>
              <w:widowControl/>
              <w:jc w:val="center"/>
              <w:textAlignment w:val="center"/>
              <w:rPr>
                <w:rFonts w:eastAsia="黑体"/>
                <w:b/>
                <w:bCs/>
                <w:szCs w:val="21"/>
              </w:rPr>
            </w:pPr>
            <w:r>
              <w:rPr>
                <w:rFonts w:eastAsia="黑体"/>
                <w:b/>
                <w:bCs/>
                <w:kern w:val="0"/>
                <w:szCs w:val="21"/>
                <w:lang w:bidi="ar"/>
              </w:rPr>
              <w:t>乡镇</w:t>
            </w:r>
          </w:p>
        </w:tc>
        <w:tc>
          <w:tcPr>
            <w:tcW w:w="1038" w:type="dxa"/>
            <w:tcBorders>
              <w:tl2br w:val="nil"/>
              <w:tr2bl w:val="nil"/>
            </w:tcBorders>
            <w:shd w:val="clear" w:color="auto" w:fill="auto"/>
            <w:vAlign w:val="center"/>
          </w:tcPr>
          <w:p>
            <w:pPr>
              <w:widowControl/>
              <w:jc w:val="center"/>
              <w:textAlignment w:val="center"/>
              <w:rPr>
                <w:rFonts w:eastAsia="黑体"/>
                <w:b/>
                <w:bCs/>
                <w:szCs w:val="21"/>
              </w:rPr>
            </w:pPr>
            <w:r>
              <w:rPr>
                <w:rFonts w:eastAsia="黑体"/>
                <w:b/>
                <w:bCs/>
                <w:kern w:val="0"/>
                <w:szCs w:val="21"/>
                <w:lang w:bidi="ar"/>
              </w:rPr>
              <w:t>生猪</w:t>
            </w:r>
          </w:p>
        </w:tc>
        <w:tc>
          <w:tcPr>
            <w:tcW w:w="1038" w:type="dxa"/>
            <w:tcBorders>
              <w:tl2br w:val="nil"/>
              <w:tr2bl w:val="nil"/>
            </w:tcBorders>
            <w:shd w:val="clear" w:color="auto" w:fill="auto"/>
            <w:vAlign w:val="center"/>
          </w:tcPr>
          <w:p>
            <w:pPr>
              <w:widowControl/>
              <w:jc w:val="center"/>
              <w:textAlignment w:val="center"/>
              <w:rPr>
                <w:rFonts w:eastAsia="黑体"/>
                <w:b/>
                <w:bCs/>
                <w:kern w:val="0"/>
                <w:szCs w:val="21"/>
                <w:lang w:bidi="ar"/>
              </w:rPr>
            </w:pPr>
            <w:r>
              <w:rPr>
                <w:rFonts w:eastAsia="黑体"/>
                <w:b/>
                <w:bCs/>
                <w:kern w:val="0"/>
                <w:szCs w:val="21"/>
                <w:lang w:bidi="ar"/>
              </w:rPr>
              <w:t>肉羊</w:t>
            </w:r>
          </w:p>
        </w:tc>
        <w:tc>
          <w:tcPr>
            <w:tcW w:w="1038" w:type="dxa"/>
            <w:tcBorders>
              <w:tl2br w:val="nil"/>
              <w:tr2bl w:val="nil"/>
            </w:tcBorders>
            <w:shd w:val="clear" w:color="auto" w:fill="auto"/>
            <w:vAlign w:val="center"/>
          </w:tcPr>
          <w:p>
            <w:pPr>
              <w:widowControl/>
              <w:jc w:val="center"/>
              <w:textAlignment w:val="center"/>
              <w:rPr>
                <w:rFonts w:eastAsia="黑体"/>
                <w:b/>
                <w:bCs/>
                <w:kern w:val="0"/>
                <w:szCs w:val="21"/>
                <w:lang w:bidi="ar"/>
              </w:rPr>
            </w:pPr>
            <w:r>
              <w:rPr>
                <w:rFonts w:eastAsia="黑体"/>
                <w:b/>
                <w:bCs/>
                <w:kern w:val="0"/>
                <w:szCs w:val="21"/>
                <w:lang w:bidi="ar"/>
              </w:rPr>
              <w:t>肉牛</w:t>
            </w:r>
          </w:p>
        </w:tc>
        <w:tc>
          <w:tcPr>
            <w:tcW w:w="1038" w:type="dxa"/>
            <w:tcBorders>
              <w:tl2br w:val="nil"/>
              <w:tr2bl w:val="nil"/>
            </w:tcBorders>
            <w:shd w:val="clear" w:color="auto" w:fill="auto"/>
            <w:vAlign w:val="center"/>
          </w:tcPr>
          <w:p>
            <w:pPr>
              <w:widowControl/>
              <w:jc w:val="center"/>
              <w:textAlignment w:val="center"/>
              <w:rPr>
                <w:rFonts w:eastAsia="黑体"/>
                <w:b/>
                <w:bCs/>
                <w:kern w:val="0"/>
                <w:szCs w:val="21"/>
                <w:lang w:bidi="ar"/>
              </w:rPr>
            </w:pPr>
            <w:r>
              <w:rPr>
                <w:rFonts w:eastAsia="黑体"/>
                <w:b/>
                <w:bCs/>
                <w:kern w:val="0"/>
                <w:szCs w:val="21"/>
                <w:lang w:bidi="ar"/>
              </w:rPr>
              <w:t>奶牛</w:t>
            </w:r>
          </w:p>
        </w:tc>
        <w:tc>
          <w:tcPr>
            <w:tcW w:w="1038" w:type="dxa"/>
            <w:tcBorders>
              <w:tl2br w:val="nil"/>
              <w:tr2bl w:val="nil"/>
            </w:tcBorders>
            <w:shd w:val="clear" w:color="auto" w:fill="auto"/>
            <w:vAlign w:val="center"/>
          </w:tcPr>
          <w:p>
            <w:pPr>
              <w:widowControl/>
              <w:jc w:val="center"/>
              <w:textAlignment w:val="center"/>
              <w:rPr>
                <w:rFonts w:eastAsia="黑体"/>
                <w:b/>
                <w:bCs/>
                <w:kern w:val="0"/>
                <w:szCs w:val="21"/>
                <w:lang w:bidi="ar"/>
              </w:rPr>
            </w:pPr>
            <w:r>
              <w:rPr>
                <w:rFonts w:eastAsia="黑体"/>
                <w:b/>
                <w:bCs/>
                <w:kern w:val="0"/>
                <w:szCs w:val="21"/>
                <w:lang w:bidi="ar"/>
              </w:rPr>
              <w:t>蛋鸡</w:t>
            </w:r>
          </w:p>
        </w:tc>
        <w:tc>
          <w:tcPr>
            <w:tcW w:w="1038" w:type="dxa"/>
            <w:tcBorders>
              <w:tl2br w:val="nil"/>
              <w:tr2bl w:val="nil"/>
            </w:tcBorders>
            <w:shd w:val="clear" w:color="auto" w:fill="auto"/>
            <w:vAlign w:val="center"/>
          </w:tcPr>
          <w:p>
            <w:pPr>
              <w:widowControl/>
              <w:jc w:val="center"/>
              <w:textAlignment w:val="center"/>
              <w:rPr>
                <w:rFonts w:eastAsia="黑体"/>
                <w:b/>
                <w:bCs/>
                <w:kern w:val="0"/>
                <w:szCs w:val="21"/>
                <w:lang w:bidi="ar"/>
              </w:rPr>
            </w:pPr>
            <w:r>
              <w:rPr>
                <w:rFonts w:eastAsia="黑体"/>
                <w:b/>
                <w:bCs/>
                <w:kern w:val="0"/>
                <w:szCs w:val="21"/>
                <w:lang w:bidi="ar"/>
              </w:rPr>
              <w:t>肉鸡</w:t>
            </w:r>
          </w:p>
        </w:tc>
        <w:tc>
          <w:tcPr>
            <w:tcW w:w="828" w:type="dxa"/>
            <w:tcBorders>
              <w:tl2br w:val="nil"/>
              <w:tr2bl w:val="nil"/>
            </w:tcBorders>
            <w:shd w:val="clear" w:color="auto" w:fill="auto"/>
            <w:vAlign w:val="center"/>
          </w:tcPr>
          <w:p>
            <w:pPr>
              <w:widowControl/>
              <w:jc w:val="center"/>
              <w:textAlignment w:val="center"/>
              <w:rPr>
                <w:rFonts w:eastAsia="黑体"/>
                <w:b/>
                <w:bCs/>
                <w:kern w:val="0"/>
                <w:szCs w:val="21"/>
                <w:lang w:bidi="ar"/>
              </w:rPr>
            </w:pPr>
            <w:r>
              <w:rPr>
                <w:rFonts w:eastAsia="黑体"/>
                <w:b/>
                <w:bCs/>
                <w:kern w:val="0"/>
                <w:szCs w:val="21"/>
                <w:lang w:bidi="ar"/>
              </w:rPr>
              <w:t>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1</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安肃镇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32483</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3220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1009</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31155</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43500</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2</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漕河镇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7077</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8610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1464</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5960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28508</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8000</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3</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崔庄镇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27793</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4085</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826</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1215</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35403</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133851</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4</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大王店镇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22302</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7910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1540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1015</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95973</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8000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5</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大因镇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48760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1340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1115</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2100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15896</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6</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东釜山乡</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4421</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3953</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190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39478</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7</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hint="eastAsia" w:eastAsia="黑体"/>
                <w:kern w:val="0"/>
                <w:szCs w:val="21"/>
                <w:lang w:bidi="ar"/>
              </w:rPr>
              <w:t>东史端镇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9190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492</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105</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5323</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274600</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8</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高林村镇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18385</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3350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400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1160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726067</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304920</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9</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户木乡</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14490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2885</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402</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2110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17812</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215000</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10</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留村镇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4495</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1675</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115</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3250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66515</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11</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瀑河乡</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8454</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1850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875</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490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96795</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12</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遂城镇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13145</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1910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1567</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144393</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21000</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13</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正村镇</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7800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853</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306</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1180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60881</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pPr>
              <w:widowControl/>
              <w:jc w:val="center"/>
              <w:textAlignment w:val="center"/>
              <w:rPr>
                <w:szCs w:val="21"/>
              </w:rPr>
            </w:pPr>
            <w:r>
              <w:rPr>
                <w:kern w:val="0"/>
                <w:szCs w:val="21"/>
                <w:lang w:bidi="ar"/>
              </w:rPr>
              <w:t>14</w:t>
            </w:r>
          </w:p>
        </w:tc>
        <w:tc>
          <w:tcPr>
            <w:tcW w:w="1257" w:type="dxa"/>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义联庄乡</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3315</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3620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102</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19462</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1938" w:type="dxa"/>
            <w:gridSpan w:val="2"/>
            <w:tcBorders>
              <w:tl2br w:val="nil"/>
              <w:tr2bl w:val="nil"/>
            </w:tcBorders>
            <w:shd w:val="clear" w:color="auto" w:fill="auto"/>
            <w:vAlign w:val="center"/>
          </w:tcPr>
          <w:p>
            <w:pPr>
              <w:widowControl/>
              <w:jc w:val="center"/>
              <w:textAlignment w:val="center"/>
              <w:rPr>
                <w:rFonts w:eastAsia="黑体"/>
                <w:szCs w:val="21"/>
              </w:rPr>
            </w:pPr>
            <w:r>
              <w:rPr>
                <w:rFonts w:eastAsia="黑体"/>
                <w:kern w:val="0"/>
                <w:szCs w:val="21"/>
                <w:lang w:bidi="ar"/>
              </w:rPr>
              <w:t>合计</w:t>
            </w:r>
          </w:p>
        </w:tc>
        <w:tc>
          <w:tcPr>
            <w:tcW w:w="1038" w:type="dxa"/>
            <w:tcBorders>
              <w:tl2br w:val="nil"/>
              <w:tr2bl w:val="nil"/>
            </w:tcBorders>
            <w:shd w:val="clear" w:color="auto" w:fill="auto"/>
            <w:vAlign w:val="center"/>
          </w:tcPr>
          <w:p>
            <w:pPr>
              <w:widowControl/>
              <w:jc w:val="center"/>
              <w:textAlignment w:val="center"/>
              <w:rPr>
                <w:sz w:val="22"/>
                <w:szCs w:val="22"/>
              </w:rPr>
            </w:pPr>
            <w:r>
              <w:rPr>
                <w:kern w:val="0"/>
                <w:szCs w:val="21"/>
                <w:lang w:bidi="ar"/>
              </w:rPr>
              <w:t>222110</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45753</w:t>
            </w:r>
          </w:p>
        </w:tc>
        <w:tc>
          <w:tcPr>
            <w:tcW w:w="1038" w:type="dxa"/>
            <w:tcBorders>
              <w:tl2br w:val="nil"/>
              <w:tr2bl w:val="nil"/>
            </w:tcBorders>
            <w:shd w:val="clear" w:color="auto" w:fill="auto"/>
            <w:vAlign w:val="center"/>
          </w:tcPr>
          <w:p>
            <w:pPr>
              <w:jc w:val="center"/>
              <w:rPr>
                <w:kern w:val="0"/>
                <w:sz w:val="22"/>
                <w:szCs w:val="22"/>
                <w:lang w:bidi="ar"/>
              </w:rPr>
            </w:pPr>
            <w:r>
              <w:rPr>
                <w:rFonts w:eastAsia="黑体"/>
                <w:szCs w:val="21"/>
              </w:rPr>
              <w:t>10016</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18480</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1383661</w:t>
            </w:r>
          </w:p>
        </w:tc>
        <w:tc>
          <w:tcPr>
            <w:tcW w:w="103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1007371</w:t>
            </w:r>
          </w:p>
        </w:tc>
        <w:tc>
          <w:tcPr>
            <w:tcW w:w="828" w:type="dxa"/>
            <w:tcBorders>
              <w:tl2br w:val="nil"/>
              <w:tr2bl w:val="nil"/>
            </w:tcBorders>
            <w:shd w:val="clear" w:color="auto" w:fill="auto"/>
            <w:vAlign w:val="center"/>
          </w:tcPr>
          <w:p>
            <w:pPr>
              <w:widowControl/>
              <w:jc w:val="center"/>
              <w:textAlignment w:val="center"/>
              <w:rPr>
                <w:kern w:val="0"/>
                <w:sz w:val="22"/>
                <w:szCs w:val="22"/>
                <w:lang w:bidi="ar"/>
              </w:rPr>
            </w:pPr>
            <w:r>
              <w:rPr>
                <w:kern w:val="0"/>
                <w:sz w:val="22"/>
                <w:szCs w:val="22"/>
                <w:lang w:bidi="ar"/>
              </w:rPr>
              <w:t>8000</w:t>
            </w:r>
          </w:p>
        </w:tc>
      </w:tr>
    </w:tbl>
    <w:p>
      <w:pPr>
        <w:pStyle w:val="2"/>
        <w:ind w:firstLine="560" w:firstLineChars="200"/>
        <w:rPr>
          <w:rFonts w:ascii="Times New Roman" w:hAnsi="Times New Roman"/>
          <w:sz w:val="28"/>
          <w:szCs w:val="28"/>
          <w:highlight w:val="green"/>
          <w:lang w:val="en-US"/>
        </w:rPr>
      </w:pPr>
      <w:r>
        <w:rPr>
          <w:rFonts w:ascii="Times New Roman" w:hAnsi="Times New Roman"/>
          <w:sz w:val="28"/>
          <w:szCs w:val="28"/>
          <w:lang w:val="en-US"/>
        </w:rPr>
        <w:t>统计表明2021年徐水区生猪存栏222110头，羊存栏量45753头，蛋鸡1383661羽，肉鸡1007371羽，肉牛10016头，奶牛18480头，鸭8000羽。以猪当量统计，各乡镇按照养殖量进行排列，大因镇养殖量最大，占全区养殖量的13.96%，之后分别是高林村镇占13.48%、漕河镇占11.66%、崔庄镇占9.68%、大王店镇占8.45%、户木乡占8.32%、安肃镇占8.25%、留村镇占6.08%、遂城镇占5.06%、</w:t>
      </w:r>
      <w:r>
        <w:rPr>
          <w:rFonts w:hint="eastAsia" w:ascii="Times New Roman" w:hAnsi="Times New Roman"/>
          <w:sz w:val="28"/>
          <w:szCs w:val="28"/>
          <w:lang w:val="en-US"/>
        </w:rPr>
        <w:t>东史端镇</w:t>
      </w:r>
      <w:r>
        <w:rPr>
          <w:rFonts w:ascii="Times New Roman" w:hAnsi="Times New Roman"/>
          <w:sz w:val="28"/>
          <w:szCs w:val="28"/>
          <w:lang w:val="en-US"/>
        </w:rPr>
        <w:t>占4.32%、正村镇占4.06%、瀑河乡占3.85%、东釜山乡占1.64%、义联庄乡占1.19%。</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徐水区畜禽养殖业形成了以留村镇、大因镇、漕河镇、户木乡为主的奶牛养殖区，以安肃镇、大因镇、崔庄镇为主的生猪养殖带，蛋鸡产业以保定兴芮农牧发展有限公司为龙头的蛋鸡育种、良种推广、商品鸡养殖的龙头带动性蛋鸡产业发展格局。</w:t>
      </w:r>
    </w:p>
    <w:p>
      <w:pPr>
        <w:pStyle w:val="2"/>
        <w:ind w:firstLine="0"/>
        <w:rPr>
          <w:rFonts w:ascii="Times New Roman" w:hAnsi="Times New Roman"/>
          <w:b/>
          <w:bCs/>
          <w:sz w:val="28"/>
          <w:szCs w:val="28"/>
          <w:lang w:val="en-US"/>
        </w:rPr>
      </w:pPr>
      <w:r>
        <w:rPr>
          <w:rFonts w:ascii="Times New Roman" w:hAnsi="Times New Roman"/>
          <w:b/>
          <w:bCs/>
          <w:sz w:val="28"/>
          <w:szCs w:val="28"/>
          <w:lang w:val="en-US"/>
        </w:rPr>
        <w:t>2.4.2.4 徐水区养殖场（户）统计数据</w:t>
      </w:r>
    </w:p>
    <w:p>
      <w:pPr>
        <w:pStyle w:val="2"/>
        <w:ind w:firstLine="560" w:firstLineChars="200"/>
        <w:rPr>
          <w:rFonts w:ascii="Times New Roman" w:hAnsi="Times New Roman" w:eastAsia="黑体"/>
          <w:b/>
          <w:bCs/>
        </w:rPr>
      </w:pPr>
      <w:r>
        <w:rPr>
          <w:rFonts w:ascii="Times New Roman" w:hAnsi="Times New Roman"/>
          <w:sz w:val="28"/>
          <w:szCs w:val="28"/>
          <w:lang w:val="en-US"/>
        </w:rPr>
        <w:t>全区养殖场（户）统计情况见表2.4-5。</w:t>
      </w:r>
    </w:p>
    <w:p>
      <w:pPr>
        <w:adjustRightInd w:val="0"/>
        <w:snapToGrid w:val="0"/>
        <w:jc w:val="center"/>
        <w:rPr>
          <w:rFonts w:eastAsia="黑体"/>
          <w:b/>
          <w:bCs/>
          <w:szCs w:val="21"/>
        </w:rPr>
      </w:pPr>
      <w:r>
        <w:rPr>
          <w:rFonts w:eastAsia="黑体"/>
          <w:b/>
          <w:bCs/>
          <w:szCs w:val="21"/>
        </w:rPr>
        <w:t>表2.4-5  全区养殖场（户）统计情况一览表  单位：户</w:t>
      </w:r>
    </w:p>
    <w:tbl>
      <w:tblPr>
        <w:tblStyle w:val="23"/>
        <w:tblW w:w="7236" w:type="dxa"/>
        <w:jc w:val="center"/>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Layout w:type="autofit"/>
        <w:tblCellMar>
          <w:top w:w="0" w:type="dxa"/>
          <w:left w:w="108" w:type="dxa"/>
          <w:bottom w:w="0" w:type="dxa"/>
          <w:right w:w="108" w:type="dxa"/>
        </w:tblCellMar>
      </w:tblPr>
      <w:tblGrid>
        <w:gridCol w:w="1794"/>
        <w:gridCol w:w="907"/>
        <w:gridCol w:w="907"/>
        <w:gridCol w:w="907"/>
        <w:gridCol w:w="907"/>
        <w:gridCol w:w="907"/>
        <w:gridCol w:w="907"/>
      </w:tblGrid>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畜禽种类</w:t>
            </w:r>
          </w:p>
        </w:tc>
        <w:tc>
          <w:tcPr>
            <w:tcW w:w="907" w:type="dxa"/>
            <w:vMerge w:val="restart"/>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生猪</w:t>
            </w:r>
          </w:p>
        </w:tc>
        <w:tc>
          <w:tcPr>
            <w:tcW w:w="907" w:type="dxa"/>
            <w:vMerge w:val="restart"/>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肉羊</w:t>
            </w:r>
          </w:p>
        </w:tc>
        <w:tc>
          <w:tcPr>
            <w:tcW w:w="907" w:type="dxa"/>
            <w:vMerge w:val="restart"/>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鸡</w:t>
            </w:r>
          </w:p>
        </w:tc>
        <w:tc>
          <w:tcPr>
            <w:tcW w:w="907" w:type="dxa"/>
            <w:vMerge w:val="restart"/>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奶牛</w:t>
            </w:r>
          </w:p>
        </w:tc>
        <w:tc>
          <w:tcPr>
            <w:tcW w:w="907" w:type="dxa"/>
            <w:vMerge w:val="restart"/>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肉牛</w:t>
            </w:r>
          </w:p>
        </w:tc>
        <w:tc>
          <w:tcPr>
            <w:tcW w:w="907" w:type="dxa"/>
            <w:vMerge w:val="restart"/>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鸭</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规模分类</w:t>
            </w:r>
          </w:p>
        </w:tc>
        <w:tc>
          <w:tcPr>
            <w:tcW w:w="907" w:type="dxa"/>
            <w:vMerge w:val="continue"/>
            <w:tcBorders>
              <w:tl2br w:val="nil"/>
              <w:tr2bl w:val="nil"/>
            </w:tcBorders>
            <w:shd w:val="clear" w:color="auto" w:fill="auto"/>
            <w:vAlign w:val="center"/>
          </w:tcPr>
          <w:p>
            <w:pPr>
              <w:jc w:val="center"/>
              <w:rPr>
                <w:rFonts w:eastAsia="黑体"/>
                <w:b/>
                <w:bCs/>
                <w:color w:val="000000"/>
                <w:szCs w:val="21"/>
              </w:rPr>
            </w:pPr>
          </w:p>
        </w:tc>
        <w:tc>
          <w:tcPr>
            <w:tcW w:w="907" w:type="dxa"/>
            <w:vMerge w:val="continue"/>
            <w:tcBorders>
              <w:tl2br w:val="nil"/>
              <w:tr2bl w:val="nil"/>
            </w:tcBorders>
            <w:shd w:val="clear" w:color="auto" w:fill="auto"/>
            <w:vAlign w:val="center"/>
          </w:tcPr>
          <w:p>
            <w:pPr>
              <w:widowControl/>
              <w:jc w:val="center"/>
              <w:textAlignment w:val="center"/>
              <w:rPr>
                <w:rFonts w:eastAsia="黑体"/>
                <w:b/>
                <w:bCs/>
                <w:color w:val="000000"/>
                <w:szCs w:val="21"/>
              </w:rPr>
            </w:pPr>
          </w:p>
        </w:tc>
        <w:tc>
          <w:tcPr>
            <w:tcW w:w="907" w:type="dxa"/>
            <w:vMerge w:val="continue"/>
            <w:tcBorders>
              <w:tl2br w:val="nil"/>
              <w:tr2bl w:val="nil"/>
            </w:tcBorders>
            <w:shd w:val="clear" w:color="auto" w:fill="auto"/>
            <w:vAlign w:val="center"/>
          </w:tcPr>
          <w:p>
            <w:pPr>
              <w:jc w:val="center"/>
              <w:rPr>
                <w:rFonts w:eastAsia="黑体"/>
                <w:b/>
                <w:bCs/>
                <w:color w:val="000000"/>
                <w:szCs w:val="21"/>
              </w:rPr>
            </w:pPr>
          </w:p>
        </w:tc>
        <w:tc>
          <w:tcPr>
            <w:tcW w:w="907" w:type="dxa"/>
            <w:vMerge w:val="continue"/>
            <w:tcBorders>
              <w:tl2br w:val="nil"/>
              <w:tr2bl w:val="nil"/>
            </w:tcBorders>
            <w:shd w:val="clear" w:color="auto" w:fill="auto"/>
            <w:vAlign w:val="center"/>
          </w:tcPr>
          <w:p>
            <w:pPr>
              <w:jc w:val="center"/>
              <w:rPr>
                <w:rFonts w:eastAsia="黑体"/>
                <w:b/>
                <w:bCs/>
                <w:color w:val="000000"/>
                <w:szCs w:val="21"/>
              </w:rPr>
            </w:pPr>
          </w:p>
        </w:tc>
        <w:tc>
          <w:tcPr>
            <w:tcW w:w="907" w:type="dxa"/>
            <w:vMerge w:val="continue"/>
            <w:tcBorders>
              <w:tl2br w:val="nil"/>
              <w:tr2bl w:val="nil"/>
            </w:tcBorders>
            <w:shd w:val="clear" w:color="auto" w:fill="auto"/>
            <w:vAlign w:val="center"/>
          </w:tcPr>
          <w:p>
            <w:pPr>
              <w:jc w:val="center"/>
              <w:rPr>
                <w:rFonts w:eastAsia="黑体"/>
                <w:b/>
                <w:bCs/>
                <w:color w:val="000000"/>
                <w:szCs w:val="21"/>
              </w:rPr>
            </w:pPr>
          </w:p>
        </w:tc>
        <w:tc>
          <w:tcPr>
            <w:tcW w:w="907" w:type="dxa"/>
            <w:vMerge w:val="continue"/>
            <w:tcBorders>
              <w:tl2br w:val="nil"/>
              <w:tr2bl w:val="nil"/>
            </w:tcBorders>
            <w:shd w:val="clear" w:color="auto" w:fill="auto"/>
            <w:vAlign w:val="center"/>
          </w:tcPr>
          <w:p>
            <w:pPr>
              <w:widowControl/>
              <w:jc w:val="center"/>
              <w:textAlignment w:val="center"/>
              <w:rPr>
                <w:rFonts w:eastAsia="黑体"/>
                <w:b/>
                <w:bCs/>
                <w:color w:val="000000"/>
                <w:szCs w:val="21"/>
              </w:rPr>
            </w:pP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安肃镇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101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17</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69</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110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442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漕河镇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7</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104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141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298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崔庄镇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95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145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118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618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大王店镇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124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156</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323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大因镇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102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264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东釜山乡</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16</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105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204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hint="eastAsia" w:eastAsia="黑体"/>
                <w:color w:val="000000"/>
                <w:kern w:val="0"/>
                <w:szCs w:val="21"/>
                <w:lang w:bidi="ar"/>
              </w:rPr>
              <w:t>东史端镇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225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高林村镇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7</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9</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66</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7</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17</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247</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户木乡</w:t>
            </w:r>
          </w:p>
        </w:tc>
      </w:tr>
      <w:tr>
        <w:tblPrEx>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7</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167</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49</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瀑河乡</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83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122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151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遂城镇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49</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正村镇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37</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留村镇</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100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45</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341</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义联庄乡</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23</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90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36</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36</w:t>
            </w:r>
          </w:p>
        </w:tc>
        <w:tc>
          <w:tcPr>
            <w:tcW w:w="907"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0</w:t>
            </w:r>
          </w:p>
        </w:tc>
      </w:tr>
    </w:tbl>
    <w:p>
      <w:pPr>
        <w:pStyle w:val="2"/>
        <w:ind w:firstLine="560" w:firstLineChars="200"/>
        <w:rPr>
          <w:rFonts w:ascii="Times New Roman" w:hAnsi="Times New Roman"/>
          <w:sz w:val="28"/>
          <w:szCs w:val="28"/>
          <w:lang w:val="en-US"/>
        </w:rPr>
      </w:pPr>
      <w:r>
        <w:rPr>
          <w:rFonts w:ascii="Times New Roman" w:hAnsi="Times New Roman"/>
          <w:sz w:val="28"/>
          <w:szCs w:val="28"/>
          <w:lang w:val="en-US"/>
        </w:rPr>
        <w:t>全区合计有106家规模化生猪养殖场，534家养殖专业户，养殖散户902家；规模化养殖场主要分布在安肃镇、大因镇、崔庄镇。全区仅崔庄镇有1家规模化羊养殖场，全区仅大王店镇有4家养鸭散户。</w:t>
      </w:r>
    </w:p>
    <w:p>
      <w:pPr>
        <w:spacing w:line="360" w:lineRule="auto"/>
        <w:jc w:val="center"/>
        <w:rPr>
          <w:rFonts w:eastAsia="黑体"/>
          <w:b/>
          <w:bCs/>
          <w:szCs w:val="21"/>
        </w:rPr>
      </w:pPr>
      <w:r>
        <w:rPr>
          <w:rFonts w:hint="eastAsia" w:eastAsia="黑体"/>
          <w:b/>
          <w:bCs/>
          <w:szCs w:val="21"/>
        </w:rPr>
        <w:drawing>
          <wp:inline distT="0" distB="0" distL="114300" distR="114300">
            <wp:extent cx="3862705" cy="2654935"/>
            <wp:effectExtent l="0" t="0" r="4445" b="12065"/>
            <wp:docPr id="12" name="图片 12"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raph1"/>
                    <pic:cNvPicPr>
                      <a:picLocks noChangeAspect="1"/>
                    </pic:cNvPicPr>
                  </pic:nvPicPr>
                  <pic:blipFill>
                    <a:blip r:embed="rId11"/>
                    <a:stretch>
                      <a:fillRect/>
                    </a:stretch>
                  </pic:blipFill>
                  <pic:spPr>
                    <a:xfrm>
                      <a:off x="0" y="0"/>
                      <a:ext cx="3862705" cy="2654935"/>
                    </a:xfrm>
                    <a:prstGeom prst="rect">
                      <a:avLst/>
                    </a:prstGeom>
                  </pic:spPr>
                </pic:pic>
              </a:graphicData>
            </a:graphic>
          </wp:inline>
        </w:drawing>
      </w:r>
    </w:p>
    <w:p>
      <w:pPr>
        <w:spacing w:line="360" w:lineRule="auto"/>
        <w:jc w:val="center"/>
        <w:rPr>
          <w:rFonts w:eastAsia="黑体"/>
          <w:b/>
          <w:bCs/>
          <w:szCs w:val="21"/>
        </w:rPr>
      </w:pPr>
      <w:r>
        <w:rPr>
          <w:rFonts w:eastAsia="黑体"/>
          <w:b/>
          <w:bCs/>
          <w:szCs w:val="21"/>
        </w:rPr>
        <w:t>图2.4-1  徐水区各乡镇规模化养殖场占比</w:t>
      </w:r>
    </w:p>
    <w:p>
      <w:pPr>
        <w:spacing w:line="360" w:lineRule="auto"/>
        <w:jc w:val="center"/>
        <w:rPr>
          <w:rFonts w:eastAsia="黑体"/>
          <w:b/>
          <w:bCs/>
          <w:szCs w:val="21"/>
        </w:rPr>
      </w:pPr>
      <w:r>
        <w:rPr>
          <w:rFonts w:hint="eastAsia" w:eastAsia="黑体"/>
          <w:b/>
          <w:bCs/>
          <w:szCs w:val="21"/>
        </w:rPr>
        <w:drawing>
          <wp:inline distT="0" distB="0" distL="114300" distR="114300">
            <wp:extent cx="3836035" cy="2673350"/>
            <wp:effectExtent l="0" t="0" r="12065" b="12700"/>
            <wp:docPr id="13" name="图片 13"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raph2"/>
                    <pic:cNvPicPr>
                      <a:picLocks noChangeAspect="1"/>
                    </pic:cNvPicPr>
                  </pic:nvPicPr>
                  <pic:blipFill>
                    <a:blip r:embed="rId12"/>
                    <a:stretch>
                      <a:fillRect/>
                    </a:stretch>
                  </pic:blipFill>
                  <pic:spPr>
                    <a:xfrm>
                      <a:off x="0" y="0"/>
                      <a:ext cx="3836035" cy="2673350"/>
                    </a:xfrm>
                    <a:prstGeom prst="rect">
                      <a:avLst/>
                    </a:prstGeom>
                  </pic:spPr>
                </pic:pic>
              </a:graphicData>
            </a:graphic>
          </wp:inline>
        </w:drawing>
      </w:r>
    </w:p>
    <w:p>
      <w:pPr>
        <w:spacing w:line="360" w:lineRule="auto"/>
        <w:jc w:val="center"/>
        <w:rPr>
          <w:rFonts w:eastAsia="黑体"/>
          <w:b/>
          <w:bCs/>
          <w:szCs w:val="21"/>
        </w:rPr>
      </w:pPr>
      <w:r>
        <w:rPr>
          <w:rFonts w:eastAsia="黑体"/>
          <w:b/>
          <w:bCs/>
          <w:szCs w:val="21"/>
        </w:rPr>
        <w:t>图2.4-2  徐水区各乡镇养殖专业户占比</w:t>
      </w:r>
    </w:p>
    <w:p>
      <w:pPr>
        <w:spacing w:line="360" w:lineRule="auto"/>
        <w:jc w:val="center"/>
        <w:rPr>
          <w:rFonts w:eastAsia="黑体"/>
          <w:b/>
          <w:bCs/>
          <w:szCs w:val="21"/>
        </w:rPr>
      </w:pPr>
      <w:r>
        <w:rPr>
          <w:rFonts w:hint="eastAsia" w:eastAsia="黑体"/>
          <w:b/>
          <w:bCs/>
          <w:szCs w:val="21"/>
        </w:rPr>
        <w:t xml:space="preserve">      </w:t>
      </w:r>
      <w:r>
        <w:rPr>
          <w:rFonts w:eastAsia="黑体"/>
          <w:b/>
          <w:bCs/>
          <w:szCs w:val="21"/>
        </w:rPr>
        <w:t xml:space="preserve">  </w:t>
      </w:r>
      <w:r>
        <w:rPr>
          <w:rFonts w:eastAsia="黑体"/>
          <w:b/>
          <w:bCs/>
          <w:szCs w:val="21"/>
        </w:rPr>
        <w:drawing>
          <wp:inline distT="0" distB="0" distL="114300" distR="114300">
            <wp:extent cx="4154805" cy="2682240"/>
            <wp:effectExtent l="0" t="0" r="17145" b="3810"/>
            <wp:docPr id="14" name="图片 14" descr="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raph3"/>
                    <pic:cNvPicPr>
                      <a:picLocks noChangeAspect="1"/>
                    </pic:cNvPicPr>
                  </pic:nvPicPr>
                  <pic:blipFill>
                    <a:blip r:embed="rId13"/>
                    <a:stretch>
                      <a:fillRect/>
                    </a:stretch>
                  </pic:blipFill>
                  <pic:spPr>
                    <a:xfrm>
                      <a:off x="0" y="0"/>
                      <a:ext cx="4154805" cy="2682240"/>
                    </a:xfrm>
                    <a:prstGeom prst="rect">
                      <a:avLst/>
                    </a:prstGeom>
                  </pic:spPr>
                </pic:pic>
              </a:graphicData>
            </a:graphic>
          </wp:inline>
        </w:drawing>
      </w:r>
      <w:r>
        <w:rPr>
          <w:rFonts w:eastAsia="黑体"/>
          <w:b/>
          <w:bCs/>
          <w:szCs w:val="21"/>
        </w:rPr>
        <w:t xml:space="preserve">    </w:t>
      </w:r>
    </w:p>
    <w:p>
      <w:pPr>
        <w:spacing w:line="360" w:lineRule="auto"/>
        <w:jc w:val="center"/>
        <w:rPr>
          <w:rFonts w:eastAsia="黑体"/>
          <w:b/>
          <w:bCs/>
          <w:szCs w:val="21"/>
        </w:rPr>
      </w:pPr>
      <w:r>
        <w:rPr>
          <w:rFonts w:eastAsia="黑体"/>
          <w:b/>
          <w:bCs/>
          <w:szCs w:val="21"/>
        </w:rPr>
        <w:t>图2.4-3  徐水区各乡镇养殖散户占比</w:t>
      </w:r>
    </w:p>
    <w:p>
      <w:pPr>
        <w:pStyle w:val="2"/>
        <w:ind w:firstLine="560" w:firstLineChars="200"/>
        <w:rPr>
          <w:rFonts w:ascii="Times New Roman" w:hAnsi="Times New Roman"/>
          <w:sz w:val="28"/>
          <w:szCs w:val="28"/>
          <w:lang w:val="en-US"/>
        </w:rPr>
      </w:pPr>
      <w:bookmarkStart w:id="245" w:name="_Toc32690"/>
      <w:bookmarkStart w:id="246" w:name="_Toc1612"/>
      <w:bookmarkStart w:id="247" w:name="_Toc30803"/>
      <w:r>
        <w:rPr>
          <w:rFonts w:ascii="Times New Roman" w:hAnsi="Times New Roman"/>
          <w:sz w:val="28"/>
          <w:szCs w:val="28"/>
          <w:lang w:val="en-US"/>
        </w:rPr>
        <w:t>经统计分析发现，徐水区各乡镇中规模化养殖场的占比均在19%以内，介于8%~19%的乡镇有6个，介于0%~8%的乡镇有8个。各乡镇中养殖专业户的占比均在14%以内，介于7%~14%的乡镇有8个，介于2%~7%的乡镇有6个。各乡镇中散户的占比均在17%以内，介于8%~17%的乡镇有5个，介于0.21%~8%的乡镇有9个。</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徐水区养殖场（户）户均养殖量统计情况见表2.4-6。</w:t>
      </w:r>
    </w:p>
    <w:p>
      <w:pPr>
        <w:adjustRightInd w:val="0"/>
        <w:snapToGrid w:val="0"/>
        <w:jc w:val="center"/>
        <w:rPr>
          <w:rFonts w:eastAsia="黑体"/>
          <w:b/>
          <w:bCs/>
          <w:szCs w:val="21"/>
        </w:rPr>
      </w:pPr>
    </w:p>
    <w:p>
      <w:pPr>
        <w:adjustRightInd w:val="0"/>
        <w:snapToGrid w:val="0"/>
        <w:jc w:val="center"/>
        <w:rPr>
          <w:rFonts w:eastAsia="黑体"/>
          <w:b/>
          <w:bCs/>
          <w:szCs w:val="21"/>
        </w:rPr>
      </w:pPr>
      <w:r>
        <w:rPr>
          <w:rFonts w:eastAsia="黑体"/>
          <w:b/>
          <w:bCs/>
          <w:szCs w:val="21"/>
        </w:rPr>
        <w:t>表2.4-6  全区养殖场（户）户均养殖量统计情况一览表  单位：头、羽</w:t>
      </w:r>
    </w:p>
    <w:tbl>
      <w:tblPr>
        <w:tblStyle w:val="23"/>
        <w:tblW w:w="769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783"/>
        <w:gridCol w:w="1212"/>
        <w:gridCol w:w="950"/>
        <w:gridCol w:w="950"/>
        <w:gridCol w:w="949"/>
        <w:gridCol w:w="949"/>
        <w:gridCol w:w="949"/>
        <w:gridCol w:w="94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83"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序号</w:t>
            </w:r>
          </w:p>
        </w:tc>
        <w:tc>
          <w:tcPr>
            <w:tcW w:w="1212"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乡镇</w:t>
            </w:r>
          </w:p>
        </w:tc>
        <w:tc>
          <w:tcPr>
            <w:tcW w:w="950"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生猪</w:t>
            </w:r>
          </w:p>
        </w:tc>
        <w:tc>
          <w:tcPr>
            <w:tcW w:w="950"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肉羊</w:t>
            </w:r>
          </w:p>
        </w:tc>
        <w:tc>
          <w:tcPr>
            <w:tcW w:w="949"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肉牛</w:t>
            </w:r>
          </w:p>
        </w:tc>
        <w:tc>
          <w:tcPr>
            <w:tcW w:w="949"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奶牛</w:t>
            </w:r>
          </w:p>
        </w:tc>
        <w:tc>
          <w:tcPr>
            <w:tcW w:w="949"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鸡</w:t>
            </w:r>
          </w:p>
        </w:tc>
        <w:tc>
          <w:tcPr>
            <w:tcW w:w="949"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安肃镇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164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26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17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167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漕河镇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63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44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1490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121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3</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崔庄镇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110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33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17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405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271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大王店镇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158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40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21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1015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288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2000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5</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大因镇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271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26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59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700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60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6</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东釜山乡</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80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33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9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191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7</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hint="eastAsia" w:eastAsia="黑体"/>
                <w:color w:val="000000"/>
                <w:kern w:val="0"/>
                <w:szCs w:val="21"/>
                <w:lang w:bidi="ar"/>
              </w:rPr>
              <w:t>东史端镇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118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164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21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1201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8</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高林村镇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138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152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22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387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3920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9</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户木乡</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196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17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7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703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4311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10</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留村镇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45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16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3250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191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11</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瀑河乡</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123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6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490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728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12</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遂城镇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173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35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29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12107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13</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正村镇</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190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95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34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1180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15076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14</w:t>
            </w:r>
          </w:p>
        </w:tc>
        <w:tc>
          <w:tcPr>
            <w:tcW w:w="12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义联庄乡</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100 </w:t>
            </w:r>
          </w:p>
        </w:tc>
        <w:tc>
          <w:tcPr>
            <w:tcW w:w="950"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32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3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 xml:space="preserve">487 </w:t>
            </w:r>
          </w:p>
        </w:tc>
        <w:tc>
          <w:tcPr>
            <w:tcW w:w="949"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1995"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95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1930</w:t>
            </w:r>
          </w:p>
        </w:tc>
        <w:tc>
          <w:tcPr>
            <w:tcW w:w="95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747</w:t>
            </w:r>
          </w:p>
        </w:tc>
        <w:tc>
          <w:tcPr>
            <w:tcW w:w="949"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 xml:space="preserve">291 </w:t>
            </w:r>
          </w:p>
        </w:tc>
        <w:tc>
          <w:tcPr>
            <w:tcW w:w="949"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 xml:space="preserve">9620 </w:t>
            </w:r>
          </w:p>
        </w:tc>
        <w:tc>
          <w:tcPr>
            <w:tcW w:w="949"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39119</w:t>
            </w:r>
          </w:p>
        </w:tc>
        <w:tc>
          <w:tcPr>
            <w:tcW w:w="949"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 xml:space="preserve">2000 </w:t>
            </w:r>
          </w:p>
        </w:tc>
      </w:tr>
    </w:tbl>
    <w:p>
      <w:pPr>
        <w:pStyle w:val="2"/>
        <w:ind w:firstLine="560" w:firstLineChars="200"/>
        <w:rPr>
          <w:rFonts w:ascii="Times New Roman" w:hAnsi="Times New Roman"/>
          <w:highlight w:val="cyan"/>
          <w:lang w:val="en-US"/>
        </w:rPr>
      </w:pPr>
      <w:r>
        <w:rPr>
          <w:rFonts w:ascii="Times New Roman" w:hAnsi="Times New Roman"/>
          <w:color w:val="auto"/>
          <w:sz w:val="28"/>
          <w:szCs w:val="28"/>
          <w:lang w:val="en-US"/>
        </w:rPr>
        <w:t>经统计分析发现，全区养殖场（户）户均养殖量中，生猪户均养殖量中有57%高于120头；肉羊户均养殖量中</w:t>
      </w:r>
      <w:r>
        <w:rPr>
          <w:rFonts w:hint="eastAsia" w:ascii="Times New Roman" w:hAnsi="Times New Roman"/>
          <w:color w:val="auto"/>
          <w:sz w:val="28"/>
          <w:szCs w:val="28"/>
          <w:lang w:val="en-US"/>
        </w:rPr>
        <w:t>东史端镇</w:t>
      </w:r>
      <w:r>
        <w:rPr>
          <w:rFonts w:ascii="Times New Roman" w:hAnsi="Times New Roman"/>
          <w:color w:val="auto"/>
          <w:sz w:val="28"/>
          <w:szCs w:val="28"/>
          <w:lang w:val="en-US"/>
        </w:rPr>
        <w:t>和高林村镇远高于其他乡镇；肉牛户均养殖量中仅大因镇高于50头；奶牛户均养殖量均高于300头，且留村镇高于3000头；鸡户均养殖量出现一种较为极端的分布，遂城镇和正村镇高于12000羽，而大因镇低于100羽。整体而言，同一养殖畜种在各乡镇的养殖分布较为均匀。</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根据现场调查核实，徐水区规模化养殖场都不在徐水区禁养区范围内，所有规模化养殖场分布位置见附图4徐水区规模化畜禽养殖场分布图。</w:t>
      </w:r>
    </w:p>
    <w:bookmarkEnd w:id="245"/>
    <w:bookmarkEnd w:id="246"/>
    <w:bookmarkEnd w:id="247"/>
    <w:p>
      <w:pPr>
        <w:pStyle w:val="6"/>
        <w:numPr>
          <w:ilvl w:val="2"/>
          <w:numId w:val="0"/>
        </w:numPr>
        <w:spacing w:before="156" w:after="156"/>
      </w:pPr>
      <w:r>
        <w:t>2.4.3畜禽养殖污染防治现状</w:t>
      </w:r>
    </w:p>
    <w:p>
      <w:pPr>
        <w:pStyle w:val="2"/>
        <w:ind w:firstLine="0"/>
        <w:rPr>
          <w:rFonts w:ascii="Times New Roman" w:hAnsi="Times New Roman"/>
          <w:b/>
          <w:bCs/>
          <w:sz w:val="28"/>
          <w:szCs w:val="28"/>
          <w:lang w:val="en-US"/>
        </w:rPr>
      </w:pPr>
      <w:r>
        <w:rPr>
          <w:rFonts w:ascii="Times New Roman" w:hAnsi="Times New Roman"/>
          <w:b/>
          <w:bCs/>
          <w:sz w:val="28"/>
          <w:szCs w:val="28"/>
          <w:lang w:val="en-US"/>
        </w:rPr>
        <w:t>2.4.3.1畜禽养殖污染物处理现状</w:t>
      </w:r>
    </w:p>
    <w:p>
      <w:pPr>
        <w:pStyle w:val="2"/>
        <w:ind w:firstLine="0"/>
        <w:rPr>
          <w:rFonts w:ascii="Times New Roman" w:hAnsi="Times New Roman"/>
          <w:sz w:val="28"/>
          <w:szCs w:val="28"/>
          <w:lang w:val="en-US"/>
        </w:rPr>
      </w:pPr>
      <w:bookmarkStart w:id="248" w:name="_Toc32117"/>
      <w:bookmarkStart w:id="249" w:name="_Toc26635"/>
      <w:bookmarkStart w:id="250" w:name="_Toc19104"/>
      <w:bookmarkStart w:id="251" w:name="_Toc10235"/>
      <w:r>
        <w:rPr>
          <w:rFonts w:ascii="Times New Roman" w:hAnsi="Times New Roman"/>
          <w:sz w:val="28"/>
          <w:szCs w:val="28"/>
          <w:lang w:val="en-US"/>
        </w:rPr>
        <w:t>一、粪污处理方式</w:t>
      </w:r>
      <w:bookmarkEnd w:id="248"/>
      <w:bookmarkEnd w:id="249"/>
      <w:bookmarkEnd w:id="250"/>
      <w:r>
        <w:rPr>
          <w:rFonts w:ascii="Times New Roman" w:hAnsi="Times New Roman"/>
          <w:sz w:val="28"/>
          <w:szCs w:val="28"/>
          <w:lang w:val="en-US"/>
        </w:rPr>
        <w:t>及病死畜禽无害化处理方式</w:t>
      </w:r>
      <w:bookmarkEnd w:id="251"/>
    </w:p>
    <w:p>
      <w:pPr>
        <w:pStyle w:val="2"/>
        <w:ind w:firstLine="560" w:firstLineChars="200"/>
        <w:rPr>
          <w:rFonts w:ascii="Times New Roman" w:hAnsi="Times New Roman"/>
          <w:sz w:val="28"/>
          <w:szCs w:val="28"/>
          <w:lang w:val="en-US"/>
        </w:rPr>
      </w:pPr>
      <w:r>
        <w:rPr>
          <w:rFonts w:ascii="Times New Roman" w:hAnsi="Times New Roman"/>
          <w:sz w:val="28"/>
          <w:szCs w:val="28"/>
          <w:lang w:val="en-US"/>
        </w:rPr>
        <w:t>我区畜禽养殖主要采用机械或人工干清粪方式，处理模式主要有集中收集生产有机肥料、堆积发酵就近还田、干湿分离发酵后作为垫料回填利用、生产沼气等方式。养殖场配建堆粪场、污水沉淀池、污水管道、雨污分离等粪污处理设施，配套吸粪车、固液分离机、粪便发酵罐、污水处理系统等粪污资源化利用设施。我区规模养殖场粪污处理设施装备配建率100%，畜禽粪污综合利用率达到了80%以上。散养户粪污经堆沤发酵后就近运输到附近农田使用，年可还田消纳粪污25.77万吨，畜禽粪污综合利用率达到了80%。</w:t>
      </w:r>
    </w:p>
    <w:p>
      <w:pPr>
        <w:pStyle w:val="2"/>
        <w:ind w:firstLine="560" w:firstLineChars="200"/>
        <w:rPr>
          <w:rFonts w:ascii="Times New Roman" w:hAnsi="Times New Roman" w:eastAsia="黑体"/>
          <w:b/>
          <w:bCs/>
          <w:sz w:val="21"/>
          <w:lang w:val="en-US"/>
        </w:rPr>
      </w:pPr>
      <w:r>
        <w:rPr>
          <w:rFonts w:ascii="Times New Roman" w:hAnsi="Times New Roman"/>
          <w:sz w:val="28"/>
          <w:szCs w:val="28"/>
          <w:lang w:val="en-US"/>
        </w:rPr>
        <w:t>徐水区各乡镇养殖专业户和养殖散户的粪污处理方式及病死畜禽无害化处理方式如表2.4-7所示。</w:t>
      </w:r>
    </w:p>
    <w:p>
      <w:pPr>
        <w:pStyle w:val="2"/>
        <w:spacing w:line="360" w:lineRule="auto"/>
        <w:ind w:firstLine="0"/>
        <w:jc w:val="center"/>
        <w:rPr>
          <w:rFonts w:ascii="Times New Roman" w:hAnsi="Times New Roman"/>
          <w:lang w:val="en-US"/>
        </w:rPr>
      </w:pPr>
      <w:r>
        <w:rPr>
          <w:rFonts w:ascii="Times New Roman" w:hAnsi="Times New Roman" w:eastAsia="黑体"/>
          <w:b/>
          <w:bCs/>
          <w:sz w:val="21"/>
          <w:lang w:val="en-US"/>
        </w:rPr>
        <w:t>表2.4-7  徐水区各乡镇养殖散户粪污处理方式及病死畜禽无害化处理方式一览表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786"/>
        <w:gridCol w:w="3682"/>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b/>
                <w:bCs/>
                <w:kern w:val="0"/>
                <w:sz w:val="21"/>
                <w:lang w:bidi="ar"/>
              </w:rPr>
              <w:t>序号</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b/>
                <w:bCs/>
                <w:kern w:val="0"/>
                <w:sz w:val="21"/>
                <w:lang w:bidi="ar"/>
              </w:rPr>
              <w:t>乡镇名称</w:t>
            </w:r>
          </w:p>
        </w:tc>
        <w:tc>
          <w:tcPr>
            <w:tcW w:w="3682" w:type="dxa"/>
            <w:vAlign w:val="center"/>
          </w:tcPr>
          <w:p>
            <w:pPr>
              <w:widowControl/>
              <w:jc w:val="center"/>
              <w:textAlignment w:val="center"/>
              <w:rPr>
                <w:rFonts w:eastAsia="黑体"/>
                <w:szCs w:val="21"/>
              </w:rPr>
            </w:pPr>
            <w:r>
              <w:rPr>
                <w:rFonts w:eastAsia="黑体"/>
                <w:b/>
                <w:bCs/>
                <w:color w:val="000000"/>
                <w:kern w:val="0"/>
                <w:szCs w:val="21"/>
                <w:lang w:bidi="ar"/>
              </w:rPr>
              <w:t>粪污处理方式</w:t>
            </w:r>
          </w:p>
        </w:tc>
        <w:tc>
          <w:tcPr>
            <w:tcW w:w="2599" w:type="dxa"/>
            <w:vAlign w:val="center"/>
          </w:tcPr>
          <w:p>
            <w:pPr>
              <w:widowControl/>
              <w:jc w:val="center"/>
              <w:textAlignment w:val="center"/>
              <w:rPr>
                <w:rFonts w:eastAsia="黑体"/>
                <w:szCs w:val="21"/>
              </w:rPr>
            </w:pPr>
            <w:r>
              <w:rPr>
                <w:rFonts w:eastAsia="黑体"/>
                <w:b/>
                <w:bCs/>
                <w:color w:val="000000"/>
                <w:kern w:val="0"/>
                <w:szCs w:val="21"/>
                <w:lang w:bidi="ar"/>
              </w:rPr>
              <w:t>病死畜禽无害化处理方式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kern w:val="0"/>
                <w:sz w:val="21"/>
                <w:lang w:bidi="ar"/>
              </w:rPr>
              <w:t>安肃镇</w:t>
            </w:r>
          </w:p>
        </w:tc>
        <w:tc>
          <w:tcPr>
            <w:tcW w:w="3682" w:type="dxa"/>
            <w:vAlign w:val="center"/>
          </w:tcPr>
          <w:p>
            <w:pPr>
              <w:widowControl/>
              <w:jc w:val="center"/>
              <w:textAlignment w:val="center"/>
              <w:rPr>
                <w:rFonts w:eastAsia="黑体"/>
                <w:szCs w:val="21"/>
              </w:rPr>
            </w:pPr>
            <w:r>
              <w:rPr>
                <w:rFonts w:eastAsia="黑体"/>
                <w:color w:val="000000"/>
                <w:kern w:val="0"/>
                <w:szCs w:val="21"/>
                <w:lang w:bidi="ar"/>
              </w:rPr>
              <w:t>堆积发酵还田</w:t>
            </w:r>
          </w:p>
        </w:tc>
        <w:tc>
          <w:tcPr>
            <w:tcW w:w="2599"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kern w:val="0"/>
                <w:sz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漕河镇</w:t>
            </w:r>
          </w:p>
        </w:tc>
        <w:tc>
          <w:tcPr>
            <w:tcW w:w="3682"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崔庄镇</w:t>
            </w:r>
          </w:p>
        </w:tc>
        <w:tc>
          <w:tcPr>
            <w:tcW w:w="3682" w:type="dxa"/>
            <w:vAlign w:val="center"/>
          </w:tcPr>
          <w:p>
            <w:pPr>
              <w:jc w:val="center"/>
              <w:rPr>
                <w:rFonts w:eastAsia="黑体"/>
                <w:szCs w:val="21"/>
              </w:rPr>
            </w:pPr>
            <w:r>
              <w:rPr>
                <w:rFonts w:eastAsia="黑体"/>
                <w:szCs w:val="21"/>
              </w:rPr>
              <w:t>堆积发酵还田、沉淀池</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4</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大王店镇</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5</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大因镇</w:t>
            </w:r>
          </w:p>
        </w:tc>
        <w:tc>
          <w:tcPr>
            <w:tcW w:w="3682" w:type="dxa"/>
            <w:vAlign w:val="center"/>
          </w:tcPr>
          <w:p>
            <w:pPr>
              <w:widowControl/>
              <w:jc w:val="center"/>
              <w:textAlignment w:val="center"/>
              <w:rPr>
                <w:rFonts w:eastAsia="黑体"/>
                <w:szCs w:val="21"/>
              </w:rPr>
            </w:pPr>
            <w:r>
              <w:rPr>
                <w:rFonts w:eastAsia="黑体"/>
                <w:color w:val="000000"/>
                <w:kern w:val="0"/>
                <w:szCs w:val="21"/>
                <w:lang w:bidi="ar"/>
              </w:rPr>
              <w:t>堆积发酵、污水池</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6</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东釜山乡</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7</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hint="eastAsia" w:ascii="Times New Roman" w:hAnsi="Times New Roman" w:eastAsia="黑体"/>
                <w:sz w:val="21"/>
                <w:lang w:val="en-US"/>
              </w:rPr>
              <w:t>东史端镇</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8</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高林村镇</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9</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户木乡</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10</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瀑河乡</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11</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遂城镇</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12</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正村镇</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13</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留村镇</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14</w:t>
            </w:r>
          </w:p>
        </w:tc>
        <w:tc>
          <w:tcPr>
            <w:tcW w:w="17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义联庄乡</w:t>
            </w:r>
          </w:p>
        </w:tc>
        <w:tc>
          <w:tcPr>
            <w:tcW w:w="3682" w:type="dxa"/>
            <w:vAlign w:val="center"/>
          </w:tcPr>
          <w:p>
            <w:pPr>
              <w:jc w:val="center"/>
              <w:rPr>
                <w:rFonts w:eastAsia="黑体"/>
                <w:szCs w:val="21"/>
              </w:rPr>
            </w:pPr>
            <w:r>
              <w:rPr>
                <w:rFonts w:eastAsia="黑体"/>
                <w:szCs w:val="21"/>
              </w:rPr>
              <w:t>堆积发酵还田</w:t>
            </w:r>
          </w:p>
        </w:tc>
        <w:tc>
          <w:tcPr>
            <w:tcW w:w="2599" w:type="dxa"/>
            <w:vAlign w:val="center"/>
          </w:tcPr>
          <w:p>
            <w:pPr>
              <w:jc w:val="center"/>
              <w:rPr>
                <w:rFonts w:eastAsia="黑体"/>
                <w:szCs w:val="21"/>
              </w:rPr>
            </w:pPr>
            <w:r>
              <w:rPr>
                <w:rFonts w:eastAsia="黑体"/>
                <w:color w:val="000000"/>
                <w:kern w:val="0"/>
                <w:szCs w:val="21"/>
                <w:lang w:bidi="ar"/>
              </w:rPr>
              <w:t>无害化集中处理</w:t>
            </w:r>
          </w:p>
        </w:tc>
      </w:tr>
    </w:tbl>
    <w:p>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统计结果表明，全部的乡镇</w:t>
      </w:r>
      <w:r>
        <w:rPr>
          <w:rFonts w:hint="eastAsia" w:ascii="Times New Roman" w:hAnsi="Times New Roman"/>
          <w:sz w:val="28"/>
          <w:szCs w:val="28"/>
          <w:lang w:val="en-US"/>
        </w:rPr>
        <w:t>养殖散户</w:t>
      </w:r>
      <w:r>
        <w:rPr>
          <w:rFonts w:ascii="Times New Roman" w:hAnsi="Times New Roman"/>
          <w:sz w:val="28"/>
          <w:szCs w:val="28"/>
          <w:lang w:val="en-US"/>
        </w:rPr>
        <w:t>均采用堆积发酵还田的方式进行畜禽粪污处理，其中有</w:t>
      </w:r>
      <w:r>
        <w:rPr>
          <w:rFonts w:hint="eastAsia" w:ascii="Times New Roman" w:hAnsi="Times New Roman"/>
          <w:sz w:val="28"/>
          <w:szCs w:val="28"/>
          <w:lang w:val="en-US"/>
        </w:rPr>
        <w:t>85.71</w:t>
      </w:r>
      <w:r>
        <w:rPr>
          <w:rFonts w:ascii="Times New Roman" w:hAnsi="Times New Roman"/>
          <w:sz w:val="28"/>
          <w:szCs w:val="28"/>
          <w:lang w:val="en-US"/>
        </w:rPr>
        <w:t>%的乡镇养殖散户采用堆积发酵还田的单一方式处理畜禽粪污。所有乡镇的养殖散户均对病死畜禽进行无害化集中处理。</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综合以上数据及现场调研结果，徐水区养殖散户粪污处理方式较为单一，粪污还田方式粗放，存在较高的环境风险，需要政府协调养殖户与种植大户、农民合作社或绿化公司进行区域化的集中处理。</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徐水区规模化养殖场粪污处理方式、病死畜禽处理方式及投资金额如附表2所示。</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所有的规模化养殖场中使用单一处理方法处理粪污的养殖场占29.81%，大部分养殖场采用多种处理方法对粪污进行处理。其中使用堆肥发酵法处理粪污的养殖场占83.23%，使用厌氧发酵法处理粪污的养殖场占12.42%，使用好氧发酵法的养殖场占3.73%，外运集中处理的养殖场占6.83%。徐水区配置发酵罐的规模化养殖场占11.18%。徐水区受到政府扶持的规模化养殖场占15.53%，且多数为奶牛养殖场。统计发现，大型规模化养殖场受到政府扶持，且配置高效的粪污处理设施，说明政府部门的支持对于徐水区畜禽养殖业的发展及其污染防治均有极大的促进作用。</w:t>
      </w:r>
    </w:p>
    <w:p>
      <w:pPr>
        <w:pStyle w:val="2"/>
        <w:ind w:firstLine="0"/>
        <w:rPr>
          <w:rFonts w:ascii="Times New Roman" w:hAnsi="Times New Roman"/>
          <w:sz w:val="28"/>
          <w:szCs w:val="28"/>
          <w:lang w:val="en-US"/>
        </w:rPr>
      </w:pPr>
      <w:bookmarkStart w:id="252" w:name="_Toc10974"/>
      <w:r>
        <w:rPr>
          <w:rFonts w:ascii="Times New Roman" w:hAnsi="Times New Roman"/>
          <w:sz w:val="28"/>
          <w:szCs w:val="28"/>
          <w:lang w:val="en-US"/>
        </w:rPr>
        <w:t>二、徐水区病死畜禽处理中心</w:t>
      </w:r>
      <w:bookmarkEnd w:id="252"/>
    </w:p>
    <w:p>
      <w:pPr>
        <w:pStyle w:val="2"/>
        <w:ind w:firstLine="560" w:firstLineChars="200"/>
        <w:rPr>
          <w:rFonts w:ascii="Times New Roman" w:hAnsi="Times New Roman"/>
          <w:sz w:val="28"/>
          <w:szCs w:val="28"/>
          <w:lang w:val="en-US"/>
        </w:rPr>
      </w:pPr>
      <w:r>
        <w:rPr>
          <w:rFonts w:ascii="Times New Roman" w:hAnsi="Times New Roman"/>
          <w:sz w:val="28"/>
          <w:szCs w:val="28"/>
          <w:lang w:val="en-US"/>
        </w:rPr>
        <w:t>根据环境保护部办公厅《关于病害动物无害化处理有关意见的复函》（环办函[2014]789号），不宜将动物尸体处置项目认定为危险废物集中处置项目，而是由农业部门按照有关法律法规和技术规范进行监管。因此对于猪场的病死猪尸体，则应立即将其从隔离舍运出，由农业部门进行妥善处置。</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2021年徐水区猪当量存栏约483735头，病死猪养殖过程正常死亡在8%-12%之间。按照10%的死亡率年处理病死猪4.84万头，目前徐水区已建成保定市病死动物无害化处理中心1个，位于河北省保定市徐水区端乡陈庄村南，占地面积22616.28平方米，2021年处理保南13个县的病死畜禽约16万头。工艺流程介绍如下。</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收集：接到集中收集点电话申请后，落实专人、专用车辆到集中收集点收运病死家禽，不得到禽畜养殖场收集病死禽畜，不得接收集中收集点外的病死禽畜。</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运输：整个运输过程要制定科学合理的行车路线，专用运输车辆要按规定路线运输病死禽畜，中途不得随意改变行车路线，不得做与收集病死禽畜无关的事情。</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进场消毒、卸料、补杀：由工作人员用叉车和专用吊装设备进行卸车，活体动物及时进行宰杀（采用电击方式补杀）。及时将处理的动物尸体直接装入料仓进行无害化处理。对重大动物疫病的病死或死因不明的禽畜，需进入冷库中冷藏待检疫部门查检后再进行处理。</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病死动物输送：锅门系统开启，自动伸缩架与道轨链接，全过程无需人员接触物料。</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高温高压化制处理：根据处理的种类和数量分别进行120-240分钟的高温高压灭菌处理（温度在160-200℃），对处理物彻底灭菌。</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油水分离及精炼：在灭菌过程中油脂自动溢出，动物残渣积存在罐底。灭菌结束后根据工艺程序开启排气阀把余气排入冷凝器进行冷凝，冷凝后的废水进入厂区污水处理站进行处理。排气阀关闭后，出油阀自动开启，将油水混合物排入高温精炼一次油水分离设备中，一次油水分离器使油水物理分离后达到一定效果后把废水排入发酵罐内，然后开启高温加热系统使油精炼，用离心式输油泵将油排入加热式储油罐内，使油再次达到精炼存放。</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骨肉等干燥：化制机内部工作完成后，排气系统自动关闭，锅门上方排气口自动开启。开启自动出料系统，出料时处理物需要先进行风冷干燥，风冷机与化制机中间安装降尘器，过滤干燥过程中化制机排除的水蒸气内的骨肉颗粒，降尘器与化制机连同，干燥过程中无其他排气口。降尘器内收集的颗粒物作为成品进行包装。提升系统将干燥后的处理物倒入进料仓，物料自动进入自动包装系统，处理后再装料进入下一次工作。</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为了保证厂区内卫生条件，需要对运输车辆及周转箱，设备以及原料车间和扑杀间车间进行定期消毒。运输车辆及周转箱每次卸料后需通过超声波雾化消毒；设备每天消毒一次，采取高压喷雾消毒；原料库及补杀间地面需要每天清洗消毒一次，采取高压水枪消毒。项目所用消毒剂为苯扎溴铵溶液，用量为用水量的0.01%。另外动物尸体的收集、暂存、装运、无害化处理操作的工作人员应经过专门培训，掌握相应的动物防疫知识。病死动物的收集、暂存、装运、无害化处理等环节建有病死禽畜收集、交接、消毒等台账和记录。填写保定市病死禽畜集中无害化处理情况登记单（接收单）以及保定市病死禽畜集中无害化处理情况登记单。</w:t>
      </w:r>
    </w:p>
    <w:p>
      <w:pPr>
        <w:pStyle w:val="2"/>
        <w:ind w:firstLine="560" w:firstLineChars="200"/>
        <w:rPr>
          <w:rFonts w:ascii="Times New Roman" w:hAnsi="Times New Roman"/>
        </w:rPr>
      </w:pPr>
      <w:r>
        <w:rPr>
          <w:rFonts w:ascii="Times New Roman" w:hAnsi="Times New Roman"/>
          <w:sz w:val="28"/>
          <w:szCs w:val="28"/>
          <w:lang w:val="en-US"/>
        </w:rPr>
        <w:t>通过现场调查和咨询，发现该病死畜禽处理中心年处理能力为2.8万吨/年，约100万头/年，而2021年的年处理量为30万头/年，其中，2021年处理保南13个县的病死畜禽约16万头，说明该病死畜禽处理中心的处理能力充足，能够满足徐水区未来一定时间内畜禽养殖业的发展需要。</w:t>
      </w:r>
    </w:p>
    <w:p>
      <w:pPr>
        <w:pStyle w:val="2"/>
        <w:ind w:firstLine="0"/>
        <w:rPr>
          <w:rFonts w:ascii="Times New Roman" w:hAnsi="Times New Roman"/>
          <w:sz w:val="28"/>
          <w:szCs w:val="28"/>
          <w:lang w:val="en-US"/>
        </w:rPr>
      </w:pPr>
      <w:bookmarkStart w:id="253" w:name="_Toc5990"/>
      <w:r>
        <w:rPr>
          <w:rFonts w:ascii="Times New Roman" w:hAnsi="Times New Roman"/>
          <w:sz w:val="28"/>
          <w:szCs w:val="28"/>
          <w:lang w:val="en-US"/>
        </w:rPr>
        <w:t>三、徐水区畜禽粪污集中处理园区</w:t>
      </w:r>
      <w:bookmarkEnd w:id="253"/>
    </w:p>
    <w:p>
      <w:pPr>
        <w:pStyle w:val="2"/>
        <w:ind w:firstLine="560" w:firstLineChars="200"/>
        <w:rPr>
          <w:rFonts w:ascii="Times New Roman" w:hAnsi="Times New Roman"/>
          <w:sz w:val="28"/>
          <w:szCs w:val="28"/>
          <w:lang w:val="en-US"/>
        </w:rPr>
      </w:pPr>
      <w:r>
        <w:rPr>
          <w:rFonts w:ascii="Times New Roman" w:hAnsi="Times New Roman"/>
          <w:sz w:val="28"/>
          <w:szCs w:val="28"/>
          <w:lang w:val="en-US"/>
        </w:rPr>
        <w:t>河北集美绿化工程有限公司和凯年农业有限公司2个园区为畜禽粪污集中处理园区，主要</w:t>
      </w:r>
      <w:r>
        <w:rPr>
          <w:rFonts w:hint="eastAsia" w:ascii="Times New Roman" w:hAnsi="Times New Roman"/>
          <w:sz w:val="28"/>
          <w:szCs w:val="28"/>
          <w:lang w:val="en-US"/>
        </w:rPr>
        <w:t>配建</w:t>
      </w:r>
      <w:r>
        <w:rPr>
          <w:rFonts w:ascii="Times New Roman" w:hAnsi="Times New Roman"/>
          <w:sz w:val="28"/>
          <w:szCs w:val="28"/>
          <w:lang w:val="en-US"/>
        </w:rPr>
        <w:t>粪污收集、处理设施设备和肥水还田管网建设及配套设施。</w:t>
      </w:r>
    </w:p>
    <w:p>
      <w:pPr>
        <w:pStyle w:val="2"/>
        <w:ind w:firstLine="0"/>
        <w:rPr>
          <w:rFonts w:ascii="Times New Roman" w:hAnsi="Times New Roman"/>
          <w:b/>
          <w:bCs/>
          <w:sz w:val="28"/>
          <w:szCs w:val="28"/>
          <w:lang w:val="en-US"/>
        </w:rPr>
      </w:pPr>
      <w:r>
        <w:rPr>
          <w:rFonts w:ascii="Times New Roman" w:hAnsi="Times New Roman"/>
          <w:b/>
          <w:bCs/>
          <w:sz w:val="28"/>
          <w:szCs w:val="28"/>
          <w:lang w:val="en-US"/>
        </w:rPr>
        <w:t>① 河北集美绿化工程有限公司</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河北集美绿化工程有限公司年可处理徐水区畜禽粪污2.2万吨。通过建设完善的粪污收集、处理、肥水管网灌溉系统实现畜禽粪污的资源化利用。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工艺流程：</w:t>
      </w:r>
    </w:p>
    <w:p>
      <w:pPr>
        <w:pStyle w:val="2"/>
        <w:ind w:firstLine="0"/>
        <w:jc w:val="center"/>
        <w:rPr>
          <w:rFonts w:ascii="Times New Roman" w:hAnsi="Times New Roman"/>
          <w:sz w:val="28"/>
          <w:szCs w:val="28"/>
          <w:lang w:val="en-US"/>
        </w:rPr>
      </w:pPr>
      <w:r>
        <w:rPr>
          <w:rFonts w:ascii="Times New Roman" w:hAnsi="Times New Roman"/>
          <w:sz w:val="28"/>
          <w:szCs w:val="28"/>
          <w:lang w:val="en-US"/>
        </w:rPr>
        <w:drawing>
          <wp:inline distT="0" distB="0" distL="114300" distR="114300">
            <wp:extent cx="2332990" cy="3557905"/>
            <wp:effectExtent l="0" t="0" r="10160" b="4445"/>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4"/>
                    <a:stretch>
                      <a:fillRect/>
                    </a:stretch>
                  </pic:blipFill>
                  <pic:spPr>
                    <a:xfrm>
                      <a:off x="0" y="0"/>
                      <a:ext cx="2332990" cy="3557905"/>
                    </a:xfrm>
                    <a:prstGeom prst="rect">
                      <a:avLst/>
                    </a:prstGeom>
                  </pic:spPr>
                </pic:pic>
              </a:graphicData>
            </a:graphic>
          </wp:inline>
        </w:drawing>
      </w:r>
    </w:p>
    <w:p>
      <w:pPr>
        <w:spacing w:line="360" w:lineRule="auto"/>
        <w:jc w:val="center"/>
        <w:rPr>
          <w:rFonts w:eastAsia="黑体"/>
          <w:b/>
          <w:bCs/>
          <w:szCs w:val="21"/>
        </w:rPr>
      </w:pPr>
      <w:r>
        <w:rPr>
          <w:rFonts w:eastAsia="黑体"/>
          <w:b/>
          <w:bCs/>
          <w:szCs w:val="21"/>
        </w:rPr>
        <w:t>图2.4-4  工艺流程图</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 xml:space="preserve">河北集美绿化工程有限公司免费对猪粪和牛粪进行收集，专用收集车辆拉回的畜禽粪污直接进入固液分离装置，分离出来的粪污液体先进行消毒，进一步杀灭畜禽粪污液体中残留的中的有害病菌、虫卵，消毒完成后泵送至储液罐，在储液罐中进行发酵，发酵完成后进入灌溉系统。灌溉时将处理好的粪污液体打入配液站，调整进液量后进入一体化灌溉系统输送至苗木的近根部消化利用。 </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固液分离装置分离出来的干料由干料运输车运送至发酵滚筒进料区，添加腐熟剂并且装载机混拌均匀后进入发酵滚筒进行发酵，发酵滚筒每天补充新鲜空气并在转动过程中实现物料的翻混，物料在发酵滚筒中微生物大量繁殖，温度迅速上升，发酵物料温度上升至65℃~70℃彻底杀灭畜禽粪污中的有害病菌、虫卵、杂草种子，发酵完成后将物料输送至筛分机进行筛分，进一步去除原料中带入的杂质，筛分后的物料即为粪肥，由干料运输车运送指定位置，再由专用撒粪车进行施肥作业，直接用于园区作物底肥，起到改良土壤，提升肥力的功效。</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河北集美绿化工程有限公司通过对粪污进行收集、处理，处理后的肥料全部用于公司自有苗木种植园区和绿化带，用于改良土壤和提升种植效益。</w:t>
      </w:r>
    </w:p>
    <w:p>
      <w:pPr>
        <w:pStyle w:val="2"/>
        <w:ind w:firstLine="0"/>
        <w:rPr>
          <w:rFonts w:ascii="Times New Roman" w:hAnsi="Times New Roman"/>
          <w:b/>
          <w:bCs/>
          <w:sz w:val="28"/>
          <w:szCs w:val="28"/>
          <w:lang w:val="en-US"/>
        </w:rPr>
      </w:pPr>
      <w:r>
        <w:rPr>
          <w:rFonts w:ascii="Times New Roman" w:hAnsi="Times New Roman"/>
          <w:b/>
          <w:bCs/>
          <w:sz w:val="28"/>
          <w:szCs w:val="28"/>
          <w:lang w:val="en-US"/>
        </w:rPr>
        <w:t>② 凯年农业有限公司</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凯年农业有限公司可实现每天加工处理液体粪污50m³，固体粪污7-8m³，年处理畜禽粪污2万吨左右。通过粪污肥水还田，改善园区土壤，提高农产品质量，周边改善畜禽饲养环境，实现粪污资源化利用。以“减量化生产、无害化处理、资源化利用、生态化循环”为原则，持续创新环保技术，提升环保标准，强化环境管理，大力发展“养殖—有机肥—绿色农业”为一体的循环经济模式，助力乡村振兴和美丽中国建设。</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本项目粪污处理拟采用“固液分离+智能快速好氧发酵技术+厌氧发酵系统”处理工艺，养殖粪污通过运输车进入收集池，经过固液分离，固体粪污在固粪处理区快速堆肥发酵后作为农家肥使用，液体粪污进入厌氧发酵系统发酵后通过液肥车或管网施用与园区。</w:t>
      </w:r>
    </w:p>
    <w:p>
      <w:pPr>
        <w:pStyle w:val="2"/>
        <w:ind w:firstLine="562" w:firstLineChars="200"/>
        <w:rPr>
          <w:rFonts w:ascii="Times New Roman" w:hAnsi="Times New Roman"/>
          <w:b/>
          <w:bCs/>
          <w:sz w:val="28"/>
          <w:szCs w:val="28"/>
          <w:lang w:val="en-US"/>
        </w:rPr>
      </w:pPr>
      <w:bookmarkStart w:id="254" w:name="_Toc65504030"/>
      <w:r>
        <w:rPr>
          <w:rFonts w:ascii="Times New Roman" w:hAnsi="Times New Roman"/>
          <w:b/>
          <w:bCs/>
          <w:sz w:val="28"/>
          <w:szCs w:val="28"/>
          <w:lang w:val="en-US"/>
        </w:rPr>
        <w:t>固体粪便处理工艺</w:t>
      </w:r>
      <w:bookmarkEnd w:id="254"/>
    </w:p>
    <w:p>
      <w:pPr>
        <w:pStyle w:val="2"/>
        <w:ind w:firstLine="560" w:firstLineChars="200"/>
        <w:rPr>
          <w:rFonts w:ascii="Times New Roman" w:hAnsi="Times New Roman"/>
          <w:sz w:val="28"/>
          <w:szCs w:val="28"/>
          <w:lang w:val="en-US"/>
        </w:rPr>
      </w:pPr>
      <w:r>
        <w:rPr>
          <w:rFonts w:ascii="Times New Roman" w:hAnsi="Times New Roman"/>
          <w:sz w:val="28"/>
          <w:szCs w:val="28"/>
          <w:lang w:val="en-US"/>
        </w:rPr>
        <w:t>采用智能快速好氧发酵工艺，好氧堆肥的优点：工艺简单、投资少，发酵迅速，周期短，堆温高，灭菌彻底，水分降低快，不易产臭味，占地面积小的特点，是一种安全、有效、经济的处理方式。</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智能快速好氧发酵技术是根据微生物的特性研发、制造的一种快速堆肥技术。采用多级发酵、多级翻抛、自动控温控氧、杀灭病原微生物、虫卵，达到无害化处理要求、产品水分低，有机质氮磷钾含量高。运行成本低、自动化程度高，省工省力，配备除臭系统，环保节能。</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智能快速好氧发酵机采用多级翻抛、分层发酵结构。全程采用PLC智能控制，配合先进的分层发酵，多级翻抛、感控输氧工艺，可以自动控制各级温度、耗氧量。设备主要由混料搅拌系统、自动上料系统、发酵主机系统、通风供氧系统、辅助加热系统、余热回收系统、除臭系统、自动出料系统和智能控制系统组成。</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① 高温好氧发酵，利用高温生物菌技术，能耗低，运行成本低。设备处理量大，投资成本低。</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② 机械化、自动化程度高，操作简单，一人操控即可完成发酵处理过程。</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③ 设备主体采用不锈钢特殊材质，减少腐蚀，使用寿命长。</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④ 配有PLC智能控制系统，智能控制通风供氧、实现发酵工艺的自动化。</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⑤ 主体保温设计，辅助加热确保低温环境下设备正常运行。配有余热回收系统，使多余的热量有效循环利用。</w:t>
      </w:r>
    </w:p>
    <w:p>
      <w:pPr>
        <w:pStyle w:val="2"/>
        <w:ind w:firstLine="560" w:firstLineChars="200"/>
        <w:rPr>
          <w:rFonts w:ascii="Times New Roman" w:hAnsi="Times New Roman"/>
          <w:sz w:val="28"/>
          <w:szCs w:val="28"/>
          <w:lang w:val="en-US"/>
        </w:rPr>
      </w:pPr>
      <w:bookmarkStart w:id="255" w:name="_Toc65360961"/>
      <w:r>
        <w:rPr>
          <w:rFonts w:ascii="Times New Roman" w:hAnsi="Times New Roman"/>
          <w:sz w:val="28"/>
          <w:szCs w:val="28"/>
          <w:lang w:val="en-US"/>
        </w:rPr>
        <w:t>工艺流程</w:t>
      </w:r>
      <w:bookmarkEnd w:id="255"/>
    </w:p>
    <w:p>
      <w:pPr>
        <w:pStyle w:val="2"/>
        <w:ind w:firstLine="560" w:firstLineChars="200"/>
        <w:rPr>
          <w:rFonts w:ascii="Times New Roman" w:hAnsi="Times New Roman"/>
          <w:sz w:val="28"/>
          <w:szCs w:val="28"/>
          <w:lang w:val="en-US"/>
        </w:rPr>
      </w:pPr>
      <w:r>
        <w:rPr>
          <w:rFonts w:ascii="Times New Roman" w:hAnsi="Times New Roman"/>
          <w:sz w:val="28"/>
          <w:szCs w:val="28"/>
          <w:lang w:val="en-US"/>
        </w:rPr>
        <w:t>① 通过混料系统使粪便、辅料、发酵菌种充分混合，并调节混料水份在55%-60%左右，55%以下效果最佳。辅料的作用是增加物料通透性同时降低肥料的水份，通过上料系统运送到发酵机体上部。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② 通过传送带、各层网链及摊平翻抛，使物料均匀的分布于发酵机体内，料层厚度一般在35-65cm之间。翻抛作用主要是通过翻动使物料增加通透性及发酵速度，降低水份作用。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③ 发酵主机系统为物料发酵提供了极佳的温床，通风供氧系统采用温度和时间双重控制，即能保证发酵所需的氧气，又能在排出水蒸汽的同时保证机体内的温度不至过低。</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④ 整个发酵可以分为升温、高温、降温、陈化腐熟四个阶段，每个阶段都有不同微生物发挥作用。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⑤ 升温阶段，主要是以中温性微生物为主，各类微生物菌群开始繁殖，分解易分解的有机物质，从而产生大量热量，升温阶段一般在温度在15-45℃之间，随着温度的升高好热性微生物逐步代替了中温性种类而起到主导作用，温度进一步上升从而进入高温阶段。</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⑥ 高温维持阶段，当混料上升至50℃以上时进入高温期，一些难分解的有机质，如纤维素、木质素也逐渐被分解开始形成腐殖质。此时，好热真菌、好热发射菌、好热芽孢杆菌等微生物的活动占据了优势，腐殖质开始形成，中温性微生物菌得到抑制或者死亡。当温度提升至70℃以上时，大量的好热菌进入休眠状态，在各种酶的作用下，有机质仍在继续分解，同时高温带走大量水份。</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⑦ 降温阶段，当高温维持一段时间后，纤维素、果胶物质大部分被分解，此时微生物活动减弱，温度降到40℃以下，剩下难分解的成分在嗜温性菌种的作用下继续分解，腐殖质进一步增多，且进入稳定期，开始进入腐熟阶段。</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⑧ 陈化腐熟保肥阶段，有机物大部分被分解，温度进一步下降，腐熟后，物料体积缩小。</w:t>
      </w:r>
    </w:p>
    <w:p>
      <w:pPr>
        <w:pStyle w:val="2"/>
        <w:ind w:firstLine="562" w:firstLineChars="200"/>
        <w:rPr>
          <w:rFonts w:ascii="Times New Roman" w:hAnsi="Times New Roman"/>
          <w:b/>
          <w:bCs/>
          <w:sz w:val="28"/>
          <w:szCs w:val="28"/>
          <w:lang w:val="en-US"/>
        </w:rPr>
      </w:pPr>
      <w:bookmarkStart w:id="256" w:name="_Toc65504031"/>
      <w:r>
        <w:rPr>
          <w:rFonts w:ascii="Times New Roman" w:hAnsi="Times New Roman"/>
          <w:b/>
          <w:bCs/>
          <w:sz w:val="28"/>
          <w:szCs w:val="28"/>
          <w:lang w:val="en-US"/>
        </w:rPr>
        <w:t>液体粪污处理工艺</w:t>
      </w:r>
      <w:bookmarkEnd w:id="256"/>
    </w:p>
    <w:p>
      <w:pPr>
        <w:pStyle w:val="2"/>
        <w:ind w:firstLine="560" w:firstLineChars="200"/>
        <w:rPr>
          <w:rFonts w:ascii="Times New Roman" w:hAnsi="Times New Roman"/>
          <w:sz w:val="28"/>
          <w:szCs w:val="28"/>
          <w:lang w:val="en-US"/>
        </w:rPr>
      </w:pPr>
      <w:r>
        <w:rPr>
          <w:rFonts w:ascii="Times New Roman" w:hAnsi="Times New Roman"/>
          <w:sz w:val="28"/>
          <w:szCs w:val="28"/>
          <w:lang w:val="en-US"/>
        </w:rPr>
        <w:t>液体粪污采用“厌氧发酵+生物筛分技术”养殖污水通过厌氧处理技术进行无害化处理，在作物收获后或播种前作为底肥施用。或者在农田需肥和灌溉期间，将无害化处理的污水与灌溉用水按照一定的比例混合，进行水肥一体化施用。通过创新的技术，对畜禽养殖污水厌氧处理后，除臭、消杀病毒细菌彻底、出水状态稳定、还田不烧苗、实现无害化处理。可以作为肥水在施肥季节使用。实现了污水肥料化利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产生的沼液作为果园、农田生态园灌溉用肥；沼渣和浓缩的污泥等制成有机肥；形成“畜-沼-菜（果、茶）”立体生态农业生产模式，实现能源回收、环境治理和废弃物综合利用。</w:t>
      </w:r>
    </w:p>
    <w:p>
      <w:pPr>
        <w:pStyle w:val="2"/>
        <w:ind w:firstLine="560" w:firstLineChars="200"/>
        <w:rPr>
          <w:rFonts w:ascii="Times New Roman" w:hAnsi="Times New Roman"/>
          <w:sz w:val="28"/>
          <w:szCs w:val="28"/>
          <w:lang w:val="en-US"/>
        </w:rPr>
      </w:pPr>
      <w:bookmarkStart w:id="257" w:name="_Toc65360964"/>
      <w:r>
        <w:rPr>
          <w:rFonts w:ascii="Times New Roman" w:hAnsi="Times New Roman"/>
          <w:sz w:val="28"/>
          <w:szCs w:val="28"/>
          <w:lang w:val="en-US"/>
        </w:rPr>
        <w:t>技术特点</w:t>
      </w:r>
      <w:bookmarkEnd w:id="257"/>
    </w:p>
    <w:p>
      <w:pPr>
        <w:pStyle w:val="2"/>
        <w:ind w:firstLine="560" w:firstLineChars="200"/>
        <w:rPr>
          <w:rFonts w:ascii="Times New Roman" w:hAnsi="Times New Roman"/>
          <w:sz w:val="28"/>
          <w:szCs w:val="28"/>
          <w:lang w:val="en-US"/>
        </w:rPr>
      </w:pPr>
      <w:r>
        <w:rPr>
          <w:rFonts w:ascii="Times New Roman" w:hAnsi="Times New Roman"/>
          <w:sz w:val="28"/>
          <w:szCs w:val="28"/>
          <w:lang w:val="en-US"/>
        </w:rPr>
        <w:t>① 液体通过厌氧发酵，除臭、灭菌，净化水质，实现无害化处理。</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② 构建“养殖-沼肥-种植-生态农业”为一体的循环经济模式。</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③ 该处理工艺建设工期短、施工便利、运行维护方便、投资费用低。</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④ 该工艺结构设计精巧、安全性高、池型灵活、可采用串、并联连接。</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凯年农业有限公司实现了肥水一体化的生态农业模式，实现了立体生态农业生产模式，是徐水区现代农业、有机农业的“领头羊”。凯年农业有限公司自行生产有机肥料，向北京五洲恒通申请有机认证通过后使农产品效益增加了32%~1060%。既对畜禽粪污进行了无害化、资源化处理，还提升了企业收益。凯年农业有限公司的发展适合徐水区本地情况，同时可以作为示范企业进行模式推广，借凯年农业有限公司的成功案例进行宣传和示范，大力发展徐水区现代农业、有机农业，使种植业-畜禽养殖业联合发展，进而产生一个良性循环，既保护了环境，又可以促进本地经济发展。</w:t>
      </w:r>
      <w:bookmarkStart w:id="258" w:name="_Toc22248"/>
    </w:p>
    <w:p>
      <w:pPr>
        <w:pStyle w:val="2"/>
        <w:ind w:firstLine="0"/>
        <w:rPr>
          <w:rFonts w:ascii="Times New Roman" w:hAnsi="Times New Roman"/>
          <w:sz w:val="28"/>
          <w:szCs w:val="28"/>
          <w:lang w:val="en-US"/>
        </w:rPr>
      </w:pPr>
      <w:r>
        <w:rPr>
          <w:rFonts w:ascii="Times New Roman" w:hAnsi="Times New Roman"/>
          <w:sz w:val="28"/>
          <w:szCs w:val="28"/>
          <w:lang w:val="en-US"/>
        </w:rPr>
        <w:t>四、典型规模化养殖场粪污处理工艺流程</w:t>
      </w:r>
      <w:bookmarkEnd w:id="258"/>
    </w:p>
    <w:p>
      <w:pPr>
        <w:pStyle w:val="2"/>
        <w:ind w:firstLine="560" w:firstLineChars="200"/>
        <w:rPr>
          <w:rFonts w:ascii="Times New Roman" w:hAnsi="Times New Roman"/>
          <w:sz w:val="28"/>
          <w:szCs w:val="28"/>
          <w:lang w:val="en-US"/>
        </w:rPr>
      </w:pPr>
      <w:r>
        <w:rPr>
          <w:rFonts w:ascii="Times New Roman" w:hAnsi="Times New Roman"/>
          <w:sz w:val="28"/>
          <w:szCs w:val="28"/>
          <w:lang w:val="en-US"/>
        </w:rPr>
        <w:t>保定兴芮农牧发展有限公司(原大午种禽)使用立式发酵罐对粪污进行好氧发酵，对固态粪及液态粪进行了较好的处理，实现了无害化、减量化、资源化的目的。利用立式发酵罐进行好氧发酵的工艺流程如下。</w:t>
      </w:r>
    </w:p>
    <w:p>
      <w:pPr>
        <w:pStyle w:val="2"/>
        <w:ind w:firstLine="0"/>
        <w:jc w:val="center"/>
        <w:rPr>
          <w:rFonts w:ascii="Times New Roman" w:hAnsi="Times New Roman"/>
          <w:sz w:val="28"/>
          <w:szCs w:val="28"/>
          <w:lang w:val="en-US"/>
        </w:rPr>
      </w:pPr>
      <w:r>
        <w:rPr>
          <w:rFonts w:ascii="Times New Roman" w:hAnsi="Times New Roman"/>
          <w:sz w:val="28"/>
          <w:szCs w:val="28"/>
          <w:lang w:val="en-US"/>
        </w:rPr>
        <w:drawing>
          <wp:inline distT="0" distB="0" distL="114300" distR="114300">
            <wp:extent cx="4146550" cy="1560195"/>
            <wp:effectExtent l="0" t="0" r="6350" b="1905"/>
            <wp:docPr id="8" name="图片 8" descr="图片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kkk"/>
                    <pic:cNvPicPr>
                      <a:picLocks noChangeAspect="1"/>
                    </pic:cNvPicPr>
                  </pic:nvPicPr>
                  <pic:blipFill>
                    <a:blip r:embed="rId15"/>
                    <a:stretch>
                      <a:fillRect/>
                    </a:stretch>
                  </pic:blipFill>
                  <pic:spPr>
                    <a:xfrm>
                      <a:off x="0" y="0"/>
                      <a:ext cx="4146550" cy="1560195"/>
                    </a:xfrm>
                    <a:prstGeom prst="rect">
                      <a:avLst/>
                    </a:prstGeom>
                  </pic:spPr>
                </pic:pic>
              </a:graphicData>
            </a:graphic>
          </wp:inline>
        </w:drawing>
      </w:r>
    </w:p>
    <w:p>
      <w:pPr>
        <w:spacing w:line="360" w:lineRule="auto"/>
        <w:jc w:val="center"/>
        <w:rPr>
          <w:rFonts w:eastAsia="黑体"/>
          <w:b/>
          <w:bCs/>
          <w:szCs w:val="21"/>
        </w:rPr>
      </w:pPr>
      <w:r>
        <w:rPr>
          <w:rFonts w:eastAsia="黑体"/>
          <w:b/>
          <w:bCs/>
          <w:szCs w:val="21"/>
        </w:rPr>
        <w:t>图2.4-5  好氧发酵工艺流程图</w:t>
      </w:r>
    </w:p>
    <w:p>
      <w:pPr>
        <w:pStyle w:val="2"/>
        <w:ind w:firstLine="562" w:firstLineChars="200"/>
        <w:rPr>
          <w:rFonts w:ascii="Times New Roman" w:hAnsi="Times New Roman"/>
          <w:b/>
          <w:bCs/>
          <w:sz w:val="28"/>
          <w:szCs w:val="28"/>
          <w:lang w:val="en-US"/>
        </w:rPr>
      </w:pPr>
      <w:r>
        <w:rPr>
          <w:rFonts w:ascii="Times New Roman" w:hAnsi="Times New Roman"/>
          <w:b/>
          <w:bCs/>
          <w:sz w:val="28"/>
          <w:szCs w:val="28"/>
          <w:lang w:val="en-US"/>
        </w:rPr>
        <w:t>发酵罐好氧发酵原理及工艺流程简述：</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鸡粪发酵罐主要由发酵室、主轴搅拌系统、液压动力系统、上料提升系统、自动出料系统、高压送风系统、除臭换热系统和自动控制系统组成。</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有机肥发酵罐采用立式封闭罐体结构，整个设备结构分为三部分，下部基座部分分布着液压站、涡旋气泵、油缸、加热系统及搅拌轴等；中部为双层隔热罐体、设备自动控制系统、导出装置等，罐体内壁采用不锈钢板内衬，有效地延长罐体寿命和降低腐熟料残留，中间有聚氨酯发泡剂填充的保温层，外壁由加厚的钢板做支撑罐体；上部由风雨棚、监测平台及排风设施等装置构成。附属设备有自动翻斗提升机、废弃过滤除臭系统及热交换系统装置。</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其基本工艺流程分为上料、好氧发酵、出料、资源化利用（有机肥原料），全程自动化程度高，封闭性强，不会产生二次污染，其中最主要的环节为好氧发酵部分，充分利用处理前物料内微生物的活性对有机物进行分解，自身产生高温对物料进行腐熟，以此杀灭病原体、细菌等有害物质，发酵过程中物料含水率不断下降，体积减小；发酵好的物料可做有机肥原料进行农业生产。整体运行成本80-100万元/年。</w:t>
      </w:r>
    </w:p>
    <w:p>
      <w:pPr>
        <w:pStyle w:val="2"/>
        <w:ind w:firstLine="560" w:firstLineChars="200"/>
        <w:rPr>
          <w:rFonts w:ascii="Times New Roman" w:hAnsi="Times New Roman"/>
          <w:b/>
          <w:bCs/>
          <w:sz w:val="28"/>
          <w:szCs w:val="28"/>
          <w:lang w:val="en-US"/>
        </w:rPr>
      </w:pPr>
      <w:r>
        <w:rPr>
          <w:rFonts w:ascii="Times New Roman" w:hAnsi="Times New Roman"/>
          <w:sz w:val="28"/>
          <w:szCs w:val="28"/>
          <w:lang w:val="en-US"/>
        </w:rPr>
        <w:t>保定兴芮农牧发展有限公司通过多年经验总结和技术研究，发现了使鸡粪掉落但不破坏表面薄膜的合适距离，使鸡粪收集变得简易且卫生，且出栏后对鸡舍进行彻底消杀，消杀用水量少，消杀过程产生的粪污直接进发酵罐，不产生污水。通过发酵罐对鸡粪和病死鸡进行处理，所得有机肥外销，实现了鸡粪的资源化利用。表明规模化养殖可有效地实现粪污的资源化利用。</w:t>
      </w:r>
    </w:p>
    <w:p>
      <w:pPr>
        <w:pStyle w:val="2"/>
        <w:ind w:firstLine="0"/>
        <w:rPr>
          <w:rFonts w:ascii="Times New Roman" w:hAnsi="Times New Roman"/>
          <w:sz w:val="28"/>
          <w:szCs w:val="28"/>
          <w:lang w:val="en-US"/>
        </w:rPr>
      </w:pPr>
      <w:bookmarkStart w:id="259" w:name="_Toc6912"/>
      <w:r>
        <w:rPr>
          <w:rFonts w:ascii="Times New Roman" w:hAnsi="Times New Roman"/>
          <w:sz w:val="28"/>
          <w:szCs w:val="28"/>
          <w:lang w:val="en-US"/>
        </w:rPr>
        <w:t>五、结果分析</w:t>
      </w:r>
      <w:bookmarkEnd w:id="259"/>
    </w:p>
    <w:p>
      <w:pPr>
        <w:pStyle w:val="2"/>
        <w:ind w:firstLine="560" w:firstLineChars="200"/>
        <w:rPr>
          <w:rFonts w:ascii="Times New Roman" w:hAnsi="Times New Roman"/>
          <w:sz w:val="28"/>
          <w:szCs w:val="28"/>
          <w:lang w:val="en-US"/>
        </w:rPr>
      </w:pPr>
      <w:r>
        <w:rPr>
          <w:rFonts w:ascii="Times New Roman" w:hAnsi="Times New Roman"/>
          <w:sz w:val="28"/>
          <w:szCs w:val="28"/>
          <w:lang w:val="en-US"/>
        </w:rPr>
        <w:t>基于养殖场粪污处理资料和对各养殖场进行现场调研的结果分析，发现养殖场自行处理粪污的运行成本较高，且无害化处理后的产品收益较低，有机肥市场化程度较低。依粪污的不同种类进行分析：羊很少饮水，所以粪便干而细，排粪量也很少，且其中所含的养分比较丰富，既有容易分解可被作物吸收利用的有效养分，又有不易分解的迟效养分，是肥效快慢相结合的好肥料，可以直接进行售卖，商品化程度较大，因此无需考虑粪污处理的问题；猪粪和牛粪经干清粪工艺后较便于运输，且具有一定的营养价值，因此具有一定的市场，集中处理园区可以免费进行清运；鸡粪若发酵不彻底会导致烧苗现象，且鸡粪中含有较高的磷、钙以及重金属元素，不易进行处理，因此商品化程度较低。依规模化养殖场的经济情况进行分析：经济情况较好的规模化养殖场有能力自行生产有机肥，施用至自租用土地中；经济情况一般的规模化养殖场有能力自行生产有机肥，但无足以消纳粪污的自租用土地，需要将多余的有机肥进行外售，然而本地的有机肥需求量小、价格低，导致中型规模化养殖场的有机肥制造存在问题；经济困难的规模化养殖场无能力自行生产有机肥，只能将粪污进行干湿分离后进行堆肥发酵处理。</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综上所述，徐水区养殖场目前的粪污处理仍存在问题。本规划通过分析徐水区粪污处理现状，建议对徐水区进行区域化管理，中小型养殖场及散户就近与各乡镇种植大户或农民合作社进行合作，对畜禽粪污进行集中处理，制备高质量有机肥，打造高标准农田，使农业和畜禽养殖业结合，形成种养结合的发展模式。</w:t>
      </w:r>
    </w:p>
    <w:p>
      <w:pPr>
        <w:pStyle w:val="2"/>
        <w:ind w:firstLine="0"/>
        <w:rPr>
          <w:rFonts w:ascii="Times New Roman" w:hAnsi="Times New Roman"/>
          <w:b/>
          <w:bCs/>
          <w:sz w:val="28"/>
          <w:szCs w:val="28"/>
          <w:lang w:val="en-US"/>
        </w:rPr>
      </w:pPr>
      <w:r>
        <w:rPr>
          <w:rFonts w:ascii="Times New Roman" w:hAnsi="Times New Roman"/>
          <w:b/>
          <w:bCs/>
          <w:sz w:val="28"/>
          <w:szCs w:val="28"/>
          <w:lang w:val="en-US"/>
        </w:rPr>
        <w:t>2.4.3.2 禁养区划分</w:t>
      </w:r>
    </w:p>
    <w:p>
      <w:pPr>
        <w:spacing w:line="360" w:lineRule="auto"/>
        <w:ind w:firstLine="560" w:firstLineChars="200"/>
        <w:rPr>
          <w:sz w:val="28"/>
          <w:szCs w:val="28"/>
        </w:rPr>
      </w:pPr>
      <w:r>
        <w:rPr>
          <w:sz w:val="28"/>
          <w:szCs w:val="28"/>
        </w:rPr>
        <w:t>根据徐水区人民政府办公室“关于印发《保定市徐水区畜禽养殖禁养区划定方案》的通知”（徐土领办[2019]4号），徐水区畜禽养殖禁养区要素见表2.4-8。</w:t>
      </w:r>
    </w:p>
    <w:p>
      <w:pPr>
        <w:spacing w:line="360" w:lineRule="auto"/>
        <w:jc w:val="center"/>
        <w:rPr>
          <w:rFonts w:eastAsia="黑体"/>
          <w:b/>
          <w:bCs/>
          <w:szCs w:val="21"/>
        </w:rPr>
      </w:pPr>
      <w:r>
        <w:rPr>
          <w:rFonts w:eastAsia="黑体"/>
          <w:b/>
          <w:bCs/>
          <w:szCs w:val="21"/>
        </w:rPr>
        <w:t>表2.4-8  徐水区畜禽养殖禁养区划定汇总要素一览表（徐水区面积723平方公里）</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Layout w:type="fixed"/>
        <w:tblCellMar>
          <w:top w:w="0" w:type="dxa"/>
          <w:left w:w="108" w:type="dxa"/>
          <w:bottom w:w="0" w:type="dxa"/>
          <w:right w:w="108" w:type="dxa"/>
        </w:tblCellMar>
      </w:tblPr>
      <w:tblGrid>
        <w:gridCol w:w="816"/>
        <w:gridCol w:w="4293"/>
        <w:gridCol w:w="1741"/>
        <w:gridCol w:w="2010"/>
      </w:tblGrid>
      <w:tr>
        <w:tblPrEx>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CellMar>
            <w:top w:w="0" w:type="dxa"/>
            <w:left w:w="108" w:type="dxa"/>
            <w:bottom w:w="0" w:type="dxa"/>
            <w:right w:w="108" w:type="dxa"/>
          </w:tblCellMar>
        </w:tblPrEx>
        <w:trPr>
          <w:trHeight w:val="505" w:hRule="atLeast"/>
          <w:jc w:val="center"/>
        </w:trPr>
        <w:tc>
          <w:tcPr>
            <w:tcW w:w="816" w:type="dxa"/>
            <w:tcBorders>
              <w:tl2br w:val="nil"/>
              <w:tr2bl w:val="nil"/>
            </w:tcBorders>
            <w:vAlign w:val="center"/>
          </w:tcPr>
          <w:p>
            <w:pPr>
              <w:jc w:val="center"/>
              <w:rPr>
                <w:rFonts w:eastAsia="黑体"/>
                <w:b/>
                <w:bCs/>
                <w:szCs w:val="21"/>
              </w:rPr>
            </w:pPr>
            <w:r>
              <w:rPr>
                <w:rFonts w:eastAsia="黑体"/>
                <w:b/>
                <w:bCs/>
                <w:szCs w:val="21"/>
              </w:rPr>
              <w:t>序号</w:t>
            </w:r>
          </w:p>
        </w:tc>
        <w:tc>
          <w:tcPr>
            <w:tcW w:w="4293" w:type="dxa"/>
            <w:tcBorders>
              <w:tl2br w:val="nil"/>
              <w:tr2bl w:val="nil"/>
            </w:tcBorders>
            <w:vAlign w:val="center"/>
          </w:tcPr>
          <w:p>
            <w:pPr>
              <w:jc w:val="center"/>
              <w:rPr>
                <w:rFonts w:eastAsia="黑体"/>
                <w:b/>
                <w:bCs/>
                <w:szCs w:val="21"/>
              </w:rPr>
            </w:pPr>
            <w:r>
              <w:rPr>
                <w:rFonts w:eastAsia="黑体"/>
                <w:b/>
                <w:bCs/>
                <w:szCs w:val="21"/>
              </w:rPr>
              <w:t>徐水区畜禽养殖禁养区名称</w:t>
            </w:r>
          </w:p>
        </w:tc>
        <w:tc>
          <w:tcPr>
            <w:tcW w:w="1741" w:type="dxa"/>
            <w:tcBorders>
              <w:tl2br w:val="nil"/>
              <w:tr2bl w:val="nil"/>
            </w:tcBorders>
            <w:vAlign w:val="center"/>
          </w:tcPr>
          <w:p>
            <w:pPr>
              <w:jc w:val="center"/>
              <w:rPr>
                <w:rFonts w:eastAsia="黑体"/>
                <w:b/>
                <w:bCs/>
                <w:szCs w:val="21"/>
              </w:rPr>
            </w:pPr>
            <w:r>
              <w:rPr>
                <w:rFonts w:eastAsia="黑体"/>
                <w:b/>
                <w:bCs/>
                <w:szCs w:val="21"/>
              </w:rPr>
              <w:t>面积（平方公里）</w:t>
            </w:r>
          </w:p>
        </w:tc>
        <w:tc>
          <w:tcPr>
            <w:tcW w:w="2010" w:type="dxa"/>
            <w:tcBorders>
              <w:tl2br w:val="nil"/>
              <w:tr2bl w:val="nil"/>
            </w:tcBorders>
            <w:vAlign w:val="center"/>
          </w:tcPr>
          <w:p>
            <w:pPr>
              <w:jc w:val="center"/>
              <w:rPr>
                <w:rFonts w:eastAsia="黑体"/>
                <w:b/>
                <w:bCs/>
                <w:szCs w:val="21"/>
              </w:rPr>
            </w:pPr>
            <w:r>
              <w:rPr>
                <w:rFonts w:eastAsia="黑体"/>
                <w:b/>
                <w:bCs/>
                <w:szCs w:val="21"/>
              </w:rPr>
              <w:t>国土面积占比（%）</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CellMar>
            <w:top w:w="0" w:type="dxa"/>
            <w:left w:w="108" w:type="dxa"/>
            <w:bottom w:w="0" w:type="dxa"/>
            <w:right w:w="108" w:type="dxa"/>
          </w:tblCellMar>
        </w:tblPrEx>
        <w:trPr>
          <w:trHeight w:val="357" w:hRule="atLeast"/>
          <w:jc w:val="center"/>
        </w:trPr>
        <w:tc>
          <w:tcPr>
            <w:tcW w:w="816" w:type="dxa"/>
            <w:tcBorders>
              <w:tl2br w:val="nil"/>
              <w:tr2bl w:val="nil"/>
            </w:tcBorders>
            <w:vAlign w:val="center"/>
          </w:tcPr>
          <w:p>
            <w:pPr>
              <w:jc w:val="center"/>
              <w:rPr>
                <w:rFonts w:eastAsia="黑体"/>
                <w:szCs w:val="21"/>
              </w:rPr>
            </w:pPr>
            <w:r>
              <w:rPr>
                <w:rFonts w:eastAsia="黑体"/>
                <w:szCs w:val="21"/>
              </w:rPr>
              <w:t>1</w:t>
            </w:r>
          </w:p>
        </w:tc>
        <w:tc>
          <w:tcPr>
            <w:tcW w:w="4293" w:type="dxa"/>
            <w:tcBorders>
              <w:tl2br w:val="nil"/>
              <w:tr2bl w:val="nil"/>
            </w:tcBorders>
            <w:vAlign w:val="center"/>
          </w:tcPr>
          <w:p>
            <w:pPr>
              <w:jc w:val="center"/>
              <w:rPr>
                <w:rFonts w:eastAsia="黑体"/>
                <w:szCs w:val="21"/>
              </w:rPr>
            </w:pPr>
            <w:r>
              <w:rPr>
                <w:rFonts w:eastAsia="黑体"/>
                <w:szCs w:val="21"/>
              </w:rPr>
              <w:t>徐水区饮用水源保护区畜禽禁养区</w:t>
            </w:r>
          </w:p>
        </w:tc>
        <w:tc>
          <w:tcPr>
            <w:tcW w:w="1741" w:type="dxa"/>
            <w:tcBorders>
              <w:tl2br w:val="nil"/>
              <w:tr2bl w:val="nil"/>
            </w:tcBorders>
            <w:vAlign w:val="center"/>
          </w:tcPr>
          <w:p>
            <w:pPr>
              <w:jc w:val="center"/>
              <w:rPr>
                <w:rFonts w:eastAsia="黑体"/>
                <w:szCs w:val="21"/>
              </w:rPr>
            </w:pPr>
            <w:r>
              <w:rPr>
                <w:rFonts w:eastAsia="黑体"/>
                <w:szCs w:val="21"/>
              </w:rPr>
              <w:t>49.24</w:t>
            </w:r>
          </w:p>
        </w:tc>
        <w:tc>
          <w:tcPr>
            <w:tcW w:w="2010" w:type="dxa"/>
            <w:tcBorders>
              <w:tl2br w:val="nil"/>
              <w:tr2bl w:val="nil"/>
            </w:tcBorders>
            <w:vAlign w:val="center"/>
          </w:tcPr>
          <w:p>
            <w:pPr>
              <w:jc w:val="center"/>
              <w:rPr>
                <w:rFonts w:eastAsia="黑体"/>
                <w:szCs w:val="21"/>
              </w:rPr>
            </w:pPr>
            <w:r>
              <w:rPr>
                <w:rFonts w:eastAsia="黑体"/>
                <w:szCs w:val="21"/>
              </w:rPr>
              <w:t>6.81%</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CellMar>
            <w:top w:w="0" w:type="dxa"/>
            <w:left w:w="108" w:type="dxa"/>
            <w:bottom w:w="0" w:type="dxa"/>
            <w:right w:w="108" w:type="dxa"/>
          </w:tblCellMar>
        </w:tblPrEx>
        <w:trPr>
          <w:trHeight w:val="357" w:hRule="atLeast"/>
          <w:jc w:val="center"/>
        </w:trPr>
        <w:tc>
          <w:tcPr>
            <w:tcW w:w="816" w:type="dxa"/>
            <w:tcBorders>
              <w:tl2br w:val="nil"/>
              <w:tr2bl w:val="nil"/>
            </w:tcBorders>
            <w:vAlign w:val="center"/>
          </w:tcPr>
          <w:p>
            <w:pPr>
              <w:jc w:val="center"/>
              <w:rPr>
                <w:rFonts w:eastAsia="黑体"/>
                <w:szCs w:val="21"/>
              </w:rPr>
            </w:pPr>
            <w:r>
              <w:rPr>
                <w:rFonts w:eastAsia="黑体"/>
                <w:szCs w:val="21"/>
              </w:rPr>
              <w:t>2</w:t>
            </w:r>
          </w:p>
        </w:tc>
        <w:tc>
          <w:tcPr>
            <w:tcW w:w="4293" w:type="dxa"/>
            <w:tcBorders>
              <w:tl2br w:val="nil"/>
              <w:tr2bl w:val="nil"/>
            </w:tcBorders>
            <w:vAlign w:val="center"/>
          </w:tcPr>
          <w:p>
            <w:pPr>
              <w:jc w:val="center"/>
              <w:rPr>
                <w:rFonts w:eastAsia="黑体"/>
                <w:szCs w:val="21"/>
              </w:rPr>
            </w:pPr>
            <w:r>
              <w:rPr>
                <w:rFonts w:eastAsia="黑体"/>
                <w:szCs w:val="21"/>
              </w:rPr>
              <w:t>徐水区城镇建成区畜禽禁养区</w:t>
            </w:r>
          </w:p>
        </w:tc>
        <w:tc>
          <w:tcPr>
            <w:tcW w:w="1741" w:type="dxa"/>
            <w:tcBorders>
              <w:tl2br w:val="nil"/>
              <w:tr2bl w:val="nil"/>
            </w:tcBorders>
            <w:vAlign w:val="center"/>
          </w:tcPr>
          <w:p>
            <w:pPr>
              <w:jc w:val="center"/>
              <w:rPr>
                <w:rFonts w:eastAsia="黑体"/>
                <w:szCs w:val="21"/>
              </w:rPr>
            </w:pPr>
            <w:r>
              <w:rPr>
                <w:rFonts w:eastAsia="黑体"/>
                <w:szCs w:val="21"/>
              </w:rPr>
              <w:t>12.80</w:t>
            </w:r>
          </w:p>
        </w:tc>
        <w:tc>
          <w:tcPr>
            <w:tcW w:w="2010" w:type="dxa"/>
            <w:tcBorders>
              <w:tl2br w:val="nil"/>
              <w:tr2bl w:val="nil"/>
            </w:tcBorders>
            <w:vAlign w:val="center"/>
          </w:tcPr>
          <w:p>
            <w:pPr>
              <w:jc w:val="center"/>
              <w:rPr>
                <w:rFonts w:eastAsia="黑体"/>
                <w:szCs w:val="21"/>
              </w:rPr>
            </w:pPr>
            <w:r>
              <w:rPr>
                <w:rFonts w:eastAsia="黑体"/>
                <w:szCs w:val="21"/>
              </w:rPr>
              <w:t>1.77%</w:t>
            </w:r>
          </w:p>
        </w:tc>
      </w:tr>
      <w:tr>
        <w:tblPrEx>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CellMar>
            <w:top w:w="0" w:type="dxa"/>
            <w:left w:w="108" w:type="dxa"/>
            <w:bottom w:w="0" w:type="dxa"/>
            <w:right w:w="108" w:type="dxa"/>
          </w:tblCellMar>
        </w:tblPrEx>
        <w:trPr>
          <w:trHeight w:val="227" w:hRule="atLeast"/>
          <w:jc w:val="center"/>
        </w:trPr>
        <w:tc>
          <w:tcPr>
            <w:tcW w:w="5109" w:type="dxa"/>
            <w:gridSpan w:val="2"/>
            <w:tcBorders>
              <w:tl2br w:val="nil"/>
              <w:tr2bl w:val="nil"/>
            </w:tcBorders>
            <w:vAlign w:val="center"/>
          </w:tcPr>
          <w:p>
            <w:pPr>
              <w:jc w:val="center"/>
              <w:rPr>
                <w:rFonts w:eastAsia="黑体"/>
                <w:szCs w:val="21"/>
              </w:rPr>
            </w:pPr>
            <w:r>
              <w:rPr>
                <w:rFonts w:eastAsia="黑体"/>
                <w:szCs w:val="21"/>
              </w:rPr>
              <w:t>总计</w:t>
            </w:r>
          </w:p>
        </w:tc>
        <w:tc>
          <w:tcPr>
            <w:tcW w:w="1741" w:type="dxa"/>
            <w:tcBorders>
              <w:tl2br w:val="nil"/>
              <w:tr2bl w:val="nil"/>
            </w:tcBorders>
            <w:vAlign w:val="center"/>
          </w:tcPr>
          <w:p>
            <w:pPr>
              <w:jc w:val="center"/>
              <w:rPr>
                <w:rFonts w:eastAsia="黑体"/>
                <w:szCs w:val="21"/>
              </w:rPr>
            </w:pPr>
            <w:r>
              <w:rPr>
                <w:rFonts w:eastAsia="黑体"/>
                <w:szCs w:val="21"/>
              </w:rPr>
              <w:t>56.57</w:t>
            </w:r>
          </w:p>
        </w:tc>
        <w:tc>
          <w:tcPr>
            <w:tcW w:w="2010" w:type="dxa"/>
            <w:tcBorders>
              <w:tl2br w:val="nil"/>
              <w:tr2bl w:val="nil"/>
            </w:tcBorders>
            <w:vAlign w:val="center"/>
          </w:tcPr>
          <w:p>
            <w:pPr>
              <w:jc w:val="center"/>
              <w:rPr>
                <w:rFonts w:eastAsia="黑体"/>
                <w:szCs w:val="21"/>
              </w:rPr>
            </w:pPr>
            <w:r>
              <w:rPr>
                <w:rFonts w:eastAsia="黑体"/>
                <w:szCs w:val="21"/>
              </w:rPr>
              <w:t>8.58%</w:t>
            </w:r>
          </w:p>
        </w:tc>
      </w:tr>
    </w:tbl>
    <w:p>
      <w:pPr>
        <w:pStyle w:val="2"/>
        <w:ind w:firstLine="0"/>
        <w:rPr>
          <w:rFonts w:ascii="Times New Roman" w:hAnsi="Times New Roman"/>
          <w:b/>
          <w:bCs/>
          <w:sz w:val="28"/>
          <w:szCs w:val="28"/>
          <w:lang w:val="en-US"/>
        </w:rPr>
      </w:pPr>
      <w:r>
        <w:rPr>
          <w:rFonts w:ascii="Times New Roman" w:hAnsi="Times New Roman"/>
          <w:b/>
          <w:bCs/>
          <w:sz w:val="28"/>
          <w:szCs w:val="28"/>
          <w:lang w:val="en-US"/>
        </w:rPr>
        <w:t>2.4.3.3 畜禽养殖污染物产生情况</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根据《河北省畜禽养殖污染防治技术指南》不同畜禽粪污排泄量见表2.4-9，计算得出徐水区各种畜禽粪污排泄量一览表2.4-10。</w:t>
      </w:r>
    </w:p>
    <w:p>
      <w:pPr>
        <w:spacing w:line="360" w:lineRule="auto"/>
        <w:jc w:val="center"/>
        <w:rPr>
          <w:rFonts w:eastAsia="黑体"/>
          <w:b/>
          <w:bCs/>
          <w:szCs w:val="21"/>
        </w:rPr>
      </w:pPr>
      <w:r>
        <w:rPr>
          <w:rFonts w:eastAsia="黑体"/>
          <w:b/>
          <w:bCs/>
          <w:szCs w:val="21"/>
        </w:rPr>
        <w:t>表2.4-9  不同畜禽粪污日排泄量</w:t>
      </w:r>
    </w:p>
    <w:tbl>
      <w:tblPr>
        <w:tblStyle w:val="24"/>
        <w:tblW w:w="9187"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1286"/>
        <w:gridCol w:w="1474"/>
        <w:gridCol w:w="1285"/>
        <w:gridCol w:w="1285"/>
        <w:gridCol w:w="1285"/>
        <w:gridCol w:w="1286"/>
        <w:gridCol w:w="1286"/>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项目</w:t>
            </w:r>
          </w:p>
        </w:tc>
        <w:tc>
          <w:tcPr>
            <w:tcW w:w="1474"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单位</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牛</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猪</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鸡</w:t>
            </w:r>
          </w:p>
        </w:tc>
        <w:tc>
          <w:tcPr>
            <w:tcW w:w="12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鸭</w:t>
            </w:r>
          </w:p>
        </w:tc>
        <w:tc>
          <w:tcPr>
            <w:tcW w:w="12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Merge w:val="restart"/>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粪</w:t>
            </w:r>
          </w:p>
        </w:tc>
        <w:tc>
          <w:tcPr>
            <w:tcW w:w="1474"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kg/（只·d）</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25.64</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1.52</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0.12</w:t>
            </w:r>
          </w:p>
        </w:tc>
        <w:tc>
          <w:tcPr>
            <w:tcW w:w="12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0.12</w:t>
            </w:r>
          </w:p>
        </w:tc>
        <w:tc>
          <w:tcPr>
            <w:tcW w:w="12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0.69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Merge w:val="continue"/>
            <w:vAlign w:val="center"/>
          </w:tcPr>
          <w:p>
            <w:pPr>
              <w:pStyle w:val="2"/>
              <w:spacing w:line="240" w:lineRule="auto"/>
              <w:ind w:firstLine="0"/>
              <w:jc w:val="center"/>
              <w:rPr>
                <w:rFonts w:ascii="Times New Roman" w:hAnsi="Times New Roman" w:eastAsia="黑体"/>
                <w:sz w:val="21"/>
                <w:lang w:val="en-US"/>
              </w:rPr>
            </w:pPr>
          </w:p>
        </w:tc>
        <w:tc>
          <w:tcPr>
            <w:tcW w:w="1474"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kg/（只·a）</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9358.60</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302.48</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25.20</w:t>
            </w:r>
          </w:p>
        </w:tc>
        <w:tc>
          <w:tcPr>
            <w:tcW w:w="12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25.20</w:t>
            </w:r>
          </w:p>
        </w:tc>
        <w:tc>
          <w:tcPr>
            <w:tcW w:w="12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251.85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Merge w:val="restart"/>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尿</w:t>
            </w:r>
          </w:p>
        </w:tc>
        <w:tc>
          <w:tcPr>
            <w:tcW w:w="1474"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kg/（只·d）</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10.00</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3.30</w:t>
            </w:r>
          </w:p>
        </w:tc>
        <w:tc>
          <w:tcPr>
            <w:tcW w:w="1285"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w:t>
            </w:r>
          </w:p>
        </w:tc>
        <w:tc>
          <w:tcPr>
            <w:tcW w:w="12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w:t>
            </w:r>
          </w:p>
        </w:tc>
        <w:tc>
          <w:tcPr>
            <w:tcW w:w="1286" w:type="dxa"/>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Merge w:val="continue"/>
            <w:tcBorders>
              <w:bottom w:val="single" w:color="auto" w:sz="4" w:space="0"/>
            </w:tcBorders>
            <w:vAlign w:val="center"/>
          </w:tcPr>
          <w:p>
            <w:pPr>
              <w:pStyle w:val="2"/>
              <w:spacing w:line="240" w:lineRule="auto"/>
              <w:ind w:firstLine="0"/>
              <w:jc w:val="center"/>
              <w:rPr>
                <w:rFonts w:ascii="Times New Roman" w:hAnsi="Times New Roman" w:eastAsia="黑体"/>
                <w:sz w:val="21"/>
                <w:lang w:val="en-US"/>
              </w:rPr>
            </w:pPr>
          </w:p>
        </w:tc>
        <w:tc>
          <w:tcPr>
            <w:tcW w:w="1474" w:type="dxa"/>
            <w:tcBorders>
              <w:bottom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kg/（只·a）</w:t>
            </w:r>
          </w:p>
        </w:tc>
        <w:tc>
          <w:tcPr>
            <w:tcW w:w="1285" w:type="dxa"/>
            <w:tcBorders>
              <w:bottom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3650.00</w:t>
            </w:r>
          </w:p>
        </w:tc>
        <w:tc>
          <w:tcPr>
            <w:tcW w:w="1285" w:type="dxa"/>
            <w:tcBorders>
              <w:bottom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657.70</w:t>
            </w:r>
          </w:p>
        </w:tc>
        <w:tc>
          <w:tcPr>
            <w:tcW w:w="1285" w:type="dxa"/>
            <w:tcBorders>
              <w:bottom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w:t>
            </w:r>
          </w:p>
        </w:tc>
        <w:tc>
          <w:tcPr>
            <w:tcW w:w="1286" w:type="dxa"/>
            <w:tcBorders>
              <w:bottom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w:t>
            </w:r>
          </w:p>
        </w:tc>
        <w:tc>
          <w:tcPr>
            <w:tcW w:w="1286" w:type="dxa"/>
            <w:tcBorders>
              <w:bottom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730.00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tcBorders>
              <w:top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饲养周期</w:t>
            </w:r>
          </w:p>
        </w:tc>
        <w:tc>
          <w:tcPr>
            <w:tcW w:w="1474" w:type="dxa"/>
            <w:tcBorders>
              <w:top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d</w:t>
            </w:r>
          </w:p>
        </w:tc>
        <w:tc>
          <w:tcPr>
            <w:tcW w:w="1285" w:type="dxa"/>
            <w:tcBorders>
              <w:top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365</w:t>
            </w:r>
          </w:p>
        </w:tc>
        <w:tc>
          <w:tcPr>
            <w:tcW w:w="1285" w:type="dxa"/>
            <w:tcBorders>
              <w:top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199</w:t>
            </w:r>
          </w:p>
        </w:tc>
        <w:tc>
          <w:tcPr>
            <w:tcW w:w="1285" w:type="dxa"/>
            <w:tcBorders>
              <w:top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210</w:t>
            </w:r>
          </w:p>
        </w:tc>
        <w:tc>
          <w:tcPr>
            <w:tcW w:w="1286" w:type="dxa"/>
            <w:tcBorders>
              <w:top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210</w:t>
            </w:r>
          </w:p>
        </w:tc>
        <w:tc>
          <w:tcPr>
            <w:tcW w:w="1286" w:type="dxa"/>
            <w:tcBorders>
              <w:top w:val="single" w:color="auto" w:sz="4" w:space="0"/>
            </w:tcBorders>
            <w:vAlign w:val="center"/>
          </w:tcPr>
          <w:p>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365</w:t>
            </w:r>
          </w:p>
        </w:tc>
      </w:tr>
    </w:tbl>
    <w:p>
      <w:pPr>
        <w:spacing w:line="360" w:lineRule="auto"/>
        <w:jc w:val="center"/>
        <w:rPr>
          <w:rFonts w:eastAsia="黑体"/>
          <w:b/>
          <w:bCs/>
          <w:szCs w:val="21"/>
        </w:rPr>
      </w:pPr>
      <w:r>
        <w:rPr>
          <w:rFonts w:eastAsia="黑体"/>
          <w:b/>
          <w:bCs/>
          <w:szCs w:val="21"/>
        </w:rPr>
        <w:t>表2.4-10  徐水区各种畜禽粪污排泄量一览表</w:t>
      </w:r>
    </w:p>
    <w:tbl>
      <w:tblPr>
        <w:tblStyle w:val="23"/>
        <w:tblW w:w="9878"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710"/>
        <w:gridCol w:w="992"/>
        <w:gridCol w:w="709"/>
        <w:gridCol w:w="1527"/>
        <w:gridCol w:w="1300"/>
        <w:gridCol w:w="1300"/>
        <w:gridCol w:w="1180"/>
        <w:gridCol w:w="1180"/>
        <w:gridCol w:w="98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序号</w:t>
            </w:r>
          </w:p>
        </w:tc>
        <w:tc>
          <w:tcPr>
            <w:tcW w:w="992"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乡镇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项目</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单位</w:t>
            </w:r>
          </w:p>
        </w:tc>
        <w:tc>
          <w:tcPr>
            <w:tcW w:w="1300"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生猪</w:t>
            </w:r>
          </w:p>
        </w:tc>
        <w:tc>
          <w:tcPr>
            <w:tcW w:w="1300"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牛</w:t>
            </w:r>
          </w:p>
        </w:tc>
        <w:tc>
          <w:tcPr>
            <w:tcW w:w="1180"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羊</w:t>
            </w:r>
          </w:p>
        </w:tc>
        <w:tc>
          <w:tcPr>
            <w:tcW w:w="1180"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鸡</w:t>
            </w:r>
          </w:p>
        </w:tc>
        <w:tc>
          <w:tcPr>
            <w:tcW w:w="980"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1</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安肃镇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9825.46</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9442.83</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810.96</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1881.31</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21364.07</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3682.85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2350.60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2</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漕河镇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2140.65</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69478.25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2168.43</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920.00</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4654.54</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27097.60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6285.30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3</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崔庄镇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8406.83</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19100.90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1028.81</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4265.20</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18279.46</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7449.65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2982.05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4</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大王店镇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6745.91</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23911.22</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1992.13</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2418.52</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201.60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14668.03</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9325.75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5774.30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5</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大因镇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14748.92</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30087.90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337.48</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400.58</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32069.45</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11734.75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978.20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6</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东釜山乡</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1337.26</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1778.13</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995.56</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994.85</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2907.69</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693.50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2885.69</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7</w:t>
            </w:r>
          </w:p>
        </w:tc>
        <w:tc>
          <w:tcPr>
            <w:tcW w:w="992" w:type="dxa"/>
            <w:vMerge w:val="restart"/>
            <w:shd w:val="clear" w:color="auto" w:fill="auto"/>
            <w:vAlign w:val="center"/>
          </w:tcPr>
          <w:p>
            <w:pPr>
              <w:widowControl/>
              <w:jc w:val="center"/>
              <w:rPr>
                <w:rFonts w:eastAsia="黑体"/>
                <w:color w:val="000000"/>
                <w:kern w:val="0"/>
                <w:szCs w:val="21"/>
              </w:rPr>
            </w:pPr>
            <w:r>
              <w:rPr>
                <w:rFonts w:hint="eastAsia" w:eastAsia="黑体"/>
                <w:color w:val="000000"/>
                <w:kern w:val="0"/>
                <w:szCs w:val="21"/>
              </w:rPr>
              <w:t>东史端镇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2779.79</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982.65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123.91</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7054.06</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6044.26</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383.25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359.16</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8</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高林村镇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5561.09</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14599.42</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843.70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25980.87</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12091.81</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5694.00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2445.50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9</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户木乡</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4382.94</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23508.80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726.59</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5866.86</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9530.07</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9168.80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2106.05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10</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留村镇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1359.65</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31491.69</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421.85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1676.18</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2956.36</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12282.25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1222.75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11</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瀑河乡</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2557.17</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12774.49</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465.92</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2439.23</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5560.20</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4982.25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1350.50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12</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遂城镇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3976.10</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14664.93</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481.03</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3966.30</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8645.47</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5719.55</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1394.30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13</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正村镇</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2359.34</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13906.88</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214.83</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1899.60</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5130.06</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5423.90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622.69</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pPr>
              <w:widowControl/>
              <w:jc w:val="center"/>
              <w:rPr>
                <w:color w:val="000000"/>
                <w:kern w:val="0"/>
                <w:szCs w:val="21"/>
              </w:rPr>
            </w:pPr>
            <w:r>
              <w:rPr>
                <w:color w:val="000000"/>
                <w:kern w:val="0"/>
                <w:szCs w:val="21"/>
              </w:rPr>
              <w:t>14</w:t>
            </w:r>
          </w:p>
        </w:tc>
        <w:tc>
          <w:tcPr>
            <w:tcW w:w="992" w:type="dxa"/>
            <w:vMerge w:val="restart"/>
            <w:shd w:val="clear" w:color="auto" w:fill="auto"/>
            <w:vAlign w:val="center"/>
          </w:tcPr>
          <w:p>
            <w:pPr>
              <w:widowControl/>
              <w:jc w:val="center"/>
              <w:rPr>
                <w:rFonts w:eastAsia="黑体"/>
                <w:color w:val="000000"/>
                <w:kern w:val="0"/>
                <w:szCs w:val="21"/>
              </w:rPr>
            </w:pPr>
            <w:r>
              <w:rPr>
                <w:rFonts w:eastAsia="黑体"/>
                <w:color w:val="000000"/>
                <w:kern w:val="0"/>
                <w:szCs w:val="21"/>
              </w:rPr>
              <w:t>义联庄乡</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1002.72</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954.58</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911.70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490.44</w:t>
            </w:r>
          </w:p>
        </w:tc>
        <w:tc>
          <w:tcPr>
            <w:tcW w:w="980" w:type="dxa"/>
            <w:shd w:val="clear" w:color="auto" w:fill="auto"/>
            <w:noWrap/>
            <w:vAlign w:val="center"/>
          </w:tcPr>
          <w:p>
            <w:pPr>
              <w:widowControl/>
              <w:jc w:val="center"/>
              <w:rPr>
                <w:color w:val="000000"/>
                <w:kern w:val="0"/>
                <w:sz w:val="22"/>
                <w:szCs w:val="22"/>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pPr>
              <w:widowControl/>
              <w:jc w:val="center"/>
              <w:rPr>
                <w:color w:val="000000"/>
                <w:kern w:val="0"/>
                <w:szCs w:val="21"/>
              </w:rPr>
            </w:pPr>
          </w:p>
        </w:tc>
        <w:tc>
          <w:tcPr>
            <w:tcW w:w="992" w:type="dxa"/>
            <w:vMerge w:val="continue"/>
            <w:vAlign w:val="center"/>
          </w:tcPr>
          <w:p>
            <w:pPr>
              <w:widowControl/>
              <w:jc w:val="center"/>
              <w:rPr>
                <w:rFonts w:eastAsia="黑体"/>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2180.28</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372.30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2642.60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702" w:type="dxa"/>
            <w:gridSpan w:val="2"/>
            <w:vMerge w:val="restart"/>
            <w:shd w:val="clear" w:color="auto" w:fill="auto"/>
            <w:vAlign w:val="center"/>
          </w:tcPr>
          <w:p>
            <w:pPr>
              <w:widowControl/>
              <w:jc w:val="center"/>
              <w:rPr>
                <w:color w:val="000000"/>
                <w:kern w:val="0"/>
                <w:szCs w:val="21"/>
              </w:rPr>
            </w:pPr>
            <w:r>
              <w:rPr>
                <w:color w:val="000000"/>
                <w:kern w:val="0"/>
                <w:szCs w:val="21"/>
              </w:rPr>
              <w:t>合计</w:t>
            </w: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67183.83</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266682.67</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11522.89</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60254.01</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201.60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702" w:type="dxa"/>
            <w:gridSpan w:val="2"/>
            <w:vMerge w:val="continue"/>
            <w:vAlign w:val="center"/>
          </w:tcPr>
          <w:p>
            <w:pPr>
              <w:widowControl/>
              <w:jc w:val="center"/>
              <w:rPr>
                <w:color w:val="000000"/>
                <w:kern w:val="0"/>
                <w:szCs w:val="21"/>
              </w:rPr>
            </w:pPr>
          </w:p>
        </w:tc>
        <w:tc>
          <w:tcPr>
            <w:tcW w:w="709"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146081.75</w:t>
            </w:r>
          </w:p>
        </w:tc>
        <w:tc>
          <w:tcPr>
            <w:tcW w:w="1300" w:type="dxa"/>
            <w:shd w:val="clear" w:color="auto" w:fill="auto"/>
            <w:noWrap/>
            <w:vAlign w:val="center"/>
          </w:tcPr>
          <w:p>
            <w:pPr>
              <w:widowControl/>
              <w:jc w:val="center"/>
              <w:rPr>
                <w:color w:val="000000"/>
                <w:kern w:val="0"/>
                <w:sz w:val="22"/>
                <w:szCs w:val="22"/>
              </w:rPr>
            </w:pPr>
            <w:r>
              <w:rPr>
                <w:color w:val="000000"/>
                <w:kern w:val="0"/>
                <w:sz w:val="22"/>
                <w:szCs w:val="22"/>
              </w:rPr>
              <w:t>104010.40</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33399.69</w:t>
            </w:r>
          </w:p>
        </w:tc>
        <w:tc>
          <w:tcPr>
            <w:tcW w:w="1180" w:type="dxa"/>
            <w:shd w:val="clear" w:color="auto" w:fill="auto"/>
            <w:noWrap/>
            <w:vAlign w:val="center"/>
          </w:tcPr>
          <w:p>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pPr>
              <w:widowControl/>
              <w:jc w:val="center"/>
              <w:rPr>
                <w:color w:val="000000"/>
                <w:kern w:val="0"/>
                <w:sz w:val="22"/>
                <w:szCs w:val="22"/>
              </w:rPr>
            </w:pPr>
            <w:r>
              <w:rPr>
                <w:color w:val="000000"/>
                <w:kern w:val="0"/>
                <w:sz w:val="22"/>
                <w:szCs w:val="22"/>
              </w:rPr>
              <w:t>/</w:t>
            </w:r>
          </w:p>
        </w:tc>
      </w:tr>
    </w:tbl>
    <w:p>
      <w:pPr>
        <w:pStyle w:val="2"/>
        <w:ind w:firstLine="560" w:firstLineChars="200"/>
        <w:rPr>
          <w:rFonts w:ascii="Times New Roman" w:hAnsi="Times New Roman"/>
          <w:sz w:val="28"/>
          <w:szCs w:val="28"/>
          <w:lang w:val="en-US"/>
        </w:rPr>
      </w:pPr>
      <w:bookmarkStart w:id="260" w:name="_Toc22249"/>
      <w:bookmarkStart w:id="261" w:name="_Toc31925"/>
      <w:bookmarkStart w:id="262" w:name="_Toc22945"/>
      <w:bookmarkStart w:id="263" w:name="_Toc21456"/>
      <w:r>
        <w:rPr>
          <w:rFonts w:ascii="Times New Roman" w:hAnsi="Times New Roman"/>
          <w:sz w:val="28"/>
          <w:szCs w:val="28"/>
          <w:lang w:val="en-US"/>
        </w:rPr>
        <w:t>根据徐水区现有畜禽养殖量进行核算，发现每年徐水区产生各种畜禽粪便405845吨，产生各种畜禽尿液283491.84吨。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根据《第二次全国污染源普查畜禽养殖业产排污系数及排污系数手册》，各种畜禽产污系数详见表2.4-11及表2.4-12。</w:t>
      </w:r>
      <w:bookmarkEnd w:id="260"/>
      <w:bookmarkEnd w:id="261"/>
      <w:bookmarkEnd w:id="262"/>
    </w:p>
    <w:p>
      <w:pPr>
        <w:spacing w:line="360" w:lineRule="auto"/>
        <w:jc w:val="center"/>
        <w:rPr>
          <w:rFonts w:eastAsia="黑体"/>
          <w:b/>
          <w:bCs/>
          <w:szCs w:val="21"/>
        </w:rPr>
      </w:pPr>
      <w:bookmarkStart w:id="264" w:name="_Toc22381"/>
      <w:bookmarkStart w:id="265" w:name="_Toc26851"/>
      <w:bookmarkStart w:id="266" w:name="_Toc10068"/>
      <w:r>
        <w:rPr>
          <w:rFonts w:eastAsia="黑体"/>
          <w:b/>
          <w:bCs/>
          <w:szCs w:val="21"/>
        </w:rPr>
        <w:t>表</w:t>
      </w:r>
      <w:bookmarkEnd w:id="264"/>
      <w:bookmarkEnd w:id="265"/>
      <w:bookmarkEnd w:id="266"/>
      <w:r>
        <w:rPr>
          <w:rFonts w:eastAsia="黑体"/>
          <w:b/>
          <w:bCs/>
          <w:szCs w:val="21"/>
        </w:rPr>
        <w:t>2.4-11  畜禽规模化养殖产污系数表</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30"/>
        <w:gridCol w:w="1441"/>
        <w:gridCol w:w="1455"/>
        <w:gridCol w:w="1314"/>
        <w:gridCol w:w="1236"/>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70" w:type="dxa"/>
            <w:tcBorders>
              <w:tl2br w:val="nil"/>
              <w:tr2bl w:val="nil"/>
            </w:tcBorders>
            <w:vAlign w:val="center"/>
          </w:tcPr>
          <w:p>
            <w:pPr>
              <w:jc w:val="center"/>
              <w:rPr>
                <w:rFonts w:eastAsia="黑体"/>
                <w:b/>
                <w:bCs/>
                <w:szCs w:val="21"/>
              </w:rPr>
            </w:pPr>
            <w:r>
              <w:rPr>
                <w:rFonts w:eastAsia="黑体"/>
                <w:b/>
                <w:bCs/>
                <w:szCs w:val="21"/>
              </w:rPr>
              <w:t>地区</w:t>
            </w:r>
          </w:p>
        </w:tc>
        <w:tc>
          <w:tcPr>
            <w:tcW w:w="1830" w:type="dxa"/>
            <w:tcBorders>
              <w:tl2br w:val="nil"/>
              <w:tr2bl w:val="nil"/>
            </w:tcBorders>
            <w:vAlign w:val="center"/>
          </w:tcPr>
          <w:p>
            <w:pPr>
              <w:jc w:val="center"/>
              <w:rPr>
                <w:rFonts w:eastAsia="黑体"/>
                <w:b/>
                <w:bCs/>
                <w:szCs w:val="21"/>
              </w:rPr>
            </w:pPr>
            <w:r>
              <w:rPr>
                <w:rFonts w:eastAsia="黑体"/>
                <w:b/>
                <w:bCs/>
                <w:szCs w:val="21"/>
              </w:rPr>
              <w:t>畜禽种类</w:t>
            </w:r>
          </w:p>
        </w:tc>
        <w:tc>
          <w:tcPr>
            <w:tcW w:w="1441" w:type="dxa"/>
            <w:tcBorders>
              <w:tl2br w:val="nil"/>
              <w:tr2bl w:val="nil"/>
            </w:tcBorders>
            <w:vAlign w:val="center"/>
          </w:tcPr>
          <w:p>
            <w:pPr>
              <w:jc w:val="center"/>
              <w:rPr>
                <w:rFonts w:eastAsia="黑体"/>
                <w:b/>
                <w:bCs/>
                <w:szCs w:val="21"/>
              </w:rPr>
            </w:pPr>
            <w:r>
              <w:rPr>
                <w:rFonts w:eastAsia="黑体"/>
                <w:b/>
                <w:bCs/>
                <w:szCs w:val="21"/>
              </w:rPr>
              <w:t>化学需氧量</w:t>
            </w:r>
          </w:p>
        </w:tc>
        <w:tc>
          <w:tcPr>
            <w:tcW w:w="1455" w:type="dxa"/>
            <w:tcBorders>
              <w:tl2br w:val="nil"/>
              <w:tr2bl w:val="nil"/>
            </w:tcBorders>
            <w:vAlign w:val="center"/>
          </w:tcPr>
          <w:p>
            <w:pPr>
              <w:jc w:val="center"/>
              <w:rPr>
                <w:rFonts w:eastAsia="黑体"/>
                <w:b/>
                <w:bCs/>
                <w:szCs w:val="21"/>
              </w:rPr>
            </w:pPr>
            <w:r>
              <w:rPr>
                <w:rFonts w:eastAsia="黑体"/>
                <w:b/>
                <w:bCs/>
                <w:szCs w:val="21"/>
              </w:rPr>
              <w:t>氨氮</w:t>
            </w:r>
          </w:p>
        </w:tc>
        <w:tc>
          <w:tcPr>
            <w:tcW w:w="1314" w:type="dxa"/>
            <w:tcBorders>
              <w:tl2br w:val="nil"/>
              <w:tr2bl w:val="nil"/>
            </w:tcBorders>
            <w:vAlign w:val="center"/>
          </w:tcPr>
          <w:p>
            <w:pPr>
              <w:jc w:val="center"/>
              <w:rPr>
                <w:rFonts w:eastAsia="黑体"/>
                <w:b/>
                <w:bCs/>
                <w:szCs w:val="21"/>
              </w:rPr>
            </w:pPr>
            <w:r>
              <w:rPr>
                <w:rFonts w:eastAsia="黑体"/>
                <w:b/>
                <w:bCs/>
                <w:szCs w:val="21"/>
              </w:rPr>
              <w:t>总氮</w:t>
            </w:r>
          </w:p>
        </w:tc>
        <w:tc>
          <w:tcPr>
            <w:tcW w:w="1236" w:type="dxa"/>
            <w:tcBorders>
              <w:tl2br w:val="nil"/>
              <w:tr2bl w:val="nil"/>
            </w:tcBorders>
            <w:vAlign w:val="center"/>
          </w:tcPr>
          <w:p>
            <w:pPr>
              <w:jc w:val="center"/>
              <w:rPr>
                <w:rFonts w:eastAsia="黑体"/>
                <w:b/>
                <w:bCs/>
                <w:szCs w:val="21"/>
              </w:rPr>
            </w:pPr>
            <w:r>
              <w:rPr>
                <w:rFonts w:eastAsia="黑体"/>
                <w:b/>
                <w:bCs/>
                <w:szCs w:val="21"/>
              </w:rPr>
              <w:t>总磷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restart"/>
            <w:tcBorders>
              <w:tl2br w:val="nil"/>
              <w:tr2bl w:val="nil"/>
            </w:tcBorders>
            <w:vAlign w:val="center"/>
          </w:tcPr>
          <w:p>
            <w:pPr>
              <w:jc w:val="center"/>
              <w:rPr>
                <w:rFonts w:eastAsia="黑体"/>
                <w:szCs w:val="21"/>
              </w:rPr>
            </w:pPr>
            <w:r>
              <w:rPr>
                <w:rFonts w:eastAsia="黑体"/>
                <w:szCs w:val="21"/>
              </w:rPr>
              <w:t>河北省</w:t>
            </w:r>
          </w:p>
        </w:tc>
        <w:tc>
          <w:tcPr>
            <w:tcW w:w="1830" w:type="dxa"/>
            <w:tcBorders>
              <w:tl2br w:val="nil"/>
              <w:tr2bl w:val="nil"/>
            </w:tcBorders>
            <w:vAlign w:val="center"/>
          </w:tcPr>
          <w:p>
            <w:pPr>
              <w:jc w:val="center"/>
              <w:rPr>
                <w:rFonts w:eastAsia="黑体"/>
                <w:szCs w:val="21"/>
              </w:rPr>
            </w:pPr>
            <w:r>
              <w:rPr>
                <w:rFonts w:eastAsia="黑体"/>
                <w:szCs w:val="21"/>
              </w:rPr>
              <w:t>生猪（kg/头）</w:t>
            </w:r>
          </w:p>
        </w:tc>
        <w:tc>
          <w:tcPr>
            <w:tcW w:w="1441" w:type="dxa"/>
            <w:tcBorders>
              <w:tl2br w:val="nil"/>
              <w:tr2bl w:val="nil"/>
            </w:tcBorders>
            <w:vAlign w:val="center"/>
          </w:tcPr>
          <w:p>
            <w:pPr>
              <w:jc w:val="center"/>
              <w:rPr>
                <w:rFonts w:eastAsia="黑体"/>
                <w:szCs w:val="21"/>
              </w:rPr>
            </w:pPr>
            <w:r>
              <w:rPr>
                <w:rFonts w:eastAsia="黑体"/>
                <w:szCs w:val="21"/>
              </w:rPr>
              <w:t>49.954</w:t>
            </w:r>
          </w:p>
        </w:tc>
        <w:tc>
          <w:tcPr>
            <w:tcW w:w="1455" w:type="dxa"/>
            <w:tcBorders>
              <w:tl2br w:val="nil"/>
              <w:tr2bl w:val="nil"/>
            </w:tcBorders>
            <w:vAlign w:val="center"/>
          </w:tcPr>
          <w:p>
            <w:pPr>
              <w:jc w:val="center"/>
              <w:rPr>
                <w:rFonts w:eastAsia="黑体"/>
                <w:szCs w:val="21"/>
              </w:rPr>
            </w:pPr>
            <w:r>
              <w:rPr>
                <w:rFonts w:eastAsia="黑体"/>
                <w:szCs w:val="21"/>
              </w:rPr>
              <w:t>0.751</w:t>
            </w:r>
          </w:p>
        </w:tc>
        <w:tc>
          <w:tcPr>
            <w:tcW w:w="1314" w:type="dxa"/>
            <w:tcBorders>
              <w:tl2br w:val="nil"/>
              <w:tr2bl w:val="nil"/>
            </w:tcBorders>
            <w:vAlign w:val="center"/>
          </w:tcPr>
          <w:p>
            <w:pPr>
              <w:jc w:val="center"/>
              <w:rPr>
                <w:rFonts w:eastAsia="黑体"/>
                <w:szCs w:val="21"/>
              </w:rPr>
            </w:pPr>
            <w:r>
              <w:rPr>
                <w:rFonts w:eastAsia="黑体"/>
                <w:szCs w:val="21"/>
              </w:rPr>
              <w:t>3.028</w:t>
            </w:r>
          </w:p>
        </w:tc>
        <w:tc>
          <w:tcPr>
            <w:tcW w:w="1236" w:type="dxa"/>
            <w:tcBorders>
              <w:tl2br w:val="nil"/>
              <w:tr2bl w:val="nil"/>
            </w:tcBorders>
            <w:vAlign w:val="center"/>
          </w:tcPr>
          <w:p>
            <w:pPr>
              <w:jc w:val="center"/>
              <w:rPr>
                <w:rFonts w:eastAsia="黑体"/>
                <w:szCs w:val="21"/>
              </w:rPr>
            </w:pPr>
            <w:r>
              <w:rPr>
                <w:rFonts w:eastAsia="黑体"/>
                <w:szCs w:val="21"/>
              </w:rPr>
              <w:t>0.733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continue"/>
            <w:tcBorders>
              <w:tl2br w:val="nil"/>
              <w:tr2bl w:val="nil"/>
            </w:tcBorders>
            <w:vAlign w:val="center"/>
          </w:tcPr>
          <w:p>
            <w:pPr>
              <w:jc w:val="center"/>
              <w:rPr>
                <w:rFonts w:eastAsia="黑体"/>
                <w:szCs w:val="21"/>
              </w:rPr>
            </w:pPr>
          </w:p>
        </w:tc>
        <w:tc>
          <w:tcPr>
            <w:tcW w:w="1830" w:type="dxa"/>
            <w:tcBorders>
              <w:tl2br w:val="nil"/>
              <w:tr2bl w:val="nil"/>
            </w:tcBorders>
            <w:vAlign w:val="center"/>
          </w:tcPr>
          <w:p>
            <w:pPr>
              <w:jc w:val="center"/>
              <w:rPr>
                <w:rFonts w:eastAsia="黑体"/>
                <w:szCs w:val="21"/>
              </w:rPr>
            </w:pPr>
            <w:r>
              <w:rPr>
                <w:rFonts w:eastAsia="黑体"/>
                <w:szCs w:val="21"/>
              </w:rPr>
              <w:t>奶牛（kg/头）</w:t>
            </w:r>
          </w:p>
        </w:tc>
        <w:tc>
          <w:tcPr>
            <w:tcW w:w="1441" w:type="dxa"/>
            <w:tcBorders>
              <w:tl2br w:val="nil"/>
              <w:tr2bl w:val="nil"/>
            </w:tcBorders>
            <w:vAlign w:val="center"/>
          </w:tcPr>
          <w:p>
            <w:pPr>
              <w:jc w:val="center"/>
              <w:rPr>
                <w:rFonts w:eastAsia="黑体"/>
                <w:szCs w:val="21"/>
              </w:rPr>
            </w:pPr>
            <w:r>
              <w:rPr>
                <w:rFonts w:eastAsia="黑体"/>
                <w:szCs w:val="21"/>
              </w:rPr>
              <w:t>1535.331</w:t>
            </w:r>
          </w:p>
        </w:tc>
        <w:tc>
          <w:tcPr>
            <w:tcW w:w="1455" w:type="dxa"/>
            <w:tcBorders>
              <w:tl2br w:val="nil"/>
              <w:tr2bl w:val="nil"/>
            </w:tcBorders>
            <w:vAlign w:val="center"/>
          </w:tcPr>
          <w:p>
            <w:pPr>
              <w:jc w:val="center"/>
              <w:rPr>
                <w:rFonts w:eastAsia="黑体"/>
                <w:szCs w:val="21"/>
              </w:rPr>
            </w:pPr>
            <w:r>
              <w:rPr>
                <w:rFonts w:eastAsia="黑体"/>
                <w:szCs w:val="21"/>
              </w:rPr>
              <w:t>13.062</w:t>
            </w:r>
          </w:p>
        </w:tc>
        <w:tc>
          <w:tcPr>
            <w:tcW w:w="1314" w:type="dxa"/>
            <w:tcBorders>
              <w:tl2br w:val="nil"/>
              <w:tr2bl w:val="nil"/>
            </w:tcBorders>
            <w:vAlign w:val="center"/>
          </w:tcPr>
          <w:p>
            <w:pPr>
              <w:jc w:val="center"/>
              <w:rPr>
                <w:rFonts w:eastAsia="黑体"/>
                <w:szCs w:val="21"/>
              </w:rPr>
            </w:pPr>
            <w:r>
              <w:rPr>
                <w:rFonts w:eastAsia="黑体"/>
                <w:szCs w:val="21"/>
              </w:rPr>
              <w:t>73.096</w:t>
            </w:r>
          </w:p>
        </w:tc>
        <w:tc>
          <w:tcPr>
            <w:tcW w:w="1236" w:type="dxa"/>
            <w:tcBorders>
              <w:tl2br w:val="nil"/>
              <w:tr2bl w:val="nil"/>
            </w:tcBorders>
            <w:vAlign w:val="center"/>
          </w:tcPr>
          <w:p>
            <w:pPr>
              <w:jc w:val="center"/>
              <w:rPr>
                <w:rFonts w:eastAsia="黑体"/>
                <w:szCs w:val="21"/>
              </w:rPr>
            </w:pPr>
            <w:r>
              <w:rPr>
                <w:rFonts w:eastAsia="黑体"/>
                <w:szCs w:val="21"/>
              </w:rPr>
              <w:t>9.450</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continue"/>
            <w:tcBorders>
              <w:tl2br w:val="nil"/>
              <w:tr2bl w:val="nil"/>
            </w:tcBorders>
            <w:vAlign w:val="center"/>
          </w:tcPr>
          <w:p>
            <w:pPr>
              <w:jc w:val="center"/>
              <w:rPr>
                <w:rFonts w:eastAsia="黑体"/>
                <w:szCs w:val="21"/>
              </w:rPr>
            </w:pPr>
          </w:p>
        </w:tc>
        <w:tc>
          <w:tcPr>
            <w:tcW w:w="1830" w:type="dxa"/>
            <w:tcBorders>
              <w:tl2br w:val="nil"/>
              <w:tr2bl w:val="nil"/>
            </w:tcBorders>
            <w:vAlign w:val="center"/>
          </w:tcPr>
          <w:p>
            <w:pPr>
              <w:jc w:val="center"/>
              <w:rPr>
                <w:rFonts w:eastAsia="黑体"/>
                <w:szCs w:val="21"/>
              </w:rPr>
            </w:pPr>
            <w:r>
              <w:rPr>
                <w:rFonts w:eastAsia="黑体"/>
                <w:szCs w:val="21"/>
              </w:rPr>
              <w:t>肉牛（kg/头）</w:t>
            </w:r>
          </w:p>
        </w:tc>
        <w:tc>
          <w:tcPr>
            <w:tcW w:w="1441" w:type="dxa"/>
            <w:tcBorders>
              <w:tl2br w:val="nil"/>
              <w:tr2bl w:val="nil"/>
            </w:tcBorders>
            <w:vAlign w:val="center"/>
          </w:tcPr>
          <w:p>
            <w:pPr>
              <w:jc w:val="center"/>
              <w:rPr>
                <w:rFonts w:eastAsia="黑体"/>
                <w:szCs w:val="21"/>
              </w:rPr>
            </w:pPr>
            <w:r>
              <w:rPr>
                <w:rFonts w:eastAsia="黑体"/>
                <w:szCs w:val="21"/>
              </w:rPr>
              <w:t>1239.108</w:t>
            </w:r>
          </w:p>
        </w:tc>
        <w:tc>
          <w:tcPr>
            <w:tcW w:w="1455" w:type="dxa"/>
            <w:tcBorders>
              <w:tl2br w:val="nil"/>
              <w:tr2bl w:val="nil"/>
            </w:tcBorders>
            <w:vAlign w:val="center"/>
          </w:tcPr>
          <w:p>
            <w:pPr>
              <w:jc w:val="center"/>
              <w:rPr>
                <w:rFonts w:eastAsia="黑体"/>
                <w:szCs w:val="21"/>
              </w:rPr>
            </w:pPr>
            <w:r>
              <w:rPr>
                <w:rFonts w:eastAsia="黑体"/>
                <w:szCs w:val="21"/>
              </w:rPr>
              <w:t>6.809</w:t>
            </w:r>
          </w:p>
        </w:tc>
        <w:tc>
          <w:tcPr>
            <w:tcW w:w="1314" w:type="dxa"/>
            <w:tcBorders>
              <w:tl2br w:val="nil"/>
              <w:tr2bl w:val="nil"/>
            </w:tcBorders>
            <w:vAlign w:val="center"/>
          </w:tcPr>
          <w:p>
            <w:pPr>
              <w:jc w:val="center"/>
              <w:rPr>
                <w:rFonts w:eastAsia="黑体"/>
                <w:szCs w:val="21"/>
              </w:rPr>
            </w:pPr>
            <w:r>
              <w:rPr>
                <w:rFonts w:eastAsia="黑体"/>
                <w:szCs w:val="21"/>
              </w:rPr>
              <w:t>30.647</w:t>
            </w:r>
          </w:p>
        </w:tc>
        <w:tc>
          <w:tcPr>
            <w:tcW w:w="1236" w:type="dxa"/>
            <w:tcBorders>
              <w:tl2br w:val="nil"/>
              <w:tr2bl w:val="nil"/>
            </w:tcBorders>
            <w:vAlign w:val="center"/>
          </w:tcPr>
          <w:p>
            <w:pPr>
              <w:jc w:val="center"/>
              <w:rPr>
                <w:rFonts w:eastAsia="黑体"/>
                <w:szCs w:val="21"/>
              </w:rPr>
            </w:pPr>
            <w:r>
              <w:rPr>
                <w:rFonts w:eastAsia="黑体"/>
                <w:szCs w:val="21"/>
              </w:rPr>
              <w:t>6.141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continue"/>
            <w:tcBorders>
              <w:tl2br w:val="nil"/>
              <w:tr2bl w:val="nil"/>
            </w:tcBorders>
            <w:vAlign w:val="center"/>
          </w:tcPr>
          <w:p>
            <w:pPr>
              <w:jc w:val="center"/>
              <w:rPr>
                <w:rFonts w:eastAsia="黑体"/>
                <w:szCs w:val="21"/>
              </w:rPr>
            </w:pPr>
          </w:p>
        </w:tc>
        <w:tc>
          <w:tcPr>
            <w:tcW w:w="1830" w:type="dxa"/>
            <w:tcBorders>
              <w:tl2br w:val="nil"/>
              <w:tr2bl w:val="nil"/>
            </w:tcBorders>
            <w:vAlign w:val="center"/>
          </w:tcPr>
          <w:p>
            <w:pPr>
              <w:jc w:val="center"/>
              <w:rPr>
                <w:rFonts w:eastAsia="黑体"/>
                <w:szCs w:val="21"/>
              </w:rPr>
            </w:pPr>
            <w:r>
              <w:rPr>
                <w:rFonts w:eastAsia="黑体"/>
                <w:szCs w:val="21"/>
              </w:rPr>
              <w:t>蛋鸡（kg/羽）</w:t>
            </w:r>
          </w:p>
        </w:tc>
        <w:tc>
          <w:tcPr>
            <w:tcW w:w="1441" w:type="dxa"/>
            <w:tcBorders>
              <w:tl2br w:val="nil"/>
              <w:tr2bl w:val="nil"/>
            </w:tcBorders>
            <w:vAlign w:val="center"/>
          </w:tcPr>
          <w:p>
            <w:pPr>
              <w:jc w:val="center"/>
              <w:rPr>
                <w:rFonts w:eastAsia="黑体"/>
                <w:szCs w:val="21"/>
              </w:rPr>
            </w:pPr>
            <w:r>
              <w:rPr>
                <w:rFonts w:eastAsia="黑体"/>
                <w:szCs w:val="21"/>
              </w:rPr>
              <w:t>11.177</w:t>
            </w:r>
          </w:p>
        </w:tc>
        <w:tc>
          <w:tcPr>
            <w:tcW w:w="1455" w:type="dxa"/>
            <w:tcBorders>
              <w:tl2br w:val="nil"/>
              <w:tr2bl w:val="nil"/>
            </w:tcBorders>
            <w:vAlign w:val="center"/>
          </w:tcPr>
          <w:p>
            <w:pPr>
              <w:jc w:val="center"/>
              <w:rPr>
                <w:rFonts w:eastAsia="黑体"/>
                <w:szCs w:val="21"/>
              </w:rPr>
            </w:pPr>
            <w:r>
              <w:rPr>
                <w:rFonts w:eastAsia="黑体"/>
                <w:szCs w:val="21"/>
              </w:rPr>
              <w:t>0.134</w:t>
            </w:r>
          </w:p>
        </w:tc>
        <w:tc>
          <w:tcPr>
            <w:tcW w:w="1314" w:type="dxa"/>
            <w:tcBorders>
              <w:tl2br w:val="nil"/>
              <w:tr2bl w:val="nil"/>
            </w:tcBorders>
            <w:vAlign w:val="center"/>
          </w:tcPr>
          <w:p>
            <w:pPr>
              <w:jc w:val="center"/>
              <w:rPr>
                <w:rFonts w:eastAsia="黑体"/>
                <w:szCs w:val="21"/>
              </w:rPr>
            </w:pPr>
            <w:r>
              <w:rPr>
                <w:rFonts w:eastAsia="黑体"/>
                <w:szCs w:val="21"/>
              </w:rPr>
              <w:t>0.586</w:t>
            </w:r>
          </w:p>
        </w:tc>
        <w:tc>
          <w:tcPr>
            <w:tcW w:w="1236" w:type="dxa"/>
            <w:tcBorders>
              <w:tl2br w:val="nil"/>
              <w:tr2bl w:val="nil"/>
            </w:tcBorders>
            <w:vAlign w:val="center"/>
          </w:tcPr>
          <w:p>
            <w:pPr>
              <w:jc w:val="center"/>
              <w:rPr>
                <w:rFonts w:eastAsia="黑体"/>
                <w:szCs w:val="21"/>
              </w:rPr>
            </w:pPr>
            <w:r>
              <w:rPr>
                <w:rFonts w:eastAsia="黑体"/>
                <w:szCs w:val="21"/>
              </w:rPr>
              <w:t>0.184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continue"/>
            <w:tcBorders>
              <w:tl2br w:val="nil"/>
              <w:tr2bl w:val="nil"/>
            </w:tcBorders>
            <w:vAlign w:val="center"/>
          </w:tcPr>
          <w:p>
            <w:pPr>
              <w:jc w:val="center"/>
              <w:rPr>
                <w:rFonts w:eastAsia="黑体"/>
                <w:szCs w:val="21"/>
              </w:rPr>
            </w:pPr>
          </w:p>
        </w:tc>
        <w:tc>
          <w:tcPr>
            <w:tcW w:w="1830" w:type="dxa"/>
            <w:tcBorders>
              <w:tl2br w:val="nil"/>
              <w:tr2bl w:val="nil"/>
            </w:tcBorders>
            <w:vAlign w:val="center"/>
          </w:tcPr>
          <w:p>
            <w:pPr>
              <w:jc w:val="center"/>
              <w:rPr>
                <w:rFonts w:eastAsia="黑体"/>
                <w:szCs w:val="21"/>
              </w:rPr>
            </w:pPr>
            <w:r>
              <w:rPr>
                <w:rFonts w:eastAsia="黑体"/>
                <w:szCs w:val="21"/>
              </w:rPr>
              <w:t>肉鸡（kg/羽）</w:t>
            </w:r>
          </w:p>
        </w:tc>
        <w:tc>
          <w:tcPr>
            <w:tcW w:w="1441" w:type="dxa"/>
            <w:tcBorders>
              <w:tl2br w:val="nil"/>
              <w:tr2bl w:val="nil"/>
            </w:tcBorders>
            <w:vAlign w:val="center"/>
          </w:tcPr>
          <w:p>
            <w:pPr>
              <w:jc w:val="center"/>
              <w:rPr>
                <w:rFonts w:eastAsia="黑体"/>
                <w:szCs w:val="21"/>
              </w:rPr>
            </w:pPr>
            <w:r>
              <w:rPr>
                <w:rFonts w:eastAsia="黑体"/>
                <w:szCs w:val="21"/>
              </w:rPr>
              <w:t>2.528</w:t>
            </w:r>
          </w:p>
        </w:tc>
        <w:tc>
          <w:tcPr>
            <w:tcW w:w="1455" w:type="dxa"/>
            <w:tcBorders>
              <w:tl2br w:val="nil"/>
              <w:tr2bl w:val="nil"/>
            </w:tcBorders>
            <w:vAlign w:val="center"/>
          </w:tcPr>
          <w:p>
            <w:pPr>
              <w:jc w:val="center"/>
              <w:rPr>
                <w:rFonts w:eastAsia="黑体"/>
                <w:szCs w:val="21"/>
              </w:rPr>
            </w:pPr>
            <w:r>
              <w:rPr>
                <w:rFonts w:eastAsia="黑体"/>
                <w:szCs w:val="21"/>
              </w:rPr>
              <w:t>0.005</w:t>
            </w:r>
          </w:p>
        </w:tc>
        <w:tc>
          <w:tcPr>
            <w:tcW w:w="1314" w:type="dxa"/>
            <w:tcBorders>
              <w:tl2br w:val="nil"/>
              <w:tr2bl w:val="nil"/>
            </w:tcBorders>
            <w:vAlign w:val="center"/>
          </w:tcPr>
          <w:p>
            <w:pPr>
              <w:jc w:val="center"/>
              <w:rPr>
                <w:rFonts w:eastAsia="黑体"/>
                <w:szCs w:val="21"/>
              </w:rPr>
            </w:pPr>
            <w:r>
              <w:rPr>
                <w:rFonts w:eastAsia="黑体"/>
                <w:szCs w:val="21"/>
              </w:rPr>
              <w:t>0.110</w:t>
            </w:r>
          </w:p>
        </w:tc>
        <w:tc>
          <w:tcPr>
            <w:tcW w:w="1236" w:type="dxa"/>
            <w:tcBorders>
              <w:tl2br w:val="nil"/>
              <w:tr2bl w:val="nil"/>
            </w:tcBorders>
            <w:vAlign w:val="center"/>
          </w:tcPr>
          <w:p>
            <w:pPr>
              <w:jc w:val="center"/>
              <w:rPr>
                <w:rFonts w:eastAsia="黑体"/>
                <w:szCs w:val="21"/>
              </w:rPr>
            </w:pPr>
            <w:r>
              <w:rPr>
                <w:rFonts w:eastAsia="黑体"/>
                <w:szCs w:val="21"/>
              </w:rPr>
              <w:t>0.032</w:t>
            </w:r>
          </w:p>
        </w:tc>
      </w:tr>
    </w:tbl>
    <w:p>
      <w:pPr>
        <w:pStyle w:val="2"/>
        <w:spacing w:line="360" w:lineRule="auto"/>
        <w:ind w:firstLine="0"/>
        <w:jc w:val="center"/>
        <w:rPr>
          <w:rFonts w:ascii="Times New Roman" w:hAnsi="Times New Roman" w:eastAsia="黑体"/>
          <w:b/>
          <w:bCs/>
          <w:sz w:val="21"/>
          <w:lang w:val="en-US"/>
        </w:rPr>
      </w:pPr>
      <w:bookmarkStart w:id="267" w:name="_Toc13304"/>
      <w:bookmarkStart w:id="268" w:name="_Toc19433"/>
      <w:bookmarkStart w:id="269" w:name="_Toc6201"/>
      <w:bookmarkStart w:id="270" w:name="_Toc10989"/>
      <w:bookmarkStart w:id="271" w:name="_Toc31518"/>
      <w:r>
        <w:rPr>
          <w:rFonts w:ascii="Times New Roman" w:hAnsi="Times New Roman" w:eastAsia="黑体"/>
          <w:b/>
          <w:bCs/>
          <w:sz w:val="21"/>
          <w:lang w:val="en-US"/>
        </w:rPr>
        <w:t>表2.4-12  畜禽养殖户产污系数表</w:t>
      </w:r>
    </w:p>
    <w:tbl>
      <w:tblPr>
        <w:tblStyle w:val="24"/>
        <w:tblW w:w="815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877"/>
        <w:gridCol w:w="1813"/>
        <w:gridCol w:w="1455"/>
        <w:gridCol w:w="1440"/>
        <w:gridCol w:w="1305"/>
        <w:gridCol w:w="1262"/>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877" w:type="dxa"/>
            <w:tcBorders>
              <w:tl2br w:val="nil"/>
              <w:tr2bl w:val="nil"/>
            </w:tcBorders>
            <w:vAlign w:val="center"/>
          </w:tcPr>
          <w:p>
            <w:pPr>
              <w:jc w:val="center"/>
              <w:rPr>
                <w:rFonts w:eastAsia="黑体"/>
                <w:b/>
                <w:bCs/>
                <w:szCs w:val="21"/>
              </w:rPr>
            </w:pPr>
            <w:r>
              <w:rPr>
                <w:rFonts w:eastAsia="黑体"/>
                <w:b/>
                <w:bCs/>
                <w:szCs w:val="21"/>
              </w:rPr>
              <w:t>地区</w:t>
            </w:r>
          </w:p>
        </w:tc>
        <w:tc>
          <w:tcPr>
            <w:tcW w:w="1813" w:type="dxa"/>
            <w:tcBorders>
              <w:tl2br w:val="nil"/>
              <w:tr2bl w:val="nil"/>
            </w:tcBorders>
            <w:vAlign w:val="center"/>
          </w:tcPr>
          <w:p>
            <w:pPr>
              <w:jc w:val="center"/>
              <w:rPr>
                <w:rFonts w:eastAsia="黑体"/>
                <w:b/>
                <w:bCs/>
                <w:szCs w:val="21"/>
              </w:rPr>
            </w:pPr>
            <w:r>
              <w:rPr>
                <w:rFonts w:eastAsia="黑体"/>
                <w:b/>
                <w:bCs/>
                <w:szCs w:val="21"/>
              </w:rPr>
              <w:t>畜禽粪便种类</w:t>
            </w:r>
          </w:p>
        </w:tc>
        <w:tc>
          <w:tcPr>
            <w:tcW w:w="1455" w:type="dxa"/>
            <w:tcBorders>
              <w:tl2br w:val="nil"/>
              <w:tr2bl w:val="nil"/>
            </w:tcBorders>
            <w:vAlign w:val="center"/>
          </w:tcPr>
          <w:p>
            <w:pPr>
              <w:jc w:val="center"/>
              <w:rPr>
                <w:rFonts w:eastAsia="黑体"/>
                <w:b/>
                <w:bCs/>
                <w:szCs w:val="21"/>
              </w:rPr>
            </w:pPr>
            <w:r>
              <w:rPr>
                <w:rFonts w:eastAsia="黑体"/>
                <w:b/>
                <w:bCs/>
                <w:szCs w:val="21"/>
              </w:rPr>
              <w:t>化学需氧量</w:t>
            </w:r>
          </w:p>
        </w:tc>
        <w:tc>
          <w:tcPr>
            <w:tcW w:w="1440" w:type="dxa"/>
            <w:tcBorders>
              <w:tl2br w:val="nil"/>
              <w:tr2bl w:val="nil"/>
            </w:tcBorders>
            <w:vAlign w:val="center"/>
          </w:tcPr>
          <w:p>
            <w:pPr>
              <w:jc w:val="center"/>
              <w:rPr>
                <w:rFonts w:eastAsia="黑体"/>
                <w:b/>
                <w:bCs/>
                <w:szCs w:val="21"/>
              </w:rPr>
            </w:pPr>
            <w:r>
              <w:rPr>
                <w:rFonts w:eastAsia="黑体"/>
                <w:b/>
                <w:bCs/>
                <w:szCs w:val="21"/>
              </w:rPr>
              <w:t>氨氮</w:t>
            </w:r>
          </w:p>
        </w:tc>
        <w:tc>
          <w:tcPr>
            <w:tcW w:w="1305" w:type="dxa"/>
            <w:tcBorders>
              <w:tl2br w:val="nil"/>
              <w:tr2bl w:val="nil"/>
            </w:tcBorders>
            <w:vAlign w:val="center"/>
          </w:tcPr>
          <w:p>
            <w:pPr>
              <w:jc w:val="center"/>
              <w:rPr>
                <w:rFonts w:eastAsia="黑体"/>
                <w:b/>
                <w:bCs/>
                <w:szCs w:val="21"/>
              </w:rPr>
            </w:pPr>
            <w:r>
              <w:rPr>
                <w:rFonts w:eastAsia="黑体"/>
                <w:b/>
                <w:bCs/>
                <w:szCs w:val="21"/>
              </w:rPr>
              <w:t>总氮</w:t>
            </w:r>
          </w:p>
        </w:tc>
        <w:tc>
          <w:tcPr>
            <w:tcW w:w="1262" w:type="dxa"/>
            <w:tcBorders>
              <w:tl2br w:val="nil"/>
              <w:tr2bl w:val="nil"/>
            </w:tcBorders>
            <w:vAlign w:val="center"/>
          </w:tcPr>
          <w:p>
            <w:pPr>
              <w:jc w:val="center"/>
              <w:rPr>
                <w:rFonts w:eastAsia="黑体"/>
                <w:b/>
                <w:bCs/>
                <w:szCs w:val="21"/>
              </w:rPr>
            </w:pPr>
            <w:r>
              <w:rPr>
                <w:rFonts w:eastAsia="黑体"/>
                <w:b/>
                <w:bCs/>
                <w:szCs w:val="21"/>
              </w:rPr>
              <w:t>总磷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877" w:type="dxa"/>
            <w:vMerge w:val="restart"/>
            <w:tcBorders>
              <w:tl2br w:val="nil"/>
              <w:tr2bl w:val="nil"/>
            </w:tcBorders>
            <w:vAlign w:val="center"/>
          </w:tcPr>
          <w:p>
            <w:pPr>
              <w:widowControl/>
              <w:jc w:val="center"/>
              <w:rPr>
                <w:rFonts w:eastAsia="黑体"/>
                <w:szCs w:val="21"/>
              </w:rPr>
            </w:pPr>
            <w:r>
              <w:rPr>
                <w:rFonts w:eastAsia="黑体"/>
                <w:kern w:val="0"/>
                <w:szCs w:val="21"/>
              </w:rPr>
              <w:t>河北省</w:t>
            </w:r>
          </w:p>
        </w:tc>
        <w:tc>
          <w:tcPr>
            <w:tcW w:w="1813" w:type="dxa"/>
            <w:tcBorders>
              <w:tl2br w:val="nil"/>
              <w:tr2bl w:val="nil"/>
            </w:tcBorders>
            <w:vAlign w:val="center"/>
          </w:tcPr>
          <w:p>
            <w:pPr>
              <w:jc w:val="center"/>
              <w:rPr>
                <w:rFonts w:eastAsia="黑体"/>
                <w:kern w:val="0"/>
                <w:szCs w:val="21"/>
              </w:rPr>
            </w:pPr>
            <w:r>
              <w:rPr>
                <w:rFonts w:eastAsia="黑体"/>
                <w:szCs w:val="21"/>
              </w:rPr>
              <w:t>生猪（kg/头）</w:t>
            </w:r>
          </w:p>
        </w:tc>
        <w:tc>
          <w:tcPr>
            <w:tcW w:w="1455" w:type="dxa"/>
            <w:tcBorders>
              <w:tl2br w:val="nil"/>
              <w:tr2bl w:val="nil"/>
            </w:tcBorders>
            <w:vAlign w:val="center"/>
          </w:tcPr>
          <w:p>
            <w:pPr>
              <w:widowControl/>
              <w:jc w:val="center"/>
              <w:rPr>
                <w:rFonts w:eastAsia="黑体"/>
                <w:kern w:val="0"/>
                <w:szCs w:val="21"/>
              </w:rPr>
            </w:pPr>
            <w:r>
              <w:rPr>
                <w:rFonts w:eastAsia="黑体"/>
                <w:kern w:val="0"/>
                <w:szCs w:val="21"/>
              </w:rPr>
              <w:t>50.5</w:t>
            </w:r>
          </w:p>
        </w:tc>
        <w:tc>
          <w:tcPr>
            <w:tcW w:w="1440" w:type="dxa"/>
            <w:tcBorders>
              <w:tl2br w:val="nil"/>
              <w:tr2bl w:val="nil"/>
            </w:tcBorders>
            <w:vAlign w:val="center"/>
          </w:tcPr>
          <w:p>
            <w:pPr>
              <w:widowControl/>
              <w:jc w:val="center"/>
              <w:rPr>
                <w:rFonts w:eastAsia="黑体"/>
                <w:kern w:val="0"/>
                <w:szCs w:val="21"/>
              </w:rPr>
            </w:pPr>
            <w:r>
              <w:rPr>
                <w:rFonts w:eastAsia="黑体"/>
                <w:kern w:val="0"/>
                <w:szCs w:val="21"/>
              </w:rPr>
              <w:t>1.0</w:t>
            </w:r>
          </w:p>
        </w:tc>
        <w:tc>
          <w:tcPr>
            <w:tcW w:w="1305" w:type="dxa"/>
            <w:tcBorders>
              <w:tl2br w:val="nil"/>
              <w:tr2bl w:val="nil"/>
            </w:tcBorders>
            <w:vAlign w:val="center"/>
          </w:tcPr>
          <w:p>
            <w:pPr>
              <w:widowControl/>
              <w:jc w:val="center"/>
              <w:rPr>
                <w:rFonts w:eastAsia="黑体"/>
                <w:kern w:val="0"/>
                <w:szCs w:val="21"/>
              </w:rPr>
            </w:pPr>
            <w:r>
              <w:rPr>
                <w:rFonts w:eastAsia="黑体"/>
                <w:kern w:val="0"/>
                <w:szCs w:val="21"/>
              </w:rPr>
              <w:t>3.0</w:t>
            </w:r>
          </w:p>
        </w:tc>
        <w:tc>
          <w:tcPr>
            <w:tcW w:w="1262" w:type="dxa"/>
            <w:tcBorders>
              <w:tl2br w:val="nil"/>
              <w:tr2bl w:val="nil"/>
            </w:tcBorders>
            <w:vAlign w:val="center"/>
          </w:tcPr>
          <w:p>
            <w:pPr>
              <w:widowControl/>
              <w:jc w:val="center"/>
              <w:rPr>
                <w:rFonts w:eastAsia="黑体"/>
                <w:kern w:val="0"/>
                <w:szCs w:val="21"/>
              </w:rPr>
            </w:pPr>
            <w:r>
              <w:rPr>
                <w:rFonts w:eastAsia="黑体"/>
                <w:kern w:val="0"/>
                <w:szCs w:val="21"/>
              </w:rPr>
              <w:t>0.6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77" w:type="dxa"/>
            <w:vMerge w:val="continue"/>
            <w:tcBorders>
              <w:tl2br w:val="nil"/>
              <w:tr2bl w:val="nil"/>
            </w:tcBorders>
            <w:vAlign w:val="center"/>
          </w:tcPr>
          <w:p>
            <w:pPr>
              <w:widowControl/>
              <w:jc w:val="center"/>
              <w:rPr>
                <w:rFonts w:eastAsia="黑体"/>
                <w:kern w:val="0"/>
                <w:szCs w:val="21"/>
              </w:rPr>
            </w:pPr>
          </w:p>
        </w:tc>
        <w:tc>
          <w:tcPr>
            <w:tcW w:w="1813" w:type="dxa"/>
            <w:tcBorders>
              <w:tl2br w:val="nil"/>
              <w:tr2bl w:val="nil"/>
            </w:tcBorders>
            <w:vAlign w:val="center"/>
          </w:tcPr>
          <w:p>
            <w:pPr>
              <w:jc w:val="center"/>
              <w:rPr>
                <w:rFonts w:eastAsia="黑体"/>
                <w:kern w:val="0"/>
                <w:szCs w:val="21"/>
              </w:rPr>
            </w:pPr>
            <w:r>
              <w:rPr>
                <w:rFonts w:eastAsia="黑体"/>
                <w:szCs w:val="21"/>
              </w:rPr>
              <w:t>奶牛（kg/头）</w:t>
            </w:r>
          </w:p>
        </w:tc>
        <w:tc>
          <w:tcPr>
            <w:tcW w:w="1455" w:type="dxa"/>
            <w:tcBorders>
              <w:tl2br w:val="nil"/>
              <w:tr2bl w:val="nil"/>
            </w:tcBorders>
            <w:vAlign w:val="center"/>
          </w:tcPr>
          <w:p>
            <w:pPr>
              <w:widowControl/>
              <w:jc w:val="center"/>
              <w:rPr>
                <w:rFonts w:eastAsia="黑体"/>
                <w:kern w:val="0"/>
                <w:szCs w:val="21"/>
              </w:rPr>
            </w:pPr>
            <w:r>
              <w:rPr>
                <w:rFonts w:eastAsia="黑体"/>
                <w:kern w:val="0"/>
                <w:szCs w:val="21"/>
              </w:rPr>
              <w:t>1535.1</w:t>
            </w:r>
          </w:p>
        </w:tc>
        <w:tc>
          <w:tcPr>
            <w:tcW w:w="1440" w:type="dxa"/>
            <w:tcBorders>
              <w:tl2br w:val="nil"/>
              <w:tr2bl w:val="nil"/>
            </w:tcBorders>
            <w:vAlign w:val="center"/>
          </w:tcPr>
          <w:p>
            <w:pPr>
              <w:widowControl/>
              <w:jc w:val="center"/>
              <w:rPr>
                <w:rFonts w:eastAsia="黑体"/>
                <w:kern w:val="0"/>
                <w:szCs w:val="21"/>
              </w:rPr>
            </w:pPr>
            <w:r>
              <w:rPr>
                <w:rFonts w:eastAsia="黑体"/>
                <w:kern w:val="0"/>
                <w:szCs w:val="21"/>
              </w:rPr>
              <w:t>13.1</w:t>
            </w:r>
          </w:p>
        </w:tc>
        <w:tc>
          <w:tcPr>
            <w:tcW w:w="1305" w:type="dxa"/>
            <w:tcBorders>
              <w:tl2br w:val="nil"/>
              <w:tr2bl w:val="nil"/>
            </w:tcBorders>
            <w:vAlign w:val="center"/>
          </w:tcPr>
          <w:p>
            <w:pPr>
              <w:widowControl/>
              <w:jc w:val="center"/>
              <w:rPr>
                <w:rFonts w:eastAsia="黑体"/>
                <w:kern w:val="0"/>
                <w:szCs w:val="21"/>
              </w:rPr>
            </w:pPr>
            <w:r>
              <w:rPr>
                <w:rFonts w:eastAsia="黑体"/>
                <w:kern w:val="0"/>
                <w:szCs w:val="21"/>
              </w:rPr>
              <w:t>73.1</w:t>
            </w:r>
          </w:p>
        </w:tc>
        <w:tc>
          <w:tcPr>
            <w:tcW w:w="1262" w:type="dxa"/>
            <w:tcBorders>
              <w:tl2br w:val="nil"/>
              <w:tr2bl w:val="nil"/>
            </w:tcBorders>
            <w:vAlign w:val="center"/>
          </w:tcPr>
          <w:p>
            <w:pPr>
              <w:widowControl/>
              <w:jc w:val="center"/>
              <w:rPr>
                <w:rFonts w:eastAsia="黑体"/>
                <w:kern w:val="0"/>
                <w:szCs w:val="21"/>
              </w:rPr>
            </w:pPr>
            <w:r>
              <w:rPr>
                <w:rFonts w:eastAsia="黑体"/>
                <w:kern w:val="0"/>
                <w:szCs w:val="21"/>
              </w:rPr>
              <w:t>9.5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158" w:hRule="atLeast"/>
          <w:jc w:val="center"/>
        </w:trPr>
        <w:tc>
          <w:tcPr>
            <w:tcW w:w="877" w:type="dxa"/>
            <w:vMerge w:val="continue"/>
            <w:tcBorders>
              <w:tl2br w:val="nil"/>
              <w:tr2bl w:val="nil"/>
            </w:tcBorders>
            <w:vAlign w:val="center"/>
          </w:tcPr>
          <w:p>
            <w:pPr>
              <w:widowControl/>
              <w:jc w:val="center"/>
              <w:rPr>
                <w:rFonts w:eastAsia="黑体"/>
                <w:szCs w:val="21"/>
              </w:rPr>
            </w:pPr>
          </w:p>
        </w:tc>
        <w:tc>
          <w:tcPr>
            <w:tcW w:w="1813" w:type="dxa"/>
            <w:tcBorders>
              <w:tl2br w:val="nil"/>
              <w:tr2bl w:val="nil"/>
            </w:tcBorders>
            <w:vAlign w:val="center"/>
          </w:tcPr>
          <w:p>
            <w:pPr>
              <w:jc w:val="center"/>
              <w:rPr>
                <w:rFonts w:eastAsia="黑体"/>
                <w:szCs w:val="21"/>
              </w:rPr>
            </w:pPr>
            <w:r>
              <w:rPr>
                <w:rFonts w:eastAsia="黑体"/>
                <w:szCs w:val="21"/>
              </w:rPr>
              <w:t>肉牛（kg/头）</w:t>
            </w:r>
          </w:p>
        </w:tc>
        <w:tc>
          <w:tcPr>
            <w:tcW w:w="1455" w:type="dxa"/>
            <w:tcBorders>
              <w:tl2br w:val="nil"/>
              <w:tr2bl w:val="nil"/>
            </w:tcBorders>
            <w:vAlign w:val="center"/>
          </w:tcPr>
          <w:p>
            <w:pPr>
              <w:widowControl/>
              <w:jc w:val="center"/>
              <w:rPr>
                <w:rFonts w:eastAsia="黑体"/>
                <w:szCs w:val="21"/>
              </w:rPr>
            </w:pPr>
            <w:r>
              <w:rPr>
                <w:rFonts w:eastAsia="黑体"/>
                <w:szCs w:val="21"/>
              </w:rPr>
              <w:t>906.9</w:t>
            </w:r>
          </w:p>
        </w:tc>
        <w:tc>
          <w:tcPr>
            <w:tcW w:w="1440" w:type="dxa"/>
            <w:tcBorders>
              <w:tl2br w:val="nil"/>
              <w:tr2bl w:val="nil"/>
            </w:tcBorders>
            <w:vAlign w:val="center"/>
          </w:tcPr>
          <w:p>
            <w:pPr>
              <w:widowControl/>
              <w:jc w:val="center"/>
              <w:rPr>
                <w:rFonts w:eastAsia="黑体"/>
                <w:szCs w:val="21"/>
              </w:rPr>
            </w:pPr>
            <w:r>
              <w:rPr>
                <w:rFonts w:eastAsia="黑体"/>
                <w:szCs w:val="21"/>
              </w:rPr>
              <w:t>8.7</w:t>
            </w:r>
          </w:p>
        </w:tc>
        <w:tc>
          <w:tcPr>
            <w:tcW w:w="1305" w:type="dxa"/>
            <w:tcBorders>
              <w:tl2br w:val="nil"/>
              <w:tr2bl w:val="nil"/>
            </w:tcBorders>
            <w:vAlign w:val="center"/>
          </w:tcPr>
          <w:p>
            <w:pPr>
              <w:widowControl/>
              <w:jc w:val="center"/>
              <w:rPr>
                <w:rFonts w:eastAsia="黑体"/>
                <w:szCs w:val="21"/>
              </w:rPr>
            </w:pPr>
            <w:r>
              <w:rPr>
                <w:rFonts w:eastAsia="黑体"/>
                <w:szCs w:val="21"/>
              </w:rPr>
              <w:t>33.6</w:t>
            </w:r>
          </w:p>
        </w:tc>
        <w:tc>
          <w:tcPr>
            <w:tcW w:w="1262" w:type="dxa"/>
            <w:tcBorders>
              <w:tl2br w:val="nil"/>
              <w:tr2bl w:val="nil"/>
            </w:tcBorders>
            <w:vAlign w:val="center"/>
          </w:tcPr>
          <w:p>
            <w:pPr>
              <w:widowControl/>
              <w:jc w:val="center"/>
              <w:rPr>
                <w:rFonts w:eastAsia="黑体"/>
                <w:kern w:val="0"/>
                <w:szCs w:val="21"/>
              </w:rPr>
            </w:pPr>
            <w:r>
              <w:rPr>
                <w:rFonts w:eastAsia="黑体"/>
                <w:kern w:val="0"/>
                <w:szCs w:val="21"/>
              </w:rPr>
              <w:t>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877" w:type="dxa"/>
            <w:vMerge w:val="continue"/>
            <w:tcBorders>
              <w:tl2br w:val="nil"/>
              <w:tr2bl w:val="nil"/>
            </w:tcBorders>
            <w:vAlign w:val="center"/>
          </w:tcPr>
          <w:p>
            <w:pPr>
              <w:widowControl/>
              <w:jc w:val="center"/>
              <w:rPr>
                <w:rFonts w:eastAsia="黑体"/>
                <w:szCs w:val="21"/>
              </w:rPr>
            </w:pPr>
          </w:p>
        </w:tc>
        <w:tc>
          <w:tcPr>
            <w:tcW w:w="1813" w:type="dxa"/>
            <w:tcBorders>
              <w:tl2br w:val="nil"/>
              <w:tr2bl w:val="nil"/>
            </w:tcBorders>
            <w:vAlign w:val="center"/>
          </w:tcPr>
          <w:p>
            <w:pPr>
              <w:jc w:val="center"/>
              <w:rPr>
                <w:rFonts w:eastAsia="黑体"/>
                <w:szCs w:val="21"/>
              </w:rPr>
            </w:pPr>
            <w:r>
              <w:rPr>
                <w:rFonts w:eastAsia="黑体"/>
                <w:szCs w:val="21"/>
              </w:rPr>
              <w:t>蛋鸡（kg/羽）</w:t>
            </w:r>
          </w:p>
        </w:tc>
        <w:tc>
          <w:tcPr>
            <w:tcW w:w="1455" w:type="dxa"/>
            <w:tcBorders>
              <w:tl2br w:val="nil"/>
              <w:tr2bl w:val="nil"/>
            </w:tcBorders>
            <w:vAlign w:val="center"/>
          </w:tcPr>
          <w:p>
            <w:pPr>
              <w:widowControl/>
              <w:jc w:val="center"/>
              <w:rPr>
                <w:rFonts w:eastAsia="黑体"/>
                <w:szCs w:val="21"/>
              </w:rPr>
            </w:pPr>
            <w:r>
              <w:rPr>
                <w:rFonts w:eastAsia="黑体"/>
                <w:szCs w:val="21"/>
              </w:rPr>
              <w:t>10.9</w:t>
            </w:r>
          </w:p>
        </w:tc>
        <w:tc>
          <w:tcPr>
            <w:tcW w:w="1440" w:type="dxa"/>
            <w:tcBorders>
              <w:tl2br w:val="nil"/>
              <w:tr2bl w:val="nil"/>
            </w:tcBorders>
            <w:vAlign w:val="center"/>
          </w:tcPr>
          <w:p>
            <w:pPr>
              <w:widowControl/>
              <w:jc w:val="center"/>
              <w:rPr>
                <w:rFonts w:eastAsia="黑体"/>
                <w:szCs w:val="21"/>
              </w:rPr>
            </w:pPr>
            <w:r>
              <w:rPr>
                <w:rFonts w:eastAsia="黑体"/>
                <w:szCs w:val="21"/>
              </w:rPr>
              <w:t>0.4</w:t>
            </w:r>
          </w:p>
        </w:tc>
        <w:tc>
          <w:tcPr>
            <w:tcW w:w="1305" w:type="dxa"/>
            <w:tcBorders>
              <w:tl2br w:val="nil"/>
              <w:tr2bl w:val="nil"/>
            </w:tcBorders>
            <w:vAlign w:val="center"/>
          </w:tcPr>
          <w:p>
            <w:pPr>
              <w:widowControl/>
              <w:jc w:val="center"/>
              <w:rPr>
                <w:rFonts w:eastAsia="黑体"/>
                <w:szCs w:val="21"/>
              </w:rPr>
            </w:pPr>
            <w:r>
              <w:rPr>
                <w:rFonts w:eastAsia="黑体"/>
                <w:szCs w:val="21"/>
              </w:rPr>
              <w:t>0.5</w:t>
            </w:r>
          </w:p>
        </w:tc>
        <w:tc>
          <w:tcPr>
            <w:tcW w:w="1262" w:type="dxa"/>
            <w:tcBorders>
              <w:tl2br w:val="nil"/>
              <w:tr2bl w:val="nil"/>
            </w:tcBorders>
            <w:vAlign w:val="center"/>
          </w:tcPr>
          <w:p>
            <w:pPr>
              <w:widowControl/>
              <w:jc w:val="center"/>
              <w:rPr>
                <w:rFonts w:eastAsia="黑体"/>
                <w:kern w:val="0"/>
                <w:szCs w:val="21"/>
              </w:rPr>
            </w:pPr>
            <w:r>
              <w:rPr>
                <w:rFonts w:eastAsia="黑体"/>
                <w:kern w:val="0"/>
                <w:szCs w:val="21"/>
              </w:rPr>
              <w:t>0.1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877" w:type="dxa"/>
            <w:vMerge w:val="continue"/>
            <w:tcBorders>
              <w:tl2br w:val="nil"/>
              <w:tr2bl w:val="nil"/>
            </w:tcBorders>
            <w:vAlign w:val="center"/>
          </w:tcPr>
          <w:p>
            <w:pPr>
              <w:widowControl/>
              <w:jc w:val="center"/>
              <w:rPr>
                <w:rFonts w:eastAsia="黑体"/>
                <w:szCs w:val="21"/>
              </w:rPr>
            </w:pPr>
          </w:p>
        </w:tc>
        <w:tc>
          <w:tcPr>
            <w:tcW w:w="1813" w:type="dxa"/>
            <w:tcBorders>
              <w:tl2br w:val="nil"/>
              <w:tr2bl w:val="nil"/>
            </w:tcBorders>
            <w:vAlign w:val="center"/>
          </w:tcPr>
          <w:p>
            <w:pPr>
              <w:jc w:val="center"/>
              <w:rPr>
                <w:rFonts w:eastAsia="黑体"/>
                <w:szCs w:val="21"/>
              </w:rPr>
            </w:pPr>
            <w:r>
              <w:rPr>
                <w:rFonts w:eastAsia="黑体"/>
                <w:szCs w:val="21"/>
              </w:rPr>
              <w:t>肉鸡（kg/羽）</w:t>
            </w:r>
          </w:p>
        </w:tc>
        <w:tc>
          <w:tcPr>
            <w:tcW w:w="1455" w:type="dxa"/>
            <w:tcBorders>
              <w:tl2br w:val="nil"/>
              <w:tr2bl w:val="nil"/>
            </w:tcBorders>
            <w:vAlign w:val="center"/>
          </w:tcPr>
          <w:p>
            <w:pPr>
              <w:widowControl/>
              <w:jc w:val="center"/>
              <w:rPr>
                <w:rFonts w:eastAsia="黑体"/>
                <w:szCs w:val="21"/>
              </w:rPr>
            </w:pPr>
            <w:r>
              <w:rPr>
                <w:rFonts w:eastAsia="黑体"/>
                <w:szCs w:val="21"/>
              </w:rPr>
              <w:t>1.1</w:t>
            </w:r>
          </w:p>
        </w:tc>
        <w:tc>
          <w:tcPr>
            <w:tcW w:w="1440" w:type="dxa"/>
            <w:tcBorders>
              <w:tl2br w:val="nil"/>
              <w:tr2bl w:val="nil"/>
            </w:tcBorders>
            <w:vAlign w:val="center"/>
          </w:tcPr>
          <w:p>
            <w:pPr>
              <w:widowControl/>
              <w:jc w:val="center"/>
              <w:rPr>
                <w:rFonts w:eastAsia="黑体"/>
                <w:szCs w:val="21"/>
              </w:rPr>
            </w:pPr>
            <w:r>
              <w:rPr>
                <w:rFonts w:eastAsia="黑体"/>
                <w:szCs w:val="21"/>
              </w:rPr>
              <w:t>0.040</w:t>
            </w:r>
          </w:p>
        </w:tc>
        <w:tc>
          <w:tcPr>
            <w:tcW w:w="1305" w:type="dxa"/>
            <w:tcBorders>
              <w:tl2br w:val="nil"/>
              <w:tr2bl w:val="nil"/>
            </w:tcBorders>
            <w:vAlign w:val="center"/>
          </w:tcPr>
          <w:p>
            <w:pPr>
              <w:widowControl/>
              <w:jc w:val="center"/>
              <w:rPr>
                <w:rFonts w:eastAsia="黑体"/>
                <w:szCs w:val="21"/>
              </w:rPr>
            </w:pPr>
            <w:r>
              <w:rPr>
                <w:rFonts w:eastAsia="黑体"/>
                <w:szCs w:val="21"/>
              </w:rPr>
              <w:t>0.1</w:t>
            </w:r>
          </w:p>
        </w:tc>
        <w:tc>
          <w:tcPr>
            <w:tcW w:w="1262" w:type="dxa"/>
            <w:tcBorders>
              <w:tl2br w:val="nil"/>
              <w:tr2bl w:val="nil"/>
            </w:tcBorders>
            <w:vAlign w:val="center"/>
          </w:tcPr>
          <w:p>
            <w:pPr>
              <w:widowControl/>
              <w:jc w:val="center"/>
              <w:rPr>
                <w:rFonts w:eastAsia="黑体"/>
                <w:kern w:val="0"/>
                <w:szCs w:val="21"/>
              </w:rPr>
            </w:pPr>
            <w:r>
              <w:rPr>
                <w:rFonts w:eastAsia="黑体"/>
                <w:kern w:val="0"/>
                <w:szCs w:val="21"/>
              </w:rPr>
              <w:t>0.010</w:t>
            </w:r>
          </w:p>
        </w:tc>
      </w:tr>
    </w:tbl>
    <w:p>
      <w:pPr>
        <w:spacing w:line="360" w:lineRule="auto"/>
        <w:ind w:firstLine="560" w:firstLineChars="200"/>
        <w:rPr>
          <w:sz w:val="28"/>
          <w:szCs w:val="28"/>
        </w:rPr>
      </w:pPr>
      <w:r>
        <w:rPr>
          <w:sz w:val="28"/>
          <w:szCs w:val="28"/>
        </w:rPr>
        <w:t>结合表2.4-6及表2.4-11、2.4-12数据，徐水区畜禽养殖产污计算结果见表2.4-13</w:t>
      </w:r>
      <w:bookmarkEnd w:id="267"/>
      <w:bookmarkEnd w:id="268"/>
      <w:bookmarkEnd w:id="269"/>
      <w:r>
        <w:rPr>
          <w:sz w:val="28"/>
          <w:szCs w:val="28"/>
        </w:rPr>
        <w:t>。</w:t>
      </w:r>
      <w:bookmarkStart w:id="272" w:name="_Toc30517"/>
    </w:p>
    <w:p>
      <w:pPr>
        <w:pStyle w:val="2"/>
        <w:spacing w:line="360" w:lineRule="auto"/>
        <w:ind w:firstLine="0"/>
        <w:jc w:val="center"/>
        <w:rPr>
          <w:rFonts w:ascii="Times New Roman" w:hAnsi="Times New Roman" w:eastAsia="黑体"/>
          <w:b/>
          <w:bCs/>
          <w:sz w:val="21"/>
          <w:lang w:val="en-US"/>
        </w:rPr>
      </w:pPr>
      <w:r>
        <w:rPr>
          <w:rFonts w:ascii="Times New Roman" w:hAnsi="Times New Roman" w:eastAsia="黑体"/>
          <w:b/>
          <w:bCs/>
          <w:sz w:val="21"/>
          <w:lang w:val="en-US"/>
        </w:rPr>
        <w:t>表2.4-13  畜禽养殖产污计算结果一览表  单位：t/a</w:t>
      </w:r>
      <w:bookmarkEnd w:id="270"/>
      <w:bookmarkEnd w:id="271"/>
      <w:bookmarkEnd w:id="272"/>
    </w:p>
    <w:tbl>
      <w:tblPr>
        <w:tblStyle w:val="23"/>
        <w:tblW w:w="8775" w:type="dxa"/>
        <w:tblInd w:w="93" w:type="dxa"/>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Layout w:type="autofit"/>
        <w:tblCellMar>
          <w:top w:w="0" w:type="dxa"/>
          <w:left w:w="108" w:type="dxa"/>
          <w:bottom w:w="0" w:type="dxa"/>
          <w:right w:w="108" w:type="dxa"/>
        </w:tblCellMar>
      </w:tblPr>
      <w:tblGrid>
        <w:gridCol w:w="1080"/>
        <w:gridCol w:w="1080"/>
        <w:gridCol w:w="1080"/>
        <w:gridCol w:w="1080"/>
        <w:gridCol w:w="1215"/>
        <w:gridCol w:w="1080"/>
        <w:gridCol w:w="1080"/>
        <w:gridCol w:w="1080"/>
      </w:tblGrid>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632" w:hRule="atLeast"/>
        </w:trPr>
        <w:tc>
          <w:tcPr>
            <w:tcW w:w="1080" w:type="dxa"/>
            <w:vMerge w:val="restart"/>
            <w:tcBorders>
              <w:tl2br w:val="nil"/>
              <w:tr2bl w:val="nil"/>
            </w:tcBorders>
            <w:shd w:val="clear" w:color="auto" w:fill="auto"/>
            <w:vAlign w:val="center"/>
          </w:tcPr>
          <w:p>
            <w:pPr>
              <w:widowControl/>
              <w:jc w:val="center"/>
              <w:textAlignment w:val="center"/>
              <w:rPr>
                <w:rFonts w:eastAsia="黑体"/>
                <w:b/>
                <w:bCs/>
                <w:color w:val="000000"/>
                <w:szCs w:val="21"/>
              </w:rPr>
            </w:pPr>
            <w:bookmarkStart w:id="273" w:name="_Toc6667"/>
            <w:bookmarkStart w:id="274" w:name="_Toc19780"/>
            <w:bookmarkStart w:id="275" w:name="_Toc7172"/>
            <w:bookmarkStart w:id="276" w:name="_Toc21705"/>
            <w:bookmarkStart w:id="277" w:name="_Toc31978"/>
            <w:r>
              <w:rPr>
                <w:rFonts w:eastAsia="黑体"/>
                <w:b/>
                <w:bCs/>
                <w:color w:val="000000"/>
                <w:kern w:val="0"/>
                <w:szCs w:val="21"/>
                <w:lang w:bidi="ar"/>
              </w:rPr>
              <w:t>序号</w:t>
            </w:r>
          </w:p>
        </w:tc>
        <w:tc>
          <w:tcPr>
            <w:tcW w:w="1080" w:type="dxa"/>
            <w:vMerge w:val="restart"/>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乡镇</w:t>
            </w:r>
          </w:p>
        </w:tc>
        <w:tc>
          <w:tcPr>
            <w:tcW w:w="1080" w:type="dxa"/>
            <w:vMerge w:val="restart"/>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养殖方式</w:t>
            </w:r>
          </w:p>
        </w:tc>
        <w:tc>
          <w:tcPr>
            <w:tcW w:w="1080"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畜禽种类</w:t>
            </w:r>
          </w:p>
        </w:tc>
        <w:tc>
          <w:tcPr>
            <w:tcW w:w="1215" w:type="dxa"/>
            <w:tcBorders>
              <w:tl2br w:val="nil"/>
              <w:tr2bl w:val="nil"/>
            </w:tcBorders>
            <w:shd w:val="clear" w:color="auto" w:fill="auto"/>
            <w:vAlign w:val="center"/>
          </w:tcPr>
          <w:p>
            <w:pPr>
              <w:widowControl/>
              <w:jc w:val="center"/>
              <w:textAlignment w:val="center"/>
              <w:rPr>
                <w:rFonts w:eastAsia="黑体"/>
                <w:b/>
                <w:bCs/>
                <w:color w:val="000000"/>
                <w:kern w:val="0"/>
                <w:szCs w:val="21"/>
                <w:lang w:bidi="ar"/>
              </w:rPr>
            </w:pPr>
            <w:r>
              <w:rPr>
                <w:rFonts w:eastAsia="黑体"/>
                <w:b/>
                <w:bCs/>
                <w:color w:val="000000"/>
                <w:kern w:val="0"/>
                <w:szCs w:val="21"/>
                <w:lang w:bidi="ar"/>
              </w:rPr>
              <w:t>化学</w:t>
            </w:r>
          </w:p>
          <w:p>
            <w:pPr>
              <w:widowControl/>
              <w:jc w:val="center"/>
              <w:textAlignment w:val="center"/>
              <w:rPr>
                <w:rFonts w:eastAsia="黑体"/>
                <w:b/>
                <w:bCs/>
                <w:color w:val="000000"/>
                <w:szCs w:val="21"/>
              </w:rPr>
            </w:pPr>
            <w:r>
              <w:rPr>
                <w:rFonts w:eastAsia="黑体"/>
                <w:b/>
                <w:bCs/>
                <w:color w:val="000000"/>
                <w:kern w:val="0"/>
                <w:szCs w:val="21"/>
                <w:lang w:bidi="ar"/>
              </w:rPr>
              <w:t>需氧量</w:t>
            </w:r>
          </w:p>
        </w:tc>
        <w:tc>
          <w:tcPr>
            <w:tcW w:w="1080"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氨氮</w:t>
            </w:r>
          </w:p>
        </w:tc>
        <w:tc>
          <w:tcPr>
            <w:tcW w:w="1080"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总氮</w:t>
            </w:r>
          </w:p>
        </w:tc>
        <w:tc>
          <w:tcPr>
            <w:tcW w:w="1080" w:type="dxa"/>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总磷</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安肃镇</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1270.48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25.16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75.47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15.09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3050.21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29.26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113.01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7.74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11.32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0.42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0.52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0.10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0.59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430.25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6.47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26.08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6.31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75.84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0.15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3.30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0.96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4838.69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61.48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218.44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30.21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2</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漕河镇</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487.27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9.65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28.95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5.79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2418.40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23.20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89.60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6.13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10.36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0.38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0.48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0.10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0.35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43.56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0.65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2.64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0.64 </w:t>
            </w:r>
          </w:p>
        </w:tc>
      </w:tr>
      <w:tr>
        <w:tblPrEx>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822.77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4.52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20.35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4.08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9150.57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77.85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435.65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56.32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12933.28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116.26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577.69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73.06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3</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崔庄镇</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1249.07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24.73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74.20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14.84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2497.00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23.95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92.51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6.33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9.96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0.37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0.46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0.09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0.61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234.43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3.52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14.21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3.44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1865.43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15.87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88.81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11.48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303.36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0.60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13.20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3.84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89.42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1.07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4.69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1.47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6249.27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70.14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288.14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41.50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4</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大王店镇</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1250.63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24.77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74.30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14.86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3506.68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33.64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129.92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8.89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34.87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1.60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0.32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51.00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0.77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3.09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0.75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470.86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2.59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11.65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2.33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1558.36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13.26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74.19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9.59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6872.40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76.30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294.74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36.74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5</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大因镇</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2154.63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42.67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128.00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25.60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1556.85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14.94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57.68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3.95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5.78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0.21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0.26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0.05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331.20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4.98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20.08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4.86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743.46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4.09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18.39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3.68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3224.20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27.43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153.50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19.85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8016.11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94.31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377.91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57.99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6</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东釜山乡</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291.50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5.77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17.32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3.46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574.37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5.51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21.28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7.08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0.26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0.32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11.49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0.17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0.70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0.17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223.54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2.68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11.72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3.68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1107.97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14.39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51.34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8.83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7</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hint="eastAsia" w:eastAsia="黑体"/>
                <w:color w:val="000000"/>
                <w:kern w:val="0"/>
                <w:szCs w:val="21"/>
                <w:lang w:bidi="ar"/>
              </w:rPr>
              <w:t>东史端镇</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417.47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8.27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24.80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4.96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317.42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3.05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11.76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1.93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0.02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0.44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55.95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3.39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0.82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668.91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1.32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29.11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8.47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1462.12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13.56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69.19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15.08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8</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高林村镇</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936.52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18.55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55.64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11.13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1209.20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11.60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44.80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3.07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18.48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0.68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0.17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0.50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58.95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3.57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7546.71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90.48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395.67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124.24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741.97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32.29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9.39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1780.98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15.15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84.79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10.96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12293.32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138.83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617.65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159.82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9</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户木乡</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487.02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9.64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28.93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5.79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1215.25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11.66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45.02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3.08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6.47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0.24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0.30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0.66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299.72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4.51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18.17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4.40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505.60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1.00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22.00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6.40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3239.55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27.56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154.23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19.94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5754.27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54.63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268.71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39.67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10</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留村乡</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260.83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5.17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15.50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3.10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347.65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3.34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12.88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0.88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24.17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0.22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4989.83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42.45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237.56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30.71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5622.47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51.84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267.04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34.91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11</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瀑河乡</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429.86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8.51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25.54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5.11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2645.13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25.38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98.00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6.71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32.26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0.30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34.07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0.51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2.07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0.50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89.42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1.07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4.69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1.47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752.31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6.40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35.82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4.63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3983.04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43.05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167.60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18.71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12</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遂城镇</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640.79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12.69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38.07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7.61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2917.20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27.99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108.08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7.40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49.56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2.27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0.45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0.57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60.94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0.92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3.69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0.89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89.42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1.07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4.69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1.47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745.94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4.10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18.45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3.70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4504.42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48.60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175.30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21.53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13</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正村镇</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381.34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7.55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22.65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4.53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925.04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8.87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34.27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2.35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18.67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0.69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0.86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0.17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0.64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0.01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29.47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0.44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1.79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0.43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106.18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1.27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5.57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1.75 </w:t>
            </w:r>
          </w:p>
        </w:tc>
      </w:tr>
      <w:tr>
        <w:tblPrEx>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1811.69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15.41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86.25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11.15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3273.02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34.25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151.45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20.38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14</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义联庄乡</w:t>
            </w:r>
          </w:p>
        </w:tc>
        <w:tc>
          <w:tcPr>
            <w:tcW w:w="1080"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240.53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4.76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14.29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2.86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308.35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2.96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11.42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0.78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7.07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0.26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0.32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0.06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pPr>
              <w:jc w:val="center"/>
              <w:rPr>
                <w:color w:val="000000"/>
                <w:szCs w:val="21"/>
              </w:rPr>
            </w:pPr>
          </w:p>
        </w:tc>
        <w:tc>
          <w:tcPr>
            <w:tcW w:w="1080" w:type="dxa"/>
            <w:vMerge w:val="continue"/>
            <w:tcBorders>
              <w:tl2br w:val="nil"/>
              <w:tr2bl w:val="nil"/>
            </w:tcBorders>
            <w:shd w:val="clear" w:color="auto" w:fill="auto"/>
            <w:vAlign w:val="center"/>
          </w:tcPr>
          <w:p>
            <w:pPr>
              <w:jc w:val="center"/>
              <w:rPr>
                <w:rFonts w:eastAsia="黑体"/>
                <w:color w:val="000000"/>
                <w:szCs w:val="21"/>
              </w:rPr>
            </w:pPr>
          </w:p>
        </w:tc>
        <w:tc>
          <w:tcPr>
            <w:tcW w:w="2160" w:type="dxa"/>
            <w:gridSpan w:val="2"/>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555.95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7.98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26.04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3.70 </w:t>
            </w:r>
          </w:p>
        </w:tc>
      </w:tr>
      <w:tr>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4320" w:type="dxa"/>
            <w:gridSpan w:val="4"/>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全区合计</w:t>
            </w:r>
          </w:p>
        </w:tc>
        <w:tc>
          <w:tcPr>
            <w:tcW w:w="1215"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77466.35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825.63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3551.24 </w:t>
            </w:r>
          </w:p>
        </w:tc>
        <w:tc>
          <w:tcPr>
            <w:tcW w:w="1080" w:type="dxa"/>
            <w:tcBorders>
              <w:tl2br w:val="nil"/>
              <w:tr2bl w:val="nil"/>
            </w:tcBorders>
            <w:shd w:val="clear" w:color="auto" w:fill="auto"/>
            <w:vAlign w:val="center"/>
          </w:tcPr>
          <w:p>
            <w:pPr>
              <w:widowControl/>
              <w:jc w:val="center"/>
              <w:textAlignment w:val="center"/>
              <w:rPr>
                <w:color w:val="000000"/>
                <w:szCs w:val="21"/>
              </w:rPr>
            </w:pPr>
            <w:r>
              <w:rPr>
                <w:color w:val="000000"/>
                <w:kern w:val="0"/>
                <w:szCs w:val="21"/>
                <w:lang w:bidi="ar"/>
              </w:rPr>
              <w:t xml:space="preserve">562.15 </w:t>
            </w:r>
          </w:p>
        </w:tc>
      </w:tr>
    </w:tbl>
    <w:p>
      <w:pPr>
        <w:pStyle w:val="2"/>
        <w:ind w:firstLine="560" w:firstLineChars="200"/>
        <w:rPr>
          <w:rFonts w:ascii="Times New Roman" w:hAnsi="Times New Roman"/>
          <w:sz w:val="28"/>
          <w:szCs w:val="28"/>
          <w:lang w:val="en-US"/>
        </w:rPr>
      </w:pPr>
      <w:r>
        <w:rPr>
          <w:rFonts w:ascii="Times New Roman" w:hAnsi="Times New Roman"/>
          <w:sz w:val="28"/>
          <w:szCs w:val="28"/>
          <w:lang w:val="en-US"/>
        </w:rPr>
        <w:t>畜禽养殖污染物主要由畜禽尿粪、饲料残渣等导致，其化学需氧量、氨氮、总氮、总磷含量高。化学需氧量是表示水质污染度的重要指标，也是衡量水中有机物质含量的指标，化学需氧量越大，说明水体受有机物的污染越严重。水中的氨氮主要来源于生活污水中含氨有机物的初始污染，氨氮也是水体中的营养物质，能引发水体富营养化现象，是水体中的主要耗氧污染物。总氮含量是衡量水质的重要指标之一，常被用来表示水体受营养物质污染的程度。水体中的磷是藻类生长需要的一种关键元素，但过量的磷是造成水体异臭、湖泊发生富营养化和海湾出现赤潮的主要原因。氮和磷都是植物生长所需要的营养元素，因此畜禽养殖污染物进行无害化处理后就可以作为农业肥料施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徐水区养殖专业户和养殖散户的养殖量整体高于规模化养殖场的养殖量，尤其是肉牛养殖和肉羊养殖，占徐水区总养殖量的77%以上，因此徐水区养殖专业户和养殖散户在养殖过程中产生的粪污量高于规模化养殖场所产生的粪污量。</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徐水区的奶牛养殖实现了全部规模化养殖，养殖量大、粪污处理设施齐全，且受到政府的大力扶持。徐水区规模化养殖场的养殖量整体低于养殖专业户和养殖散户的养殖量，规模化养殖粪污处理率高，经济效益显著，更有利于推动现代农业种养一体化，因此徐水区应加强畜禽养殖的规模化发展。</w:t>
      </w:r>
    </w:p>
    <w:p>
      <w:pPr>
        <w:pStyle w:val="2"/>
        <w:ind w:firstLine="560" w:firstLineChars="200"/>
        <w:rPr>
          <w:rFonts w:ascii="Times New Roman" w:hAnsi="Times New Roman"/>
          <w:color w:val="auto"/>
          <w:sz w:val="28"/>
          <w:szCs w:val="28"/>
          <w:lang w:val="en-US"/>
        </w:rPr>
      </w:pPr>
      <w:r>
        <w:rPr>
          <w:rFonts w:ascii="Times New Roman" w:hAnsi="Times New Roman"/>
          <w:color w:val="auto"/>
          <w:sz w:val="28"/>
          <w:szCs w:val="28"/>
          <w:lang w:val="en-US"/>
        </w:rPr>
        <w:t>结合徐水区现状进行分析，徐水区养殖场（户）分布整体较为分散，徐水区规模化养殖场整体分布较为均匀，不利于集中处理中心的建设，粪污运输成本较高。本规划建议与各乡镇农民合作社或农业种植大户进行合作，分多点集中处理粪污，生产有机肥，打造徐水区现代农业、有机农业。</w:t>
      </w:r>
    </w:p>
    <w:p>
      <w:pPr>
        <w:pStyle w:val="6"/>
        <w:numPr>
          <w:ilvl w:val="2"/>
          <w:numId w:val="0"/>
        </w:numPr>
        <w:spacing w:before="156" w:after="156"/>
      </w:pPr>
      <w:r>
        <w:t>2.4.4存在的问题</w:t>
      </w:r>
    </w:p>
    <w:p>
      <w:pPr>
        <w:pStyle w:val="2"/>
        <w:ind w:firstLine="560" w:firstLineChars="200"/>
        <w:rPr>
          <w:rFonts w:ascii="Times New Roman" w:hAnsi="Times New Roman"/>
          <w:sz w:val="28"/>
          <w:szCs w:val="28"/>
          <w:lang w:val="en-US"/>
        </w:rPr>
      </w:pPr>
      <w:bookmarkStart w:id="278" w:name="_Toc29975"/>
      <w:r>
        <w:rPr>
          <w:rFonts w:ascii="Times New Roman" w:hAnsi="Times New Roman"/>
          <w:sz w:val="28"/>
          <w:szCs w:val="28"/>
          <w:lang w:val="en-US"/>
        </w:rPr>
        <w:t>结合徐水区畜禽养殖粪污处理现状进行分析，徐水区畜禽养殖粪污处理过程中存在以下问题：</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1）养殖专业户和养殖散户畜禽粪便处理方式相对落后。大部分采用堆肥发酵后用于农田、果园等，虽然粪污的还田率相对较高，但环境卫生、有机肥质量控制技术要求不高。散户的粪污处理设施配建尚不完善。</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（2）奶牛场产生粪污量较大。奶牛场目前采用的处理方式不能完全解决臭味污染问题。</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畜禽粪污资源化利用第三方机构较为缺乏。目前全区粪污收集储送处理第三方机构较少，粪污收集、储运、处理能力与徐水区畜禽养殖业所产生的畜禽粪污规模相比远远不够，且辐射半径有限，第三方机构的作用尚未发挥完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4）规模化养殖场畜禽粪污处理成本较高，且生产的有机肥无市场或市场价值较低。畜禽粪污资源化利用产业化程度不高，有待于依托农业园区、种植基地等推广种养结合一体化生态循环农业模式，或建设水肥一体化生态农业模式。</w:t>
      </w:r>
    </w:p>
    <w:bookmarkEnd w:id="278"/>
    <w:p>
      <w:pPr>
        <w:pStyle w:val="4"/>
        <w:spacing w:before="312" w:after="312"/>
        <w:rPr>
          <w:rFonts w:ascii="Times New Roman" w:hAnsi="Times New Roman"/>
          <w:lang w:val="en-US"/>
        </w:rPr>
        <w:sectPr>
          <w:pgSz w:w="11906" w:h="16838"/>
          <w:pgMar w:top="1701" w:right="1417" w:bottom="1417" w:left="1701" w:header="851" w:footer="227" w:gutter="0"/>
          <w:cols w:space="720" w:num="1"/>
          <w:docGrid w:type="lines" w:linePitch="312" w:charSpace="0"/>
        </w:sectPr>
      </w:pPr>
    </w:p>
    <w:p>
      <w:pPr>
        <w:pStyle w:val="4"/>
        <w:spacing w:before="312" w:after="312"/>
        <w:rPr>
          <w:rFonts w:ascii="Times New Roman" w:hAnsi="Times New Roman"/>
          <w:lang w:val="en-US"/>
        </w:rPr>
      </w:pPr>
      <w:bookmarkStart w:id="279" w:name="_Toc8240"/>
      <w:r>
        <w:rPr>
          <w:rFonts w:ascii="Times New Roman" w:hAnsi="Times New Roman"/>
          <w:lang w:val="en-US"/>
        </w:rPr>
        <w:t>3.规划目标</w:t>
      </w:r>
      <w:bookmarkEnd w:id="279"/>
    </w:p>
    <w:p>
      <w:pPr>
        <w:pStyle w:val="5"/>
        <w:spacing w:before="312" w:after="312"/>
        <w:rPr>
          <w:rFonts w:ascii="Times New Roman" w:hAnsi="Times New Roman" w:cs="Times New Roman"/>
          <w:lang w:val="en-US"/>
        </w:rPr>
      </w:pPr>
      <w:bookmarkStart w:id="280" w:name="_Toc23857"/>
      <w:r>
        <w:rPr>
          <w:rFonts w:ascii="Times New Roman" w:hAnsi="Times New Roman" w:cs="Times New Roman"/>
          <w:lang w:val="en-US"/>
        </w:rPr>
        <w:t>3.1总体目标</w:t>
      </w:r>
      <w:bookmarkEnd w:id="280"/>
    </w:p>
    <w:p>
      <w:pPr>
        <w:pStyle w:val="2"/>
        <w:ind w:firstLine="560" w:firstLineChars="200"/>
        <w:rPr>
          <w:rFonts w:ascii="Times New Roman" w:hAnsi="Times New Roman"/>
          <w:sz w:val="28"/>
          <w:szCs w:val="28"/>
          <w:lang w:val="en-US"/>
        </w:rPr>
      </w:pPr>
      <w:r>
        <w:rPr>
          <w:rFonts w:ascii="Times New Roman" w:hAnsi="Times New Roman"/>
          <w:sz w:val="28"/>
          <w:szCs w:val="28"/>
          <w:lang w:val="en-US"/>
        </w:rPr>
        <w:t>结合“十四五”生态环境保护规划、农业绿色发展规划、空气质量全面改善行动计划等部署要求，坚决落实省委、省政府关于农业农村污染治理决策部署，紧紧围绕中央环保督察组工作要求，以消除养殖异味、污水、粪便污染为目标，以畜禽规模养殖场和规模以下养殖户为重点，以增强农村群众的获得感和幸福感为切入点，规模养殖场重点抓粪污处理设施提档升级，规模以下养殖户重点抓粪污处理设施配建，构建长效监督管理机制。组织专家团队全年开展督查指导工作，促进农村人居环境质量改善，增强农村群众的获得感和幸福感，为实现产业高质量发展和乡村生态振兴提供有力支撑。</w:t>
      </w:r>
    </w:p>
    <w:p>
      <w:pPr>
        <w:pStyle w:val="5"/>
        <w:spacing w:before="312" w:after="312"/>
        <w:rPr>
          <w:rFonts w:ascii="Times New Roman" w:hAnsi="Times New Roman" w:cs="Times New Roman"/>
          <w:lang w:val="en-US"/>
        </w:rPr>
      </w:pPr>
      <w:bookmarkStart w:id="281" w:name="_Toc25282"/>
      <w:r>
        <w:rPr>
          <w:rFonts w:ascii="Times New Roman" w:hAnsi="Times New Roman" w:cs="Times New Roman"/>
          <w:lang w:val="en-US"/>
        </w:rPr>
        <w:t>3.2阶段目标</w:t>
      </w:r>
      <w:bookmarkEnd w:id="281"/>
    </w:p>
    <w:p>
      <w:pPr>
        <w:pStyle w:val="2"/>
        <w:ind w:firstLine="560" w:firstLineChars="200"/>
        <w:rPr>
          <w:rFonts w:ascii="Times New Roman" w:hAnsi="Times New Roman"/>
          <w:sz w:val="28"/>
          <w:szCs w:val="28"/>
          <w:lang w:val="en-US"/>
        </w:rPr>
      </w:pPr>
      <w:r>
        <w:rPr>
          <w:rFonts w:ascii="Times New Roman" w:hAnsi="Times New Roman"/>
          <w:sz w:val="28"/>
          <w:szCs w:val="28"/>
          <w:lang w:val="en-US"/>
        </w:rPr>
        <w:t>畜禽养殖场（户）要在养殖异味及液体、固体粪污治理取得显著成效，2025年实现“粪便不乱堆乱倒、污水不渗漏外排、臭气不外逸扩散”的治理目标。</w:t>
      </w:r>
    </w:p>
    <w:p>
      <w:pPr>
        <w:pStyle w:val="2"/>
        <w:ind w:firstLine="560" w:firstLineChars="20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1</w:t>
      </w:r>
      <w:r>
        <w:rPr>
          <w:rFonts w:ascii="Times New Roman" w:hAnsi="Times New Roman"/>
          <w:sz w:val="28"/>
          <w:szCs w:val="28"/>
        </w:rPr>
        <w:t>）</w:t>
      </w:r>
      <w:r>
        <w:rPr>
          <w:rFonts w:ascii="Times New Roman" w:hAnsi="Times New Roman"/>
          <w:sz w:val="28"/>
          <w:szCs w:val="28"/>
          <w:lang w:val="en-US"/>
        </w:rPr>
        <w:t>到2025年之前，完成禁养区内规模化养殖场的关闭及拆迁工作。</w:t>
      </w:r>
    </w:p>
    <w:p>
      <w:pPr>
        <w:pStyle w:val="2"/>
        <w:ind w:firstLine="560" w:firstLineChars="20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2</w:t>
      </w:r>
      <w:r>
        <w:rPr>
          <w:rFonts w:ascii="Times New Roman" w:hAnsi="Times New Roman"/>
          <w:sz w:val="28"/>
          <w:szCs w:val="28"/>
        </w:rPr>
        <w:t>）</w:t>
      </w:r>
      <w:r>
        <w:rPr>
          <w:rFonts w:ascii="Times New Roman" w:hAnsi="Times New Roman"/>
          <w:sz w:val="28"/>
          <w:szCs w:val="28"/>
          <w:lang w:val="en-US"/>
        </w:rPr>
        <w:t>提高规模以上养殖场粪污处理设施配建标准。</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2022年底，所有畜禽规模养殖场粪污处理设施配建全部达到二级以上水平，9家二级水平规模养殖场向一级提档升级。</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w:t>
      </w:r>
      <w:r>
        <w:rPr>
          <w:rFonts w:hint="eastAsia" w:ascii="Times New Roman" w:hAnsi="Times New Roman"/>
          <w:sz w:val="28"/>
          <w:szCs w:val="28"/>
          <w:lang w:val="en-US"/>
        </w:rPr>
        <w:t>加强</w:t>
      </w:r>
      <w:r>
        <w:rPr>
          <w:rFonts w:ascii="Times New Roman" w:hAnsi="Times New Roman"/>
          <w:sz w:val="28"/>
          <w:szCs w:val="28"/>
          <w:lang w:val="en-US"/>
        </w:rPr>
        <w:t>规模以下养殖场（户）</w:t>
      </w:r>
      <w:r>
        <w:rPr>
          <w:rFonts w:hint="eastAsia" w:ascii="Times New Roman" w:hAnsi="Times New Roman"/>
          <w:sz w:val="28"/>
          <w:szCs w:val="28"/>
          <w:lang w:val="en-US"/>
        </w:rPr>
        <w:t>养殖废弃物管控</w:t>
      </w:r>
      <w:r>
        <w:rPr>
          <w:rFonts w:ascii="Times New Roman" w:hAnsi="Times New Roman"/>
          <w:sz w:val="28"/>
          <w:szCs w:val="28"/>
          <w:lang w:val="en-US"/>
        </w:rPr>
        <w:t>。</w:t>
      </w:r>
    </w:p>
    <w:p>
      <w:pPr>
        <w:pStyle w:val="2"/>
        <w:ind w:firstLine="560" w:firstLineChars="200"/>
        <w:rPr>
          <w:rFonts w:ascii="Times New Roman" w:hAnsi="Times New Roman"/>
          <w:sz w:val="28"/>
          <w:szCs w:val="28"/>
          <w:lang w:val="en-US"/>
        </w:rPr>
      </w:pPr>
      <w:r>
        <w:rPr>
          <w:rFonts w:hint="eastAsia" w:ascii="Times New Roman" w:hAnsi="Times New Roman"/>
          <w:sz w:val="28"/>
          <w:szCs w:val="28"/>
          <w:lang w:val="en-US"/>
        </w:rPr>
        <w:t>推动规模以下畜禽养殖户配套粪污处理设施</w:t>
      </w:r>
      <w:r>
        <w:rPr>
          <w:rFonts w:ascii="Times New Roman" w:hAnsi="Times New Roman"/>
          <w:sz w:val="28"/>
          <w:szCs w:val="28"/>
          <w:lang w:val="en-US"/>
        </w:rPr>
        <w:t>，到2025年底</w:t>
      </w:r>
      <w:r>
        <w:rPr>
          <w:rFonts w:hint="eastAsia" w:ascii="Times New Roman" w:hAnsi="Times New Roman"/>
          <w:sz w:val="28"/>
          <w:szCs w:val="28"/>
          <w:lang w:val="en-US"/>
        </w:rPr>
        <w:t>基本实现</w:t>
      </w:r>
      <w:r>
        <w:rPr>
          <w:rFonts w:ascii="Times New Roman" w:hAnsi="Times New Roman"/>
          <w:sz w:val="28"/>
          <w:szCs w:val="28"/>
          <w:lang w:val="en-US"/>
        </w:rPr>
        <w:t>规模以下养殖场（户）粪污处理</w:t>
      </w:r>
      <w:r>
        <w:rPr>
          <w:rFonts w:hint="eastAsia" w:ascii="Times New Roman" w:hAnsi="Times New Roman"/>
          <w:sz w:val="28"/>
          <w:szCs w:val="28"/>
          <w:lang w:val="en-US"/>
        </w:rPr>
        <w:t>利用</w:t>
      </w:r>
      <w:r>
        <w:rPr>
          <w:rFonts w:ascii="Times New Roman" w:hAnsi="Times New Roman"/>
          <w:sz w:val="28"/>
          <w:szCs w:val="28"/>
          <w:lang w:val="en-US"/>
        </w:rPr>
        <w:t>。</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4）加强畜禽粪污资源化利用。完善规模畜禽养殖场（户）粪污收集贮存配套设施，提升粪污资源化利用水平，加强粪污资源化利用计划和台账管理。培育壮大一批粪肥收运和田间施用服务市场主体，健全粪污收储运体系。打通种养结合通道，加快建设田间粪肥施用设施，鼓励覆土施肥，沟施及注射式深施等精细化施肥方式，促进粪肥科学适量施用，实现粪污就地就近循环利用。到2025年，畜禽规模养殖场粪污处理设施装备配套率继续保持100%，总体畜禽粪污综合利用率达到90%。</w:t>
      </w:r>
    </w:p>
    <w:p>
      <w:pPr>
        <w:pStyle w:val="2"/>
        <w:ind w:firstLine="560" w:firstLineChars="200"/>
        <w:rPr>
          <w:rFonts w:ascii="Times New Roman" w:hAnsi="Times New Roman"/>
          <w:sz w:val="28"/>
          <w:szCs w:val="28"/>
          <w:lang w:val="en-US"/>
        </w:rPr>
      </w:pPr>
      <w:r>
        <w:rPr>
          <w:rFonts w:hint="eastAsia" w:ascii="Times New Roman" w:hAnsi="Times New Roman"/>
          <w:sz w:val="28"/>
          <w:szCs w:val="28"/>
          <w:lang w:val="en-US"/>
        </w:rPr>
        <w:t>（5）畜禽规模养殖场粪污资源化利用台账建设率100%。</w:t>
      </w:r>
    </w:p>
    <w:p>
      <w:pPr>
        <w:pStyle w:val="2"/>
        <w:ind w:firstLine="560" w:firstLineChars="200"/>
        <w:rPr>
          <w:rFonts w:ascii="Times New Roman" w:hAnsi="Times New Roman"/>
          <w:sz w:val="28"/>
          <w:szCs w:val="28"/>
          <w:lang w:val="en-US"/>
        </w:rPr>
      </w:pPr>
      <w:r>
        <w:rPr>
          <w:rFonts w:hint="eastAsia" w:ascii="Times New Roman" w:hAnsi="Times New Roman"/>
          <w:sz w:val="28"/>
          <w:szCs w:val="28"/>
          <w:lang w:val="en-US"/>
        </w:rPr>
        <w:t>（6）设排污口的规模化畜禽养殖场自行监测覆盖率100%，大型规模养殖场氨排放总量削减比例5%。</w:t>
      </w:r>
    </w:p>
    <w:p>
      <w:pPr>
        <w:spacing w:line="360" w:lineRule="auto"/>
        <w:jc w:val="center"/>
        <w:rPr>
          <w:rFonts w:eastAsia="黑体"/>
          <w:b/>
          <w:bCs/>
          <w:szCs w:val="21"/>
        </w:rPr>
      </w:pPr>
      <w:r>
        <w:rPr>
          <w:rFonts w:eastAsia="黑体"/>
          <w:b/>
          <w:bCs/>
          <w:szCs w:val="21"/>
        </w:rPr>
        <w:t>表3.2-1 具体目标一览表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050"/>
        <w:gridCol w:w="1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pPr>
              <w:jc w:val="center"/>
              <w:rPr>
                <w:rFonts w:eastAsia="黑体"/>
                <w:b/>
                <w:bCs/>
                <w:szCs w:val="21"/>
              </w:rPr>
            </w:pPr>
            <w:bookmarkStart w:id="282" w:name="_Toc19664"/>
            <w:r>
              <w:rPr>
                <w:rFonts w:eastAsia="黑体"/>
                <w:b/>
                <w:bCs/>
                <w:szCs w:val="21"/>
              </w:rPr>
              <w:t>序号</w:t>
            </w:r>
            <w:bookmarkEnd w:id="282"/>
          </w:p>
        </w:tc>
        <w:tc>
          <w:tcPr>
            <w:tcW w:w="7050" w:type="dxa"/>
            <w:tcBorders>
              <w:tl2br w:val="nil"/>
              <w:tr2bl w:val="nil"/>
            </w:tcBorders>
            <w:vAlign w:val="center"/>
          </w:tcPr>
          <w:p>
            <w:pPr>
              <w:jc w:val="center"/>
              <w:rPr>
                <w:rFonts w:eastAsia="黑体"/>
                <w:b/>
                <w:bCs/>
                <w:szCs w:val="21"/>
              </w:rPr>
            </w:pPr>
            <w:bookmarkStart w:id="283" w:name="_Toc12002"/>
            <w:r>
              <w:rPr>
                <w:rFonts w:eastAsia="黑体"/>
                <w:b/>
                <w:bCs/>
                <w:szCs w:val="21"/>
              </w:rPr>
              <w:t>具体目标</w:t>
            </w:r>
            <w:bookmarkEnd w:id="283"/>
          </w:p>
        </w:tc>
        <w:tc>
          <w:tcPr>
            <w:tcW w:w="1240" w:type="dxa"/>
            <w:tcBorders>
              <w:tl2br w:val="nil"/>
              <w:tr2bl w:val="nil"/>
            </w:tcBorders>
            <w:vAlign w:val="center"/>
          </w:tcPr>
          <w:p>
            <w:pPr>
              <w:jc w:val="center"/>
              <w:rPr>
                <w:rFonts w:eastAsia="黑体"/>
                <w:b/>
                <w:bCs/>
                <w:szCs w:val="21"/>
              </w:rPr>
            </w:pPr>
            <w:bookmarkStart w:id="284" w:name="_Toc26045"/>
            <w:r>
              <w:rPr>
                <w:rFonts w:eastAsia="黑体"/>
                <w:b/>
                <w:bCs/>
                <w:szCs w:val="21"/>
              </w:rPr>
              <w:t>实施年份</w:t>
            </w:r>
            <w:bookmarkEnd w:id="28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pPr>
              <w:jc w:val="center"/>
              <w:rPr>
                <w:rFonts w:eastAsia="黑体"/>
                <w:szCs w:val="21"/>
              </w:rPr>
            </w:pPr>
            <w:bookmarkStart w:id="285" w:name="_Toc1767"/>
            <w:r>
              <w:rPr>
                <w:rFonts w:eastAsia="黑体"/>
                <w:szCs w:val="21"/>
              </w:rPr>
              <w:t>1</w:t>
            </w:r>
            <w:bookmarkEnd w:id="285"/>
          </w:p>
        </w:tc>
        <w:tc>
          <w:tcPr>
            <w:tcW w:w="7050" w:type="dxa"/>
            <w:tcBorders>
              <w:tl2br w:val="nil"/>
              <w:tr2bl w:val="nil"/>
            </w:tcBorders>
            <w:vAlign w:val="center"/>
          </w:tcPr>
          <w:p>
            <w:pPr>
              <w:rPr>
                <w:rFonts w:eastAsia="黑体"/>
                <w:szCs w:val="21"/>
              </w:rPr>
            </w:pPr>
            <w:r>
              <w:rPr>
                <w:rFonts w:eastAsia="黑体"/>
                <w:szCs w:val="21"/>
              </w:rPr>
              <w:t>完成禁养区内规模化养殖场的关闭及拆迁工作</w:t>
            </w:r>
          </w:p>
        </w:tc>
        <w:tc>
          <w:tcPr>
            <w:tcW w:w="1240" w:type="dxa"/>
            <w:tcBorders>
              <w:tl2br w:val="nil"/>
              <w:tr2bl w:val="nil"/>
            </w:tcBorders>
            <w:vAlign w:val="center"/>
          </w:tcPr>
          <w:p>
            <w:pPr>
              <w:jc w:val="center"/>
              <w:rPr>
                <w:rFonts w:eastAsia="黑体"/>
                <w:szCs w:val="21"/>
              </w:rPr>
            </w:pPr>
            <w:r>
              <w:rPr>
                <w:rFonts w:eastAsia="黑体"/>
                <w:szCs w:val="21"/>
              </w:rPr>
              <w:t>到2025年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pPr>
              <w:jc w:val="center"/>
              <w:rPr>
                <w:rFonts w:eastAsia="黑体"/>
                <w:szCs w:val="21"/>
              </w:rPr>
            </w:pPr>
            <w:bookmarkStart w:id="286" w:name="_Toc31612"/>
            <w:r>
              <w:rPr>
                <w:rFonts w:eastAsia="黑体"/>
                <w:szCs w:val="21"/>
              </w:rPr>
              <w:t>2</w:t>
            </w:r>
            <w:bookmarkEnd w:id="286"/>
          </w:p>
        </w:tc>
        <w:tc>
          <w:tcPr>
            <w:tcW w:w="7050" w:type="dxa"/>
            <w:tcBorders>
              <w:tl2br w:val="nil"/>
              <w:tr2bl w:val="nil"/>
            </w:tcBorders>
            <w:vAlign w:val="center"/>
          </w:tcPr>
          <w:p>
            <w:pPr>
              <w:rPr>
                <w:rFonts w:eastAsia="黑体"/>
                <w:szCs w:val="21"/>
              </w:rPr>
            </w:pPr>
            <w:r>
              <w:rPr>
                <w:rFonts w:eastAsia="黑体"/>
                <w:szCs w:val="21"/>
              </w:rPr>
              <w:t>所有畜禽规模养殖场粪污处理设施配建全部达到二级以上水平，9家二级水平规模养殖场向一级提档升级。</w:t>
            </w:r>
          </w:p>
        </w:tc>
        <w:tc>
          <w:tcPr>
            <w:tcW w:w="1240" w:type="dxa"/>
            <w:tcBorders>
              <w:tl2br w:val="nil"/>
              <w:tr2bl w:val="nil"/>
            </w:tcBorders>
            <w:vAlign w:val="center"/>
          </w:tcPr>
          <w:p>
            <w:pPr>
              <w:jc w:val="center"/>
              <w:rPr>
                <w:rFonts w:eastAsia="黑体"/>
                <w:szCs w:val="21"/>
              </w:rPr>
            </w:pPr>
            <w:r>
              <w:rPr>
                <w:rFonts w:eastAsia="黑体"/>
                <w:szCs w:val="21"/>
              </w:rPr>
              <w:t>到2022年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pPr>
              <w:jc w:val="center"/>
              <w:rPr>
                <w:rFonts w:eastAsia="黑体"/>
                <w:szCs w:val="21"/>
              </w:rPr>
            </w:pPr>
            <w:bookmarkStart w:id="287" w:name="_Toc19506"/>
            <w:r>
              <w:rPr>
                <w:rFonts w:eastAsia="黑体"/>
                <w:szCs w:val="21"/>
              </w:rPr>
              <w:t>3</w:t>
            </w:r>
            <w:bookmarkEnd w:id="287"/>
          </w:p>
        </w:tc>
        <w:tc>
          <w:tcPr>
            <w:tcW w:w="7050" w:type="dxa"/>
            <w:tcBorders>
              <w:tl2br w:val="nil"/>
              <w:tr2bl w:val="nil"/>
            </w:tcBorders>
            <w:vAlign w:val="center"/>
          </w:tcPr>
          <w:p>
            <w:pPr>
              <w:rPr>
                <w:rFonts w:eastAsia="黑体"/>
                <w:szCs w:val="21"/>
                <w:highlight w:val="green"/>
              </w:rPr>
            </w:pPr>
            <w:r>
              <w:rPr>
                <w:rFonts w:eastAsia="黑体"/>
                <w:szCs w:val="21"/>
              </w:rPr>
              <w:t>推动规模以下畜禽养殖户配套粪污处理设施，到2025年底基本实现规模以下养殖场（户）粪污处理利用。</w:t>
            </w:r>
          </w:p>
        </w:tc>
        <w:tc>
          <w:tcPr>
            <w:tcW w:w="1240" w:type="dxa"/>
            <w:tcBorders>
              <w:tl2br w:val="nil"/>
              <w:tr2bl w:val="nil"/>
            </w:tcBorders>
            <w:vAlign w:val="center"/>
          </w:tcPr>
          <w:p>
            <w:pPr>
              <w:jc w:val="center"/>
              <w:rPr>
                <w:rFonts w:eastAsia="黑体"/>
                <w:szCs w:val="21"/>
              </w:rPr>
            </w:pPr>
            <w:r>
              <w:rPr>
                <w:rFonts w:eastAsia="黑体"/>
                <w:szCs w:val="21"/>
              </w:rPr>
              <w:t>到202</w:t>
            </w:r>
            <w:r>
              <w:rPr>
                <w:rFonts w:hint="eastAsia" w:eastAsia="黑体"/>
                <w:szCs w:val="21"/>
              </w:rPr>
              <w:t>5</w:t>
            </w:r>
            <w:r>
              <w:rPr>
                <w:rFonts w:eastAsia="黑体"/>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pPr>
              <w:jc w:val="center"/>
              <w:rPr>
                <w:rFonts w:eastAsia="黑体"/>
                <w:szCs w:val="21"/>
              </w:rPr>
            </w:pPr>
            <w:r>
              <w:rPr>
                <w:rFonts w:eastAsia="黑体"/>
                <w:szCs w:val="21"/>
              </w:rPr>
              <w:t>4</w:t>
            </w:r>
          </w:p>
        </w:tc>
        <w:tc>
          <w:tcPr>
            <w:tcW w:w="7050" w:type="dxa"/>
            <w:tcBorders>
              <w:tl2br w:val="nil"/>
              <w:tr2bl w:val="nil"/>
            </w:tcBorders>
            <w:vAlign w:val="center"/>
          </w:tcPr>
          <w:p>
            <w:pPr>
              <w:rPr>
                <w:rFonts w:eastAsia="黑体"/>
                <w:szCs w:val="21"/>
              </w:rPr>
            </w:pPr>
            <w:r>
              <w:rPr>
                <w:rFonts w:eastAsia="黑体"/>
                <w:szCs w:val="21"/>
              </w:rPr>
              <w:t>畜禽规模养殖场粪污处理设施装备配套率继续保持100%，总体畜禽粪污综合利用率达到90%。</w:t>
            </w:r>
          </w:p>
        </w:tc>
        <w:tc>
          <w:tcPr>
            <w:tcW w:w="1240" w:type="dxa"/>
            <w:tcBorders>
              <w:tl2br w:val="nil"/>
              <w:tr2bl w:val="nil"/>
            </w:tcBorders>
            <w:vAlign w:val="center"/>
          </w:tcPr>
          <w:p>
            <w:pPr>
              <w:jc w:val="center"/>
              <w:rPr>
                <w:rFonts w:eastAsia="黑体"/>
                <w:szCs w:val="21"/>
              </w:rPr>
            </w:pPr>
            <w:r>
              <w:rPr>
                <w:rFonts w:eastAsia="黑体"/>
                <w:szCs w:val="21"/>
              </w:rPr>
              <w:t>到2025年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pPr>
              <w:jc w:val="center"/>
              <w:rPr>
                <w:rFonts w:eastAsia="黑体"/>
                <w:szCs w:val="21"/>
              </w:rPr>
            </w:pPr>
            <w:r>
              <w:rPr>
                <w:rFonts w:eastAsia="黑体"/>
                <w:szCs w:val="21"/>
              </w:rPr>
              <w:t>5</w:t>
            </w:r>
          </w:p>
        </w:tc>
        <w:tc>
          <w:tcPr>
            <w:tcW w:w="7050" w:type="dxa"/>
            <w:tcBorders>
              <w:tl2br w:val="nil"/>
              <w:tr2bl w:val="nil"/>
            </w:tcBorders>
            <w:vAlign w:val="center"/>
          </w:tcPr>
          <w:p>
            <w:pPr>
              <w:rPr>
                <w:rFonts w:eastAsia="黑体"/>
                <w:szCs w:val="21"/>
              </w:rPr>
            </w:pPr>
            <w:r>
              <w:rPr>
                <w:rFonts w:hint="eastAsia" w:eastAsia="黑体"/>
                <w:szCs w:val="21"/>
              </w:rPr>
              <w:t>畜禽规模养殖场粪污资源化利用台账建设率100%。</w:t>
            </w:r>
          </w:p>
        </w:tc>
        <w:tc>
          <w:tcPr>
            <w:tcW w:w="1240" w:type="dxa"/>
            <w:tcBorders>
              <w:tl2br w:val="nil"/>
              <w:tr2bl w:val="nil"/>
            </w:tcBorders>
            <w:vAlign w:val="center"/>
          </w:tcPr>
          <w:p>
            <w:pPr>
              <w:jc w:val="center"/>
              <w:rPr>
                <w:rFonts w:eastAsia="黑体"/>
                <w:szCs w:val="21"/>
              </w:rPr>
            </w:pPr>
            <w:r>
              <w:rPr>
                <w:rFonts w:eastAsia="黑体"/>
                <w:szCs w:val="21"/>
              </w:rPr>
              <w:t>到2025年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pPr>
              <w:jc w:val="center"/>
              <w:rPr>
                <w:rFonts w:eastAsia="黑体"/>
                <w:szCs w:val="21"/>
              </w:rPr>
            </w:pPr>
            <w:bookmarkStart w:id="288" w:name="_Toc23943"/>
            <w:bookmarkStart w:id="289" w:name="_Toc6141"/>
            <w:bookmarkStart w:id="290" w:name="_Toc26479"/>
            <w:bookmarkStart w:id="291" w:name="_Toc20753"/>
            <w:bookmarkStart w:id="292" w:name="_Toc19748"/>
            <w:r>
              <w:rPr>
                <w:rFonts w:hint="eastAsia" w:eastAsia="黑体"/>
                <w:szCs w:val="21"/>
              </w:rPr>
              <w:t>6</w:t>
            </w:r>
          </w:p>
        </w:tc>
        <w:tc>
          <w:tcPr>
            <w:tcW w:w="7050" w:type="dxa"/>
            <w:tcBorders>
              <w:tl2br w:val="nil"/>
              <w:tr2bl w:val="nil"/>
            </w:tcBorders>
            <w:vAlign w:val="center"/>
          </w:tcPr>
          <w:p>
            <w:pPr>
              <w:rPr>
                <w:rFonts w:eastAsia="黑体"/>
                <w:szCs w:val="21"/>
              </w:rPr>
            </w:pPr>
            <w:r>
              <w:rPr>
                <w:rFonts w:hint="eastAsia" w:eastAsia="黑体"/>
                <w:szCs w:val="21"/>
              </w:rPr>
              <w:t>设排污口的规模化畜禽养殖场自行监测覆盖率100%，大型规模养殖场氨排放总量削减比例5%。</w:t>
            </w:r>
          </w:p>
        </w:tc>
        <w:tc>
          <w:tcPr>
            <w:tcW w:w="1240" w:type="dxa"/>
            <w:tcBorders>
              <w:tl2br w:val="nil"/>
              <w:tr2bl w:val="nil"/>
            </w:tcBorders>
            <w:vAlign w:val="center"/>
          </w:tcPr>
          <w:p>
            <w:pPr>
              <w:jc w:val="center"/>
              <w:rPr>
                <w:rFonts w:eastAsia="黑体"/>
                <w:szCs w:val="21"/>
              </w:rPr>
            </w:pPr>
            <w:r>
              <w:rPr>
                <w:rFonts w:eastAsia="黑体"/>
                <w:szCs w:val="21"/>
              </w:rPr>
              <w:t>到2025年</w:t>
            </w:r>
          </w:p>
        </w:tc>
      </w:tr>
      <w:bookmarkEnd w:id="273"/>
      <w:bookmarkEnd w:id="274"/>
      <w:bookmarkEnd w:id="275"/>
      <w:bookmarkEnd w:id="276"/>
      <w:bookmarkEnd w:id="277"/>
    </w:tbl>
    <w:p>
      <w:pPr>
        <w:pStyle w:val="5"/>
        <w:spacing w:before="312" w:after="312"/>
        <w:rPr>
          <w:rFonts w:ascii="Times New Roman" w:hAnsi="Times New Roman" w:cs="Times New Roman"/>
          <w:lang w:val="en-US"/>
        </w:rPr>
      </w:pPr>
      <w:bookmarkStart w:id="293" w:name="_Toc29759"/>
      <w:r>
        <w:rPr>
          <w:rFonts w:ascii="Times New Roman" w:hAnsi="Times New Roman" w:cs="Times New Roman"/>
          <w:lang w:val="en-US"/>
        </w:rPr>
        <w:t>3.3畜禽养殖环境承载力分析</w:t>
      </w:r>
      <w:bookmarkEnd w:id="288"/>
      <w:bookmarkEnd w:id="289"/>
      <w:bookmarkEnd w:id="290"/>
      <w:bookmarkEnd w:id="291"/>
      <w:bookmarkEnd w:id="292"/>
      <w:bookmarkEnd w:id="293"/>
    </w:p>
    <w:p>
      <w:pPr>
        <w:pStyle w:val="2"/>
        <w:ind w:firstLine="560" w:firstLineChars="200"/>
        <w:rPr>
          <w:rFonts w:ascii="Times New Roman" w:hAnsi="Times New Roman"/>
          <w:sz w:val="28"/>
          <w:szCs w:val="28"/>
          <w:lang w:val="en-US"/>
        </w:rPr>
      </w:pPr>
      <w:r>
        <w:rPr>
          <w:rFonts w:ascii="Times New Roman" w:hAnsi="Times New Roman"/>
          <w:sz w:val="28"/>
          <w:szCs w:val="28"/>
          <w:lang w:val="en-US"/>
        </w:rPr>
        <w:t>畜禽养殖环境承载力分析包括畜禽粪污土地承载力、水环境和水资源承载力测算等内容。由于徐水区全区禁止排放污水，徐水区的畜禽养殖场（户）生产过程中不排放污水，因此本规划仅对畜禽粪污土地承载力进行分析。</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畜禽粪污土地承载力是指在土地生态系统可持续运行的条件下，一定区域内耕读、林地、草地等所能承载的最大畜禽存栏量。土地承载力是畜禽粪污资源化利用工作推进过程中用于指导畜禽粪污还田，及时调整养殖量的重要指标。对于畜牧养殖场集中区域，如果养殖猪当量大于该区域土地承载力，就能给予地方主管部门指导，及时调整养殖情况，缩减养殖量，规范区域养殖情况。对于希望扩大畜禽养殖业发展的地区，可以指导当地畜禽养殖业发展，制定合理科学的畜禽养殖业发展规划。</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根据农业农村局提供的资料，2021年徐水区小麦播种面积414300亩，玉米播种面积408600亩，蔬菜播种面积42904亩，果树播种面积17905亩，花生播种面积8314亩，总共可消纳折算猪当量1088000头。目前，2021年徐水区养殖量折算猪当量约483735头。由此可见，徐水区现有土地种植消纳承载能力完全能够消纳畜禽养殖产生的粪污中含有的氮和磷，并且畜禽养殖业还有很大的发展空间。</w:t>
      </w:r>
    </w:p>
    <w:p>
      <w:pPr>
        <w:spacing w:line="360" w:lineRule="auto"/>
        <w:jc w:val="center"/>
        <w:rPr>
          <w:rFonts w:eastAsia="黑体"/>
          <w:b/>
          <w:bCs/>
          <w:szCs w:val="21"/>
        </w:rPr>
      </w:pPr>
      <w:r>
        <w:rPr>
          <w:rFonts w:eastAsia="黑体"/>
          <w:b/>
          <w:bCs/>
          <w:szCs w:val="21"/>
        </w:rPr>
        <w:t>表3.3-1徐水区畜禽粪污土地承载力一览表</w:t>
      </w:r>
    </w:p>
    <w:tbl>
      <w:tblPr>
        <w:tblStyle w:val="23"/>
        <w:tblW w:w="72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1246"/>
        <w:gridCol w:w="1080"/>
        <w:gridCol w:w="1080"/>
        <w:gridCol w:w="1845"/>
        <w:gridCol w:w="2012"/>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570" w:hRule="atLeast"/>
          <w:jc w:val="center"/>
        </w:trPr>
        <w:tc>
          <w:tcPr>
            <w:tcW w:w="2326" w:type="dxa"/>
            <w:gridSpan w:val="2"/>
            <w:tcBorders>
              <w:tl2br w:val="nil"/>
              <w:tr2bl w:val="nil"/>
            </w:tcBorders>
            <w:shd w:val="clear" w:color="auto" w:fill="auto"/>
            <w:vAlign w:val="center"/>
          </w:tcPr>
          <w:p>
            <w:pPr>
              <w:widowControl/>
              <w:jc w:val="center"/>
              <w:textAlignment w:val="center"/>
              <w:rPr>
                <w:rFonts w:eastAsia="黑体"/>
                <w:b/>
                <w:bCs/>
                <w:color w:val="000000"/>
                <w:szCs w:val="21"/>
              </w:rPr>
            </w:pPr>
            <w:r>
              <w:rPr>
                <w:rFonts w:eastAsia="黑体"/>
                <w:b/>
                <w:bCs/>
                <w:color w:val="000000"/>
                <w:kern w:val="0"/>
                <w:szCs w:val="21"/>
                <w:lang w:bidi="ar"/>
              </w:rPr>
              <w:t>作物种类</w:t>
            </w:r>
          </w:p>
        </w:tc>
        <w:tc>
          <w:tcPr>
            <w:tcW w:w="1080" w:type="dxa"/>
            <w:tcBorders>
              <w:tl2br w:val="nil"/>
              <w:tr2bl w:val="nil"/>
            </w:tcBorders>
            <w:shd w:val="clear" w:color="auto" w:fill="auto"/>
            <w:vAlign w:val="center"/>
          </w:tcPr>
          <w:p>
            <w:pPr>
              <w:widowControl/>
              <w:jc w:val="center"/>
              <w:textAlignment w:val="center"/>
              <w:rPr>
                <w:rFonts w:eastAsia="黑体"/>
                <w:b/>
                <w:bCs/>
                <w:color w:val="000000"/>
                <w:kern w:val="0"/>
                <w:szCs w:val="21"/>
                <w:lang w:bidi="ar"/>
              </w:rPr>
            </w:pPr>
            <w:r>
              <w:rPr>
                <w:rFonts w:eastAsia="黑体"/>
                <w:b/>
                <w:bCs/>
                <w:color w:val="000000"/>
                <w:kern w:val="0"/>
                <w:szCs w:val="21"/>
                <w:lang w:bidi="ar"/>
              </w:rPr>
              <w:t>面积</w:t>
            </w:r>
          </w:p>
          <w:p>
            <w:pPr>
              <w:widowControl/>
              <w:jc w:val="center"/>
              <w:textAlignment w:val="center"/>
              <w:rPr>
                <w:rFonts w:eastAsia="黑体"/>
                <w:b/>
                <w:bCs/>
                <w:color w:val="000000"/>
                <w:kern w:val="0"/>
                <w:szCs w:val="21"/>
                <w:lang w:bidi="ar"/>
              </w:rPr>
            </w:pPr>
            <w:r>
              <w:rPr>
                <w:rFonts w:eastAsia="黑体"/>
                <w:b/>
                <w:bCs/>
                <w:color w:val="000000"/>
                <w:kern w:val="0"/>
                <w:szCs w:val="21"/>
                <w:lang w:bidi="ar"/>
              </w:rPr>
              <w:t>（亩）</w:t>
            </w:r>
          </w:p>
        </w:tc>
        <w:tc>
          <w:tcPr>
            <w:tcW w:w="1845" w:type="dxa"/>
            <w:tcBorders>
              <w:tl2br w:val="nil"/>
              <w:tr2bl w:val="nil"/>
            </w:tcBorders>
            <w:shd w:val="clear" w:color="auto" w:fill="auto"/>
            <w:vAlign w:val="center"/>
          </w:tcPr>
          <w:p>
            <w:pPr>
              <w:widowControl/>
              <w:jc w:val="center"/>
              <w:textAlignment w:val="center"/>
              <w:rPr>
                <w:rFonts w:eastAsia="黑体"/>
                <w:b/>
                <w:bCs/>
                <w:color w:val="000000"/>
                <w:kern w:val="0"/>
                <w:szCs w:val="21"/>
                <w:lang w:bidi="ar"/>
              </w:rPr>
            </w:pPr>
            <w:r>
              <w:rPr>
                <w:rFonts w:eastAsia="黑体"/>
                <w:b/>
                <w:bCs/>
                <w:color w:val="000000"/>
                <w:kern w:val="0"/>
                <w:szCs w:val="21"/>
                <w:lang w:bidi="ar"/>
              </w:rPr>
              <w:t>单位土地承载力</w:t>
            </w:r>
          </w:p>
          <w:p>
            <w:pPr>
              <w:pStyle w:val="2"/>
              <w:spacing w:line="240" w:lineRule="auto"/>
              <w:ind w:firstLine="0"/>
              <w:jc w:val="center"/>
              <w:rPr>
                <w:rFonts w:ascii="Times New Roman" w:hAnsi="Times New Roman" w:eastAsia="黑体"/>
                <w:b/>
                <w:bCs/>
                <w:kern w:val="0"/>
                <w:sz w:val="21"/>
                <w:lang w:val="en-US" w:bidi="ar"/>
              </w:rPr>
            </w:pPr>
            <w:r>
              <w:rPr>
                <w:rFonts w:ascii="Times New Roman" w:hAnsi="Times New Roman" w:eastAsia="黑体"/>
                <w:b/>
                <w:bCs/>
                <w:kern w:val="0"/>
                <w:sz w:val="21"/>
                <w:lang w:val="en-US" w:bidi="ar"/>
              </w:rPr>
              <w:t>（亩/亩）</w:t>
            </w:r>
          </w:p>
        </w:tc>
        <w:tc>
          <w:tcPr>
            <w:tcW w:w="2012" w:type="dxa"/>
            <w:tcBorders>
              <w:tl2br w:val="nil"/>
              <w:tr2bl w:val="nil"/>
            </w:tcBorders>
            <w:shd w:val="clear" w:color="auto" w:fill="auto"/>
            <w:vAlign w:val="center"/>
          </w:tcPr>
          <w:p>
            <w:pPr>
              <w:widowControl/>
              <w:jc w:val="center"/>
              <w:textAlignment w:val="center"/>
              <w:rPr>
                <w:rFonts w:eastAsia="黑体"/>
                <w:b/>
                <w:bCs/>
                <w:color w:val="000000"/>
                <w:kern w:val="0"/>
                <w:szCs w:val="21"/>
                <w:lang w:bidi="ar"/>
              </w:rPr>
            </w:pPr>
            <w:r>
              <w:rPr>
                <w:rFonts w:eastAsia="黑体"/>
                <w:b/>
                <w:bCs/>
                <w:color w:val="000000"/>
                <w:kern w:val="0"/>
                <w:szCs w:val="21"/>
                <w:lang w:bidi="ar"/>
              </w:rPr>
              <w:t>土地承载力</w:t>
            </w:r>
          </w:p>
          <w:p>
            <w:pPr>
              <w:pStyle w:val="2"/>
              <w:spacing w:line="240" w:lineRule="auto"/>
              <w:ind w:firstLine="0"/>
              <w:jc w:val="center"/>
              <w:rPr>
                <w:rFonts w:ascii="Times New Roman" w:hAnsi="Times New Roman" w:eastAsia="黑体"/>
                <w:b/>
                <w:bCs/>
                <w:kern w:val="0"/>
                <w:sz w:val="21"/>
                <w:lang w:val="en-US" w:bidi="ar"/>
              </w:rPr>
            </w:pPr>
            <w:r>
              <w:rPr>
                <w:rFonts w:ascii="Times New Roman" w:hAnsi="Times New Roman" w:eastAsia="黑体"/>
                <w:b/>
                <w:bCs/>
                <w:kern w:val="0"/>
                <w:sz w:val="21"/>
                <w:lang w:val="en-US" w:bidi="ar"/>
              </w:rPr>
              <w:t>（头/头）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大田作物</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小麦</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414300</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497160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玉米</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408600</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490320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蔬菜</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黄瓜</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15494</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1.8</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27889.2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番茄</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11555</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2.1</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24265.5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青椒</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299</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2.0</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598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茄子</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2233</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2.0</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4466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大白菜</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10373</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12447.6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萝卜</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491</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1.1</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540.1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大葱</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2418</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0.9</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2176.2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大蒜</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41</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1.8</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73.8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restart"/>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果树</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桃</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2842</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0.5</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1421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葡萄</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903</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1.6</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1444.8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苹果</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4090</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0.8</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3272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梨</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450</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0.9</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405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pPr>
              <w:jc w:val="center"/>
              <w:rPr>
                <w:rFonts w:eastAsia="黑体"/>
                <w:color w:val="000000"/>
                <w:szCs w:val="21"/>
              </w:rPr>
            </w:pP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柑桔</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9620</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11544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经济作物</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油料</w:t>
            </w:r>
          </w:p>
        </w:tc>
        <w:tc>
          <w:tcPr>
            <w:tcW w:w="1080"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8314</w:t>
            </w:r>
          </w:p>
        </w:tc>
        <w:tc>
          <w:tcPr>
            <w:tcW w:w="1845"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pPr>
              <w:widowControl/>
              <w:jc w:val="center"/>
              <w:textAlignment w:val="center"/>
              <w:rPr>
                <w:rFonts w:eastAsia="黑体"/>
                <w:color w:val="000000"/>
                <w:szCs w:val="21"/>
              </w:rPr>
            </w:pPr>
            <w:r>
              <w:rPr>
                <w:rFonts w:eastAsia="黑体"/>
                <w:color w:val="000000"/>
                <w:kern w:val="0"/>
                <w:szCs w:val="21"/>
                <w:lang w:bidi="ar"/>
              </w:rPr>
              <w:t>9976.8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5251" w:type="dxa"/>
            <w:gridSpan w:val="4"/>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合计</w:t>
            </w:r>
          </w:p>
        </w:tc>
        <w:tc>
          <w:tcPr>
            <w:tcW w:w="2012" w:type="dxa"/>
            <w:tcBorders>
              <w:tl2br w:val="nil"/>
              <w:tr2bl w:val="nil"/>
            </w:tcBorders>
            <w:shd w:val="clear" w:color="auto" w:fill="auto"/>
            <w:vAlign w:val="center"/>
          </w:tcPr>
          <w:p>
            <w:pPr>
              <w:widowControl/>
              <w:jc w:val="center"/>
              <w:textAlignment w:val="center"/>
              <w:rPr>
                <w:rFonts w:eastAsia="黑体"/>
                <w:color w:val="000000"/>
                <w:kern w:val="0"/>
                <w:szCs w:val="21"/>
                <w:lang w:bidi="ar"/>
              </w:rPr>
            </w:pPr>
            <w:r>
              <w:rPr>
                <w:rFonts w:eastAsia="黑体"/>
                <w:color w:val="000000"/>
                <w:kern w:val="0"/>
                <w:szCs w:val="21"/>
                <w:lang w:bidi="ar"/>
              </w:rPr>
              <w:t>1088000（头）</w:t>
            </w:r>
          </w:p>
        </w:tc>
      </w:tr>
      <w:bookmarkEnd w:id="263"/>
    </w:tbl>
    <w:p>
      <w:pPr>
        <w:pStyle w:val="5"/>
        <w:spacing w:before="312" w:after="312"/>
        <w:rPr>
          <w:rFonts w:ascii="Times New Roman" w:hAnsi="Times New Roman" w:cs="Times New Roman"/>
          <w:lang w:val="en-US"/>
        </w:rPr>
      </w:pPr>
      <w:bookmarkStart w:id="294" w:name="_Toc4457"/>
      <w:bookmarkStart w:id="295" w:name="_Toc4729"/>
      <w:bookmarkStart w:id="296" w:name="_Toc22149"/>
      <w:bookmarkStart w:id="297" w:name="_Toc24200"/>
      <w:bookmarkStart w:id="298" w:name="_Toc20923"/>
      <w:bookmarkStart w:id="299" w:name="_Toc5737"/>
      <w:bookmarkStart w:id="300" w:name="_Toc2904"/>
      <w:bookmarkStart w:id="301" w:name="_Toc2956"/>
      <w:r>
        <w:rPr>
          <w:rFonts w:ascii="Times New Roman" w:hAnsi="Times New Roman" w:cs="Times New Roman"/>
          <w:lang w:val="en-US"/>
        </w:rPr>
        <w:t>3.4目标可实现性分析</w:t>
      </w:r>
      <w:bookmarkEnd w:id="294"/>
    </w:p>
    <w:p>
      <w:pPr>
        <w:pStyle w:val="2"/>
        <w:ind w:firstLine="560" w:firstLineChars="200"/>
        <w:rPr>
          <w:rFonts w:ascii="Times New Roman" w:hAnsi="Times New Roman"/>
          <w:sz w:val="28"/>
          <w:szCs w:val="28"/>
          <w:lang w:val="en-US"/>
        </w:rPr>
      </w:pPr>
      <w:r>
        <w:rPr>
          <w:rFonts w:ascii="Times New Roman" w:hAnsi="Times New Roman"/>
          <w:sz w:val="28"/>
          <w:szCs w:val="28"/>
          <w:lang w:val="en-US"/>
        </w:rPr>
        <w:t>徐水区未来将进一步加强畜禽养殖污染防治工作，推广畜禽粪便污水分户收集、集中处理利用或分户收集利用模式，依托大型养殖企业或肥料生产企业或园林绿化企业发展以畜禽粪便为原料的沼气工程和有机肥生产工程等综合利用产业，到2025年全区畜禽粪污综合利用率达到90%以上，畜禽规模养殖场粪污处理设施装备配套率达到100%。从徐水区畜禽养殖现状、污染防治技术水平、经济可行性多方面分析，预期规划目标可以完成。</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在技术方面，规划提出的污染防治技术措施能够保障目标实现。技术措施主要包括：（1）制定规划总体目标，提出分区污染防治目标计划；（2）提出推荐的畜禽养殖污染防治技术方案；（3）提出优化的畜禽养殖分布控制措施。本规划提出的各项技术措施均以常规污染防治措施为主，技术方法成熟稳定，技术可达性较高。</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在规划背景方面，城市化发展推动了标准化养殖发展。随着城市化发展和京津冀一小时生活圈建设，畜产品消费不断增加，畜产品市场准入门槛不断提高，推动了养殖场标准化改造和标准化管理的发展，养殖场用于标准化改造投入逐年加大。京津冀协同发展畜牧兽医合作框架协议中规定，到2020年</w:t>
      </w:r>
      <w:r>
        <w:fldChar w:fldCharType="begin"/>
      </w:r>
      <w:r>
        <w:instrText xml:space="preserve"> HYPERLINK "http://search.xinmin.cn/?q=京津冀地区" \t "_blank" </w:instrText>
      </w:r>
      <w:r>
        <w:fldChar w:fldCharType="separate"/>
      </w:r>
      <w:r>
        <w:rPr>
          <w:rFonts w:ascii="Times New Roman" w:hAnsi="Times New Roman"/>
          <w:sz w:val="28"/>
          <w:szCs w:val="28"/>
          <w:lang w:val="en-US"/>
        </w:rPr>
        <w:t>京津冀地区</w:t>
      </w:r>
      <w:r>
        <w:rPr>
          <w:rFonts w:ascii="Times New Roman" w:hAnsi="Times New Roman"/>
          <w:sz w:val="28"/>
          <w:szCs w:val="28"/>
          <w:lang w:val="en-US"/>
        </w:rPr>
        <w:fldChar w:fldCharType="end"/>
      </w:r>
      <w:r>
        <w:rPr>
          <w:rFonts w:ascii="Times New Roman" w:hAnsi="Times New Roman"/>
          <w:sz w:val="28"/>
          <w:szCs w:val="28"/>
          <w:lang w:val="en-US"/>
        </w:rPr>
        <w:t>率先基本实现</w:t>
      </w:r>
      <w:r>
        <w:fldChar w:fldCharType="begin"/>
      </w:r>
      <w:r>
        <w:instrText xml:space="preserve"> HYPERLINK "http://search.xinmin.cn/?q=畜牧业现代化" \t "_blank" </w:instrText>
      </w:r>
      <w:r>
        <w:fldChar w:fldCharType="separate"/>
      </w:r>
      <w:r>
        <w:rPr>
          <w:rFonts w:ascii="Times New Roman" w:hAnsi="Times New Roman"/>
          <w:sz w:val="28"/>
          <w:szCs w:val="28"/>
          <w:lang w:val="en-US"/>
        </w:rPr>
        <w:t>畜牧业现代化</w:t>
      </w:r>
      <w:r>
        <w:rPr>
          <w:rFonts w:ascii="Times New Roman" w:hAnsi="Times New Roman"/>
          <w:sz w:val="28"/>
          <w:szCs w:val="28"/>
          <w:lang w:val="en-US"/>
        </w:rPr>
        <w:fldChar w:fldCharType="end"/>
      </w:r>
      <w:r>
        <w:rPr>
          <w:rFonts w:ascii="Times New Roman" w:hAnsi="Times New Roman"/>
          <w:sz w:val="28"/>
          <w:szCs w:val="28"/>
          <w:lang w:val="en-US"/>
        </w:rPr>
        <w:t>，疏解京津地区畜牧业生产能力和生态压力，河北供京津</w:t>
      </w:r>
      <w:r>
        <w:fldChar w:fldCharType="begin"/>
      </w:r>
      <w:r>
        <w:instrText xml:space="preserve"> HYPERLINK "http://search.xinmin.cn/?q=肉蛋" \t "_blank" </w:instrText>
      </w:r>
      <w:r>
        <w:fldChar w:fldCharType="separate"/>
      </w:r>
      <w:r>
        <w:rPr>
          <w:rFonts w:ascii="Times New Roman" w:hAnsi="Times New Roman"/>
          <w:sz w:val="28"/>
          <w:szCs w:val="28"/>
          <w:lang w:val="en-US"/>
        </w:rPr>
        <w:t>肉、蛋</w:t>
      </w:r>
      <w:r>
        <w:rPr>
          <w:rFonts w:ascii="Times New Roman" w:hAnsi="Times New Roman"/>
          <w:sz w:val="28"/>
          <w:szCs w:val="28"/>
          <w:lang w:val="en-US"/>
        </w:rPr>
        <w:fldChar w:fldCharType="end"/>
      </w:r>
      <w:r>
        <w:rPr>
          <w:rFonts w:ascii="Times New Roman" w:hAnsi="Times New Roman"/>
          <w:sz w:val="28"/>
          <w:szCs w:val="28"/>
          <w:lang w:val="en-US"/>
        </w:rPr>
        <w:t>、奶等“菜篮子”产品占比提高10个百分点以上。京津巨大的消费市场、庞大的高收入群体为河北动物食品进入京津市场提供了新的难得的机遇，也为本规划的目标提供了可行性。</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在经济方面，资金落实到位能够保障畜禽污染防治工作的顺利开展。随着国家和社会对环境改善需求的日益加强，在畜禽养殖防治上势必会投入更多资金。通过积极申请畜禽养殖污染防治专项资金，采取补贴的方式动员养殖场利用自有资金进行防治措施升级改造，可为徐水区畜禽养殖污染防治工作提供资金支持，减轻地方资金压力。国务院办公厅《关于加快转变农业发展方式的意见》（国办发〔2015〕59号）指出“统筹考虑种养规模和环境消纳能力，积极开展种养结合循环农业试点示范。”提高土壤地力，增加有机质，消纳畜禽粪污，减少污染，进行资源化利用，畜禽养殖必会有其空间，并成为循环农业、生态农业不可或缺的组成部分。国家对农业（包括畜牧业）的投入只增不减。本规划提出的任务措施与资金需求具有经济可达性。</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在规划任务方面，徐水区畜禽污染防治工作基础扎实，在规划期内能够实现规划徐水区2021年畜禽养殖量约为48.37万头左右（以猪当量计算），全区最大畜禽养殖量为108.80万头（以猪当量计），远未达到区域环境承载力。徐水区已开展的规模以上畜禽养殖场标准化、废弃物资源综合利用、种养结合等工作基础上，持续抓好各项任务落实，能够实现规划目标。</w:t>
      </w:r>
    </w:p>
    <w:p>
      <w:pPr>
        <w:pStyle w:val="2"/>
        <w:ind w:firstLine="560" w:firstLineChars="200"/>
        <w:rPr>
          <w:rFonts w:ascii="Times New Roman" w:hAnsi="Times New Roman"/>
          <w:sz w:val="28"/>
          <w:szCs w:val="28"/>
        </w:rPr>
        <w:sectPr>
          <w:pgSz w:w="11906" w:h="16838"/>
          <w:pgMar w:top="1701" w:right="1417" w:bottom="1417" w:left="1701" w:header="851" w:footer="227" w:gutter="0"/>
          <w:cols w:space="720" w:num="1"/>
          <w:docGrid w:type="lines" w:linePitch="312" w:charSpace="0"/>
        </w:sectPr>
      </w:pPr>
      <w:r>
        <w:rPr>
          <w:rFonts w:ascii="Times New Roman" w:hAnsi="Times New Roman"/>
          <w:sz w:val="28"/>
          <w:szCs w:val="28"/>
          <w:lang w:val="en-US"/>
        </w:rPr>
        <w:t>基于以上原因分析，规划期内规划目标可以实现。</w:t>
      </w:r>
    </w:p>
    <w:p>
      <w:pPr>
        <w:pStyle w:val="4"/>
        <w:spacing w:before="312" w:after="312"/>
        <w:rPr>
          <w:rFonts w:ascii="Times New Roman" w:hAnsi="Times New Roman"/>
          <w:lang w:val="en-US"/>
        </w:rPr>
      </w:pPr>
      <w:bookmarkStart w:id="302" w:name="_Toc23677"/>
      <w:r>
        <w:rPr>
          <w:rFonts w:ascii="Times New Roman" w:hAnsi="Times New Roman"/>
          <w:lang w:val="en-US"/>
        </w:rPr>
        <w:t>4.</w:t>
      </w:r>
      <w:bookmarkEnd w:id="295"/>
      <w:bookmarkEnd w:id="296"/>
      <w:bookmarkEnd w:id="297"/>
      <w:bookmarkEnd w:id="298"/>
      <w:bookmarkEnd w:id="299"/>
      <w:bookmarkEnd w:id="300"/>
      <w:bookmarkEnd w:id="301"/>
      <w:r>
        <w:rPr>
          <w:rFonts w:ascii="Times New Roman" w:hAnsi="Times New Roman"/>
          <w:lang w:val="en-US"/>
        </w:rPr>
        <w:t>主要任务</w:t>
      </w:r>
      <w:bookmarkEnd w:id="302"/>
    </w:p>
    <w:p>
      <w:pPr>
        <w:pStyle w:val="5"/>
        <w:spacing w:before="312" w:after="312"/>
        <w:rPr>
          <w:rFonts w:ascii="Times New Roman" w:hAnsi="Times New Roman" w:cs="Times New Roman"/>
          <w:lang w:val="en-US"/>
        </w:rPr>
      </w:pPr>
      <w:bookmarkStart w:id="303" w:name="_Toc3385"/>
      <w:bookmarkStart w:id="304" w:name="_Toc6209"/>
      <w:bookmarkStart w:id="305" w:name="_Toc12902"/>
      <w:bookmarkStart w:id="306" w:name="_Toc19706"/>
      <w:bookmarkStart w:id="307" w:name="_Toc18342"/>
      <w:bookmarkStart w:id="308" w:name="_Toc26741"/>
      <w:bookmarkStart w:id="309" w:name="_Toc25771"/>
      <w:bookmarkStart w:id="310" w:name="_Toc7597"/>
      <w:r>
        <w:rPr>
          <w:rFonts w:ascii="Times New Roman" w:hAnsi="Times New Roman" w:cs="Times New Roman"/>
          <w:lang w:val="en-US"/>
        </w:rPr>
        <w:t>4.1畜禽养殖污染治理总体要求</w:t>
      </w:r>
      <w:bookmarkEnd w:id="303"/>
    </w:p>
    <w:p>
      <w:pPr>
        <w:pStyle w:val="2"/>
        <w:ind w:firstLine="560" w:firstLineChars="200"/>
        <w:rPr>
          <w:rFonts w:ascii="Times New Roman" w:hAnsi="Times New Roman"/>
          <w:sz w:val="28"/>
          <w:szCs w:val="28"/>
          <w:lang w:val="en-US"/>
        </w:rPr>
      </w:pPr>
      <w:r>
        <w:rPr>
          <w:rFonts w:ascii="Times New Roman" w:hAnsi="Times New Roman"/>
          <w:sz w:val="28"/>
          <w:szCs w:val="28"/>
          <w:lang w:val="en-US"/>
        </w:rPr>
        <w:t>大力推进畜禽养殖粪污资源化利用：合理选择资源化利用途径；依法科学施用畜禽粪肥；加强资源化利用台账管理。</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切实提升畜禽养殖污染防治水平：加快规模养殖场设施改造升级；严格畜禽养殖废水污染防治；深化畜禽养殖废气污染治理。</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全面加强畜禽养殖环境管理：推广畜禽养殖清洁化管理；加强规模以下养殖废弃物管控；强化畜禽养殖配套场所污染治理。</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严格畜禽养殖污染防治监管：强化日常监管；健全标准体系；完善监测体系；防范环境风险。</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着力构建畜禽养殖污染治理长效机制：动态管理畜禽养殖污染；建立健全服务督导机制；发挥典型示范引领作用。</w:t>
      </w:r>
    </w:p>
    <w:p>
      <w:pPr>
        <w:pStyle w:val="5"/>
        <w:spacing w:before="312" w:after="312"/>
        <w:rPr>
          <w:rFonts w:ascii="Times New Roman" w:hAnsi="Times New Roman" w:cs="Times New Roman"/>
          <w:lang w:val="en-US"/>
        </w:rPr>
      </w:pPr>
      <w:bookmarkStart w:id="311" w:name="_Toc6155"/>
      <w:r>
        <w:rPr>
          <w:rFonts w:ascii="Times New Roman" w:hAnsi="Times New Roman" w:cs="Times New Roman"/>
          <w:lang w:val="en-US"/>
        </w:rPr>
        <w:t>4.2畜禽养殖区域划分</w:t>
      </w:r>
      <w:bookmarkEnd w:id="304"/>
      <w:bookmarkEnd w:id="305"/>
      <w:bookmarkEnd w:id="306"/>
      <w:bookmarkEnd w:id="307"/>
      <w:bookmarkEnd w:id="308"/>
      <w:bookmarkEnd w:id="309"/>
      <w:bookmarkEnd w:id="310"/>
      <w:bookmarkEnd w:id="311"/>
    </w:p>
    <w:p>
      <w:pPr>
        <w:pStyle w:val="6"/>
        <w:numPr>
          <w:ilvl w:val="2"/>
          <w:numId w:val="0"/>
        </w:numPr>
        <w:spacing w:before="156" w:after="156"/>
      </w:pPr>
      <w:bookmarkStart w:id="312" w:name="_Toc14158"/>
      <w:bookmarkStart w:id="313" w:name="_Toc12157"/>
      <w:bookmarkStart w:id="314" w:name="_Toc6793"/>
      <w:bookmarkStart w:id="315" w:name="_Toc7743_WPSOffice_Level1"/>
      <w:bookmarkStart w:id="316" w:name="_Toc26220"/>
      <w:bookmarkStart w:id="317" w:name="_Toc15808"/>
      <w:r>
        <w:t>4.2.1划分依据</w:t>
      </w:r>
      <w:bookmarkEnd w:id="312"/>
      <w:bookmarkEnd w:id="313"/>
      <w:bookmarkEnd w:id="314"/>
    </w:p>
    <w:p>
      <w:pPr>
        <w:pStyle w:val="2"/>
        <w:ind w:firstLine="560" w:firstLineChars="200"/>
        <w:rPr>
          <w:rFonts w:ascii="Times New Roman" w:hAnsi="Times New Roman"/>
          <w:sz w:val="28"/>
          <w:szCs w:val="28"/>
          <w:lang w:val="en-US"/>
        </w:rPr>
      </w:pPr>
      <w:bookmarkStart w:id="318" w:name="_Toc9106"/>
      <w:r>
        <w:rPr>
          <w:rFonts w:ascii="Times New Roman" w:hAnsi="Times New Roman"/>
          <w:sz w:val="28"/>
          <w:szCs w:val="28"/>
          <w:lang w:val="en-US"/>
        </w:rPr>
        <w:t>根据《畜禽养殖禁养区划定技术指南》（环办水体[2016]99号）、《畜禽养殖业污染防治技术规范》（HJ/T81-2001）、《畜禽规模养殖污染防治条例》（国务院令第643号，2014年1月1日施行）及《保定市土壤污染防治工作领导小组办公室关于进一步规范全市畜禽养殖禁养区划定和管理促进生猪生产发展的通知》（保土领办[2019]5号）文件要求，结合徐水区实际情况，对《徐水区畜禽养殖禁养区和限养区划定方案》进行调整，调整后的《保定市徐水区畜禽养殖禁养区划定方案》。根据上述方案，划定的禁养区范围如下：</w:t>
      </w:r>
    </w:p>
    <w:bookmarkEnd w:id="318"/>
    <w:p>
      <w:pPr>
        <w:pStyle w:val="2"/>
        <w:ind w:firstLine="562" w:firstLineChars="20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lang w:val="en-US"/>
        </w:rPr>
        <w:t>1</w:t>
      </w:r>
      <w:r>
        <w:rPr>
          <w:rFonts w:ascii="Times New Roman" w:hAnsi="Times New Roman"/>
          <w:b/>
          <w:bCs/>
          <w:sz w:val="28"/>
          <w:szCs w:val="28"/>
        </w:rPr>
        <w:t>）饮用水水源保护区</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包括饮用水水源一级保护区和二级保护区的陆域范围。</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① 一级饮用水水源保护区</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南水北调总干渠：自满城县白堡村东北进入徐水区，途径3个乡镇13个行政村，全长13千米。总干渠徐水段为明渠，设计地下水位低于渠底的渠段，一级饮用水水源保护区范围按由工程管理范围边线（防护栏）向两侧外延50米。</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② 二级饮用水水源保护区</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南水北调总干渠二级水源保护区为一级饮用水水源保护区边线向两侧外延50-150米。</w:t>
      </w:r>
    </w:p>
    <w:p>
      <w:pPr>
        <w:spacing w:line="360" w:lineRule="auto"/>
        <w:ind w:firstLine="562" w:firstLineChars="200"/>
        <w:rPr>
          <w:b/>
          <w:bCs/>
          <w:sz w:val="28"/>
          <w:szCs w:val="28"/>
        </w:rPr>
      </w:pPr>
      <w:r>
        <w:rPr>
          <w:b/>
          <w:bCs/>
          <w:sz w:val="28"/>
          <w:szCs w:val="28"/>
        </w:rPr>
        <w:t>（2）城镇居民区和文化教育科学研究区</w:t>
      </w:r>
    </w:p>
    <w:p>
      <w:pPr>
        <w:spacing w:line="360" w:lineRule="auto"/>
        <w:ind w:firstLine="560" w:firstLineChars="200"/>
        <w:rPr>
          <w:sz w:val="28"/>
          <w:szCs w:val="28"/>
        </w:rPr>
      </w:pPr>
      <w:r>
        <w:rPr>
          <w:sz w:val="28"/>
          <w:szCs w:val="28"/>
        </w:rPr>
        <w:t>城镇建成区，面积12.8平方公里。</w:t>
      </w:r>
    </w:p>
    <w:p>
      <w:pPr>
        <w:spacing w:line="360" w:lineRule="auto"/>
        <w:ind w:firstLine="562" w:firstLineChars="200"/>
        <w:rPr>
          <w:b/>
          <w:bCs/>
          <w:sz w:val="28"/>
          <w:szCs w:val="28"/>
        </w:rPr>
      </w:pPr>
      <w:r>
        <w:rPr>
          <w:b/>
          <w:bCs/>
          <w:sz w:val="28"/>
          <w:szCs w:val="28"/>
        </w:rPr>
        <w:t>（3）法律法规规定的其他禁止建设畜禽养殖场的区域</w:t>
      </w:r>
    </w:p>
    <w:p>
      <w:pPr>
        <w:spacing w:line="360" w:lineRule="auto"/>
        <w:ind w:firstLine="560" w:firstLineChars="200"/>
        <w:rPr>
          <w:sz w:val="28"/>
          <w:szCs w:val="28"/>
        </w:rPr>
      </w:pPr>
      <w:r>
        <w:rPr>
          <w:sz w:val="28"/>
          <w:szCs w:val="28"/>
        </w:rPr>
        <w:t>瀑河水库、瀑河、漕河和萍河是三线一单优先保护区范围。一级饮用水水源保护区范围按由边线向两侧外延50米。二级饮用水水源保护区为一级饮用水水源保护区边线向两侧外延50-150米。</w:t>
      </w:r>
    </w:p>
    <w:p>
      <w:pPr>
        <w:pStyle w:val="6"/>
        <w:numPr>
          <w:ilvl w:val="2"/>
          <w:numId w:val="0"/>
        </w:numPr>
        <w:spacing w:before="156" w:after="156"/>
      </w:pPr>
      <w:bookmarkStart w:id="319" w:name="_Toc99"/>
      <w:bookmarkStart w:id="320" w:name="_Toc24278"/>
      <w:r>
        <w:t>4.2.2划分原则</w:t>
      </w:r>
      <w:bookmarkEnd w:id="319"/>
      <w:bookmarkEnd w:id="320"/>
    </w:p>
    <w:p>
      <w:pPr>
        <w:spacing w:line="360" w:lineRule="auto"/>
        <w:ind w:firstLine="560" w:firstLineChars="200"/>
        <w:rPr>
          <w:sz w:val="28"/>
          <w:szCs w:val="28"/>
        </w:rPr>
      </w:pPr>
      <w:bookmarkStart w:id="321" w:name="_Toc468861354"/>
      <w:r>
        <w:rPr>
          <w:sz w:val="28"/>
          <w:szCs w:val="28"/>
        </w:rPr>
        <w:t>（1）生态优先，可持续发展</w:t>
      </w:r>
    </w:p>
    <w:p>
      <w:pPr>
        <w:spacing w:line="360" w:lineRule="auto"/>
        <w:ind w:firstLine="560" w:firstLineChars="200"/>
        <w:rPr>
          <w:sz w:val="28"/>
          <w:szCs w:val="28"/>
        </w:rPr>
      </w:pPr>
      <w:r>
        <w:rPr>
          <w:sz w:val="28"/>
          <w:szCs w:val="28"/>
        </w:rPr>
        <w:t>根据当前经济社会发展水平、技术水平和环境保护的需要，坚持生态环境保护与畜牧业发展并重，统筹划定，实现资源环境效益、经济效益和社会效益统一。</w:t>
      </w:r>
    </w:p>
    <w:p>
      <w:pPr>
        <w:spacing w:line="360" w:lineRule="auto"/>
        <w:ind w:firstLine="560" w:firstLineChars="200"/>
        <w:rPr>
          <w:sz w:val="28"/>
          <w:szCs w:val="28"/>
        </w:rPr>
      </w:pPr>
      <w:r>
        <w:rPr>
          <w:sz w:val="28"/>
          <w:szCs w:val="28"/>
        </w:rPr>
        <w:t>（2）依法划定，尊重历史</w:t>
      </w:r>
    </w:p>
    <w:p>
      <w:pPr>
        <w:spacing w:line="360" w:lineRule="auto"/>
        <w:ind w:firstLine="560" w:firstLineChars="200"/>
        <w:rPr>
          <w:sz w:val="28"/>
          <w:szCs w:val="28"/>
        </w:rPr>
      </w:pPr>
      <w:r>
        <w:rPr>
          <w:sz w:val="28"/>
          <w:szCs w:val="28"/>
        </w:rPr>
        <w:t>以国家相关法律法规、技术规范、政策性文件为根本依据，同时充分考虑徐水区畜禽养殖业发展历史与现状，科学划定。</w:t>
      </w:r>
    </w:p>
    <w:p>
      <w:pPr>
        <w:spacing w:line="360" w:lineRule="auto"/>
        <w:ind w:firstLine="560" w:firstLineChars="200"/>
        <w:rPr>
          <w:sz w:val="28"/>
          <w:szCs w:val="28"/>
        </w:rPr>
      </w:pPr>
      <w:r>
        <w:rPr>
          <w:sz w:val="28"/>
          <w:szCs w:val="28"/>
        </w:rPr>
        <w:t>（3）突出重点，合理布局</w:t>
      </w:r>
    </w:p>
    <w:p>
      <w:pPr>
        <w:spacing w:line="360" w:lineRule="auto"/>
        <w:ind w:firstLine="560" w:firstLineChars="200"/>
        <w:rPr>
          <w:sz w:val="28"/>
          <w:szCs w:val="28"/>
        </w:rPr>
      </w:pPr>
      <w:r>
        <w:rPr>
          <w:color w:val="000000"/>
          <w:sz w:val="28"/>
          <w:szCs w:val="28"/>
        </w:rPr>
        <w:t>充分考虑畜禽养殖规模与环境资源承载能力相适应，突出重点区域、重点流域生态环境保护的要求，促进生态环境保护与畜禽养殖业持续健康协调发展。</w:t>
      </w:r>
    </w:p>
    <w:bookmarkEnd w:id="315"/>
    <w:bookmarkEnd w:id="316"/>
    <w:bookmarkEnd w:id="317"/>
    <w:bookmarkEnd w:id="321"/>
    <w:p>
      <w:pPr>
        <w:pStyle w:val="6"/>
        <w:numPr>
          <w:ilvl w:val="2"/>
          <w:numId w:val="0"/>
        </w:numPr>
        <w:spacing w:before="156" w:after="156"/>
      </w:pPr>
      <w:bookmarkStart w:id="322" w:name="_Toc7577"/>
      <w:bookmarkStart w:id="323" w:name="_Toc20993"/>
      <w:r>
        <w:t>4.2.3划分类型</w:t>
      </w:r>
      <w:bookmarkEnd w:id="322"/>
      <w:bookmarkEnd w:id="323"/>
    </w:p>
    <w:p>
      <w:pPr>
        <w:spacing w:line="360" w:lineRule="auto"/>
        <w:ind w:firstLine="560" w:firstLineChars="200"/>
        <w:rPr>
          <w:sz w:val="28"/>
          <w:szCs w:val="28"/>
        </w:rPr>
      </w:pPr>
      <w:r>
        <w:rPr>
          <w:sz w:val="28"/>
          <w:szCs w:val="28"/>
        </w:rPr>
        <w:t xml:space="preserve">（1）禁养区 </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禁养区内禁止新建、扩建、改建畜禽规模化养殖场。禁养区范围内已建成的畜禽规模化养殖场由县人民政府依法责令关闭或搬迁。</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 xml:space="preserve">（2）非禁养区 </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畜禽养殖非禁养区是指除禁养区以外的区域，原则上作为畜禽养殖可养区。在非禁养区新建、改建和扩建畜禽养殖场，应当符合本辖区畜牧业发展规划和乡（镇）土地利用总体规划，办理土地承包（转包）或有关用地（含林地）备案、审批手续，按照相关环保法律法规的规定，开展环境影响评价并办理有关审批手续。严格执行“环境影响评价”和“三同时”制度，配套建设的环境保护设施未通过环保验收，主体工程不得投入使用。</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（3）畜禽养殖场、养殖小区规模标准</w:t>
      </w:r>
    </w:p>
    <w:p>
      <w:pPr>
        <w:pStyle w:val="2"/>
        <w:ind w:firstLine="560" w:firstLineChars="200"/>
        <w:rPr>
          <w:rFonts w:ascii="Times New Roman" w:hAnsi="Times New Roman"/>
          <w:sz w:val="28"/>
          <w:szCs w:val="28"/>
          <w:lang w:val="en-US"/>
        </w:rPr>
      </w:pPr>
      <w:bookmarkStart w:id="324" w:name="_Toc17961"/>
      <w:r>
        <w:rPr>
          <w:rFonts w:ascii="Times New Roman" w:hAnsi="Times New Roman"/>
          <w:sz w:val="28"/>
          <w:szCs w:val="28"/>
          <w:lang w:val="en-US"/>
        </w:rPr>
        <w:t>畜禽养殖场、养殖小区是指达到《河北省农业厅（河北省委省政府农村工作办公室）和河北省环境保护厅关于印发&lt;河北省畜禽养殖污染防治畜禽养殖场养殖小区规模标准&gt;的通知》（冀农业牧发[2016]7号）确定的养殖规模标准的畜禽集中饲养场所，养殖规模标准为：</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生猪养殖场、养殖小区年出栏500头及以上；肉牛养殖场、养殖小区年出栏100头及以上；肉鸡养殖场、养殖小区年出栏50000只及以上；蛋鸡养殖场、养殖小区年存栏10000只及以上；奶牛养殖场、养殖小区年存栏100头及以上。</w:t>
      </w:r>
    </w:p>
    <w:p>
      <w:pPr>
        <w:pStyle w:val="2"/>
        <w:ind w:firstLine="560" w:firstLineChars="200"/>
        <w:rPr>
          <w:rFonts w:ascii="Times New Roman" w:hAnsi="Times New Roman"/>
          <w:sz w:val="28"/>
          <w:szCs w:val="28"/>
          <w:lang w:val="en-US"/>
        </w:rPr>
      </w:pPr>
      <w:r>
        <w:rPr>
          <w:rFonts w:ascii="Times New Roman" w:hAnsi="Times New Roman"/>
          <w:sz w:val="28"/>
          <w:szCs w:val="28"/>
          <w:lang w:val="en-US"/>
        </w:rPr>
        <w:t>羊养殖场、养殖小区规模标准以猪当量折算，折合标准为3只羊换算成1头猪。</w:t>
      </w:r>
    </w:p>
    <w:bookmarkEnd w:id="324"/>
    <w:p>
      <w:pPr>
        <w:pStyle w:val="5"/>
        <w:spacing w:before="312" w:after="312"/>
        <w:rPr>
          <w:rFonts w:ascii="Times New Roman" w:hAnsi="Times New Roman" w:cs="Times New Roman"/>
          <w:lang w:val="en-US"/>
        </w:rPr>
      </w:pPr>
      <w:bookmarkStart w:id="325" w:name="_Toc26541"/>
      <w:bookmarkStart w:id="326" w:name="_Toc14482"/>
      <w:bookmarkStart w:id="327" w:name="_Toc22006"/>
      <w:bookmarkStart w:id="328" w:name="_Toc544"/>
      <w:bookmarkStart w:id="329" w:name="_Toc12447"/>
      <w:bookmarkStart w:id="330" w:name="_Toc5254"/>
      <w:bookmarkStart w:id="331" w:name="_Toc17456"/>
      <w:bookmarkStart w:id="332" w:name="_Toc25320"/>
      <w:bookmarkStart w:id="333" w:name="_Toc27846"/>
      <w:bookmarkStart w:id="334" w:name="_Toc3948"/>
      <w:r>
        <w:rPr>
          <w:rFonts w:ascii="Times New Roman" w:hAnsi="Times New Roman" w:cs="Times New Roman"/>
          <w:lang w:val="en-US"/>
        </w:rPr>
        <w:t>4.3建立健全台账管理制度</w:t>
      </w:r>
      <w:bookmarkEnd w:id="325"/>
    </w:p>
    <w:p>
      <w:pPr>
        <w:spacing w:line="360" w:lineRule="auto"/>
        <w:ind w:firstLine="560" w:firstLineChars="200"/>
        <w:rPr>
          <w:color w:val="000000"/>
          <w:sz w:val="28"/>
          <w:szCs w:val="28"/>
        </w:rPr>
      </w:pPr>
      <w:r>
        <w:rPr>
          <w:color w:val="000000"/>
          <w:sz w:val="28"/>
          <w:szCs w:val="28"/>
        </w:rPr>
        <w:t>为规范养殖场档案管理，增强养殖场档案的实用性和有效性，需完善畜禽规模养殖场和规模以下养殖户畜禽粪污资源化利用计划和台账管理制度。</w:t>
      </w:r>
    </w:p>
    <w:p>
      <w:pPr>
        <w:spacing w:line="360" w:lineRule="auto"/>
        <w:ind w:firstLine="560" w:firstLineChars="200"/>
        <w:rPr>
          <w:color w:val="000000"/>
          <w:sz w:val="28"/>
          <w:szCs w:val="28"/>
        </w:rPr>
      </w:pPr>
      <w:r>
        <w:rPr>
          <w:color w:val="000000"/>
          <w:sz w:val="28"/>
          <w:szCs w:val="28"/>
        </w:rPr>
        <w:t>畜禽养殖台账记录是对养殖者在养殖生产过程中对畜禽等相关信息的真实记录，该举措是促进养殖活动规范化的一个重要举措，也是实现畜产品质量安全可追溯体系必备的最基础性工作。科学规范的建立和完善畜禽养殖生产档案，可让消费者对整个畜禽饲养的过程有充分了解，对饲养过程中涉及的饲料、兽药等投入一目了然。此外，加强养殖场备案信息管理，是严格落实《畜牧法》有关规定的重要举措。</w:t>
      </w:r>
    </w:p>
    <w:p>
      <w:pPr>
        <w:pStyle w:val="5"/>
        <w:spacing w:before="312" w:after="312"/>
        <w:rPr>
          <w:rFonts w:ascii="Times New Roman" w:hAnsi="Times New Roman" w:cs="Times New Roman"/>
          <w:lang w:val="en-US"/>
        </w:rPr>
      </w:pPr>
      <w:bookmarkStart w:id="335" w:name="_Toc4848"/>
      <w:r>
        <w:rPr>
          <w:rFonts w:ascii="Times New Roman" w:hAnsi="Times New Roman" w:cs="Times New Roman"/>
          <w:lang w:val="en-US"/>
        </w:rPr>
        <w:t>4.4畜禽养殖污染防治方案</w:t>
      </w:r>
      <w:bookmarkEnd w:id="335"/>
    </w:p>
    <w:p>
      <w:pPr>
        <w:pStyle w:val="2"/>
        <w:ind w:firstLine="0"/>
        <w:rPr>
          <w:rFonts w:ascii="Times New Roman" w:hAnsi="Times New Roman"/>
          <w:b/>
          <w:bCs/>
          <w:sz w:val="28"/>
          <w:szCs w:val="28"/>
          <w:lang w:val="en-US"/>
        </w:rPr>
      </w:pPr>
      <w:r>
        <w:rPr>
          <w:rFonts w:ascii="Times New Roman" w:hAnsi="Times New Roman"/>
          <w:b/>
          <w:bCs/>
          <w:sz w:val="28"/>
          <w:szCs w:val="28"/>
        </w:rPr>
        <w:t>4.</w:t>
      </w:r>
      <w:r>
        <w:rPr>
          <w:rFonts w:ascii="Times New Roman" w:hAnsi="Times New Roman"/>
          <w:b/>
          <w:bCs/>
          <w:sz w:val="28"/>
          <w:szCs w:val="28"/>
          <w:lang w:val="en-US"/>
        </w:rPr>
        <w:t>4</w:t>
      </w:r>
      <w:r>
        <w:rPr>
          <w:rFonts w:ascii="Times New Roman" w:hAnsi="Times New Roman"/>
          <w:b/>
          <w:bCs/>
          <w:sz w:val="28"/>
          <w:szCs w:val="28"/>
        </w:rPr>
        <w:t xml:space="preserve">.1 </w:t>
      </w:r>
      <w:r>
        <w:rPr>
          <w:rFonts w:ascii="Times New Roman" w:hAnsi="Times New Roman"/>
          <w:b/>
          <w:bCs/>
          <w:sz w:val="28"/>
          <w:szCs w:val="28"/>
          <w:lang w:val="en-US"/>
        </w:rPr>
        <w:t>技术路线</w:t>
      </w:r>
      <w:bookmarkEnd w:id="326"/>
      <w:bookmarkEnd w:id="327"/>
      <w:bookmarkEnd w:id="328"/>
      <w:bookmarkEnd w:id="329"/>
      <w:bookmarkEnd w:id="330"/>
      <w:bookmarkEnd w:id="331"/>
      <w:bookmarkEnd w:id="332"/>
    </w:p>
    <w:p>
      <w:pPr>
        <w:spacing w:line="360" w:lineRule="auto"/>
        <w:ind w:firstLine="560" w:firstLineChars="200"/>
        <w:rPr>
          <w:color w:val="000000"/>
          <w:sz w:val="28"/>
          <w:szCs w:val="28"/>
        </w:rPr>
      </w:pPr>
      <w:r>
        <w:rPr>
          <w:color w:val="000000"/>
          <w:sz w:val="28"/>
          <w:szCs w:val="28"/>
        </w:rPr>
        <w:t>通过收集资料和现状调查，摸清徐水区规模化养殖场的数量及分布，测算畜禽养殖污染物的排放情况、畜禽养殖污染物的处置情况</w:t>
      </w:r>
      <w:r>
        <w:rPr>
          <w:rFonts w:hint="eastAsia"/>
          <w:color w:val="000000"/>
          <w:sz w:val="28"/>
          <w:szCs w:val="28"/>
          <w:lang w:eastAsia="zh-CN"/>
        </w:rPr>
        <w:t>以及</w:t>
      </w:r>
      <w:r>
        <w:rPr>
          <w:color w:val="000000"/>
          <w:sz w:val="28"/>
          <w:szCs w:val="28"/>
        </w:rPr>
        <w:t>畜禽养殖目前存在的问题，通过三种种养结合模式实现粪污资源化利用工作，一是种养结合大循环，由有机肥厂、园区收购养殖场（户）不能自行消纳的粪污生产有机肥；二是种养结合中循环，规模养殖场经过处理的粪污直接销售给种植户；三是种养结合小循环，具备自有种植田的大型养殖场购置粪污发酵罐及污水氧化塘，处理后的粪污直接还田。</w:t>
      </w:r>
    </w:p>
    <w:p>
      <w:pPr>
        <w:spacing w:line="360" w:lineRule="auto"/>
        <w:ind w:firstLine="560" w:firstLineChars="200"/>
        <w:rPr>
          <w:color w:val="000000"/>
          <w:sz w:val="28"/>
          <w:szCs w:val="28"/>
        </w:rPr>
      </w:pPr>
      <w:r>
        <w:rPr>
          <w:color w:val="000000"/>
          <w:sz w:val="28"/>
          <w:szCs w:val="28"/>
        </w:rPr>
        <w:t>（1）散养户粪污资源化利用技术路线（大循环）</w:t>
      </w:r>
    </w:p>
    <w:p>
      <w:pPr>
        <w:pStyle w:val="2"/>
        <w:ind w:firstLine="0"/>
        <w:jc w:val="center"/>
        <w:rPr>
          <w:rFonts w:ascii="Times New Roman" w:hAnsi="Times New Roman"/>
          <w:lang w:val="en-US"/>
        </w:rPr>
      </w:pPr>
      <w:r>
        <w:rPr>
          <w:rFonts w:ascii="Times New Roman" w:hAnsi="Times New Roman"/>
          <w:lang w:val="en-US"/>
        </w:rPr>
        <w:drawing>
          <wp:inline distT="0" distB="0" distL="114300" distR="114300">
            <wp:extent cx="3296920" cy="2218690"/>
            <wp:effectExtent l="0" t="0" r="17780" b="1016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6"/>
                    <a:stretch>
                      <a:fillRect/>
                    </a:stretch>
                  </pic:blipFill>
                  <pic:spPr>
                    <a:xfrm>
                      <a:off x="0" y="0"/>
                      <a:ext cx="3296920" cy="2218690"/>
                    </a:xfrm>
                    <a:prstGeom prst="rect">
                      <a:avLst/>
                    </a:prstGeom>
                  </pic:spPr>
                </pic:pic>
              </a:graphicData>
            </a:graphic>
          </wp:inline>
        </w:drawing>
      </w:r>
    </w:p>
    <w:p>
      <w:pPr>
        <w:spacing w:line="360" w:lineRule="auto"/>
        <w:ind w:firstLine="560" w:firstLineChars="200"/>
        <w:rPr>
          <w:color w:val="000000"/>
          <w:sz w:val="28"/>
          <w:szCs w:val="28"/>
        </w:rPr>
      </w:pPr>
      <w:r>
        <w:rPr>
          <w:color w:val="000000"/>
          <w:sz w:val="28"/>
          <w:szCs w:val="28"/>
        </w:rPr>
        <w:t>（2）规模场粪污资源化利用技术路线（中循环）</w:t>
      </w:r>
    </w:p>
    <w:p>
      <w:pPr>
        <w:pStyle w:val="2"/>
        <w:ind w:firstLine="0"/>
        <w:jc w:val="center"/>
        <w:rPr>
          <w:rFonts w:ascii="Times New Roman" w:hAnsi="Times New Roman"/>
          <w:lang w:val="en-US"/>
        </w:rPr>
      </w:pPr>
      <w:r>
        <w:rPr>
          <w:rFonts w:ascii="Times New Roman" w:hAnsi="Times New Roman"/>
          <w:lang w:val="en-US"/>
        </w:rPr>
        <w:drawing>
          <wp:inline distT="0" distB="0" distL="114300" distR="114300">
            <wp:extent cx="4105910" cy="2329815"/>
            <wp:effectExtent l="0" t="0" r="8890" b="13335"/>
            <wp:docPr id="19" name="图片 1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4"/>
                    <pic:cNvPicPr>
                      <a:picLocks noChangeAspect="1"/>
                    </pic:cNvPicPr>
                  </pic:nvPicPr>
                  <pic:blipFill>
                    <a:blip r:embed="rId17"/>
                    <a:stretch>
                      <a:fillRect/>
                    </a:stretch>
                  </pic:blipFill>
                  <pic:spPr>
                    <a:xfrm>
                      <a:off x="0" y="0"/>
                      <a:ext cx="4105910" cy="2329815"/>
                    </a:xfrm>
                    <a:prstGeom prst="rect">
                      <a:avLst/>
                    </a:prstGeom>
                  </pic:spPr>
                </pic:pic>
              </a:graphicData>
            </a:graphic>
          </wp:inline>
        </w:drawing>
      </w:r>
    </w:p>
    <w:p>
      <w:pPr>
        <w:spacing w:line="360" w:lineRule="auto"/>
        <w:ind w:firstLine="560" w:firstLineChars="200"/>
        <w:rPr>
          <w:color w:val="000000"/>
          <w:sz w:val="28"/>
          <w:szCs w:val="28"/>
        </w:rPr>
      </w:pPr>
      <w:r>
        <w:rPr>
          <w:color w:val="000000"/>
          <w:sz w:val="28"/>
          <w:szCs w:val="28"/>
        </w:rPr>
        <w:t>（3）大型规模养殖场粪污资源化利用技术路线（小循环）</w:t>
      </w:r>
    </w:p>
    <w:p>
      <w:pPr>
        <w:pStyle w:val="2"/>
        <w:ind w:firstLine="0"/>
        <w:jc w:val="center"/>
        <w:rPr>
          <w:rFonts w:ascii="Times New Roman" w:hAnsi="Times New Roman"/>
          <w:lang w:val="en-US"/>
        </w:rPr>
      </w:pPr>
      <w:r>
        <w:rPr>
          <w:rFonts w:ascii="Times New Roman" w:hAnsi="Times New Roman"/>
          <w:lang w:val="en-US"/>
        </w:rPr>
        <w:drawing>
          <wp:inline distT="0" distB="0" distL="114300" distR="114300">
            <wp:extent cx="3916680" cy="1964055"/>
            <wp:effectExtent l="0" t="0" r="7620" b="17145"/>
            <wp:docPr id="20" name="图片 2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5"/>
                    <pic:cNvPicPr>
                      <a:picLocks noChangeAspect="1"/>
                    </pic:cNvPicPr>
                  </pic:nvPicPr>
                  <pic:blipFill>
                    <a:blip r:embed="rId18"/>
                    <a:stretch>
                      <a:fillRect/>
                    </a:stretch>
                  </pic:blipFill>
                  <pic:spPr>
                    <a:xfrm>
                      <a:off x="0" y="0"/>
                      <a:ext cx="3916680" cy="1964055"/>
                    </a:xfrm>
                    <a:prstGeom prst="rect">
                      <a:avLst/>
                    </a:prstGeom>
                  </pic:spPr>
                </pic:pic>
              </a:graphicData>
            </a:graphic>
          </wp:inline>
        </w:drawing>
      </w:r>
    </w:p>
    <w:bookmarkEnd w:id="333"/>
    <w:bookmarkEnd w:id="334"/>
    <w:p>
      <w:pPr>
        <w:spacing w:line="360" w:lineRule="auto"/>
        <w:rPr>
          <w:b/>
          <w:bCs/>
          <w:sz w:val="28"/>
          <w:szCs w:val="28"/>
        </w:rPr>
      </w:pPr>
      <w:r>
        <w:rPr>
          <w:b/>
          <w:bCs/>
          <w:sz w:val="28"/>
          <w:szCs w:val="28"/>
        </w:rPr>
        <w:t>4.4.2 禁养区的污染防治计划</w:t>
      </w:r>
    </w:p>
    <w:p>
      <w:pPr>
        <w:spacing w:line="360" w:lineRule="auto"/>
        <w:ind w:firstLine="560" w:firstLineChars="200"/>
        <w:rPr>
          <w:sz w:val="28"/>
          <w:szCs w:val="28"/>
        </w:rPr>
      </w:pPr>
      <w:r>
        <w:rPr>
          <w:sz w:val="28"/>
          <w:szCs w:val="28"/>
        </w:rPr>
        <w:t>（1）禁养区内不得新建、扩建和改建各类规模化畜禽养殖场。</w:t>
      </w:r>
    </w:p>
    <w:p>
      <w:pPr>
        <w:spacing w:line="360" w:lineRule="auto"/>
        <w:ind w:firstLine="560" w:firstLineChars="200"/>
        <w:rPr>
          <w:sz w:val="28"/>
          <w:szCs w:val="28"/>
        </w:rPr>
      </w:pPr>
      <w:r>
        <w:rPr>
          <w:sz w:val="28"/>
          <w:szCs w:val="28"/>
        </w:rPr>
        <w:t>（2）禁养区内现有畜禽规模化养殖场在关停转迁前不得扩大饲养规模（种类和数量），并采取有效措施削减排污总量或进行污染物综合利用。</w:t>
      </w:r>
    </w:p>
    <w:p>
      <w:pPr>
        <w:spacing w:line="360" w:lineRule="auto"/>
        <w:ind w:firstLine="560" w:firstLineChars="200"/>
        <w:rPr>
          <w:sz w:val="28"/>
          <w:szCs w:val="28"/>
        </w:rPr>
      </w:pPr>
      <w:r>
        <w:rPr>
          <w:sz w:val="28"/>
          <w:szCs w:val="28"/>
        </w:rPr>
        <w:t xml:space="preserve">（3）禁养区内现有的规模化畜禽养殖场到2025年12月底前原则上全部关停转迁。 </w:t>
      </w:r>
    </w:p>
    <w:p>
      <w:pPr>
        <w:spacing w:line="360" w:lineRule="auto"/>
        <w:ind w:firstLine="560" w:firstLineChars="200"/>
        <w:rPr>
          <w:sz w:val="28"/>
          <w:szCs w:val="28"/>
        </w:rPr>
      </w:pPr>
      <w:r>
        <w:rPr>
          <w:sz w:val="28"/>
          <w:szCs w:val="28"/>
        </w:rPr>
        <w:t>目前禁养区重点治理任务：</w:t>
      </w:r>
    </w:p>
    <w:p>
      <w:pPr>
        <w:spacing w:line="360" w:lineRule="auto"/>
        <w:ind w:firstLine="560" w:firstLineChars="200"/>
        <w:rPr>
          <w:sz w:val="28"/>
          <w:szCs w:val="28"/>
        </w:rPr>
      </w:pPr>
      <w:r>
        <w:rPr>
          <w:sz w:val="28"/>
          <w:szCs w:val="28"/>
        </w:rPr>
        <w:t>（1）对辖区内所有畜禽养殖场所（包括规模化畜禽养殖场、养殖专业户、散养户）进行排查，建立养殖档案，严格控制禁养区内现有养殖规模（养殖种类及数量），确保养殖规模不扩大，污染物总量不增加。</w:t>
      </w:r>
    </w:p>
    <w:p>
      <w:pPr>
        <w:spacing w:line="360" w:lineRule="auto"/>
        <w:ind w:firstLine="560" w:firstLineChars="200"/>
        <w:rPr>
          <w:sz w:val="28"/>
          <w:szCs w:val="28"/>
        </w:rPr>
      </w:pPr>
      <w:r>
        <w:rPr>
          <w:sz w:val="28"/>
          <w:szCs w:val="28"/>
        </w:rPr>
        <w:t>（2）通过关、停、转、迁等手段，逐步关闭禁养区内所有的规模化畜禽养殖场。</w:t>
      </w:r>
    </w:p>
    <w:p>
      <w:pPr>
        <w:spacing w:line="360" w:lineRule="auto"/>
        <w:rPr>
          <w:b/>
          <w:bCs/>
          <w:sz w:val="28"/>
          <w:szCs w:val="28"/>
        </w:rPr>
      </w:pPr>
      <w:r>
        <w:rPr>
          <w:b/>
          <w:bCs/>
          <w:sz w:val="28"/>
          <w:szCs w:val="28"/>
        </w:rPr>
        <w:t>4.4.3 非禁养区的污染防治计划</w:t>
      </w:r>
    </w:p>
    <w:p>
      <w:pPr>
        <w:spacing w:line="360" w:lineRule="auto"/>
        <w:ind w:firstLine="560" w:firstLineChars="200"/>
        <w:rPr>
          <w:sz w:val="28"/>
          <w:szCs w:val="28"/>
        </w:rPr>
      </w:pPr>
      <w:r>
        <w:rPr>
          <w:sz w:val="28"/>
          <w:szCs w:val="28"/>
        </w:rPr>
        <w:t>（1）根据《国务院办公厅关于加快推进畜禽养殖废弃物资源化利用的意见》（国办发[2017]48号），非禁养区要构建种养循环发展机制，提高畜禽粪污综合利用率，以能源化、肥料化作为资源化主导方向，尽可能提高需畜禽粪污资源化利用率。</w:t>
      </w:r>
    </w:p>
    <w:p>
      <w:pPr>
        <w:spacing w:line="360" w:lineRule="auto"/>
        <w:ind w:firstLine="560" w:firstLineChars="200"/>
        <w:rPr>
          <w:sz w:val="28"/>
          <w:szCs w:val="28"/>
        </w:rPr>
      </w:pPr>
      <w:r>
        <w:rPr>
          <w:sz w:val="28"/>
          <w:szCs w:val="28"/>
        </w:rPr>
        <w:t>① 规模化畜禽养殖场必须实行规模化生态型养殖和环保型养殖模式，建设畜禽粪便、废水和其他固体废弃物进行收集、贮存、防渗漏的设施，并配套建设沼气池、有机堆肥厂等综合利用设施。无条件建设综合利用设施规模化畜禽养殖场及养殖散户可以委托专业第三方粪污处理机构处理。第三方处理运输过程应密闭无洒漏，制定合理的运输路线。周边有土地消纳条件的，畜禽粪污按《粪便无害化卫生标准》（GB7959）等标准无害化处理后还田利用，按《畜禽粪便还田技术规范》（GB/T 25246）等规范进行还田利用。还田利用前根据《畜禽粪污土地承载力测算技术指南》进行土地消纳能力测算。通过支持在田间地头配套建设管网和储粪（液）池等方式，解决粪肥还田“最后一公里”问题。各乡镇人民政府应当指导各村民委员会协调养殖户与种植大户或农民合作社粪污资源化利用合作。畜禽粪污实现全部综合利用或还田利用的，不需设排污口。进而实现种养结合的粪污资源化循环利用。畜禽粪污无法全部综合利用的，对外环境排放须执行《畜禽养殖业污染物排放标准》（GB18596-2001），且符合污染物排放总量控制要求。按《固定污染源排污许可分类管理名录》实行排污许可重点管理、简化管理和登记管理。按市、区要求填写台账，对粪污资源化处理进行详细记录。</w:t>
      </w:r>
    </w:p>
    <w:p>
      <w:pPr>
        <w:spacing w:line="360" w:lineRule="auto"/>
        <w:ind w:firstLine="560" w:firstLineChars="200"/>
        <w:rPr>
          <w:sz w:val="28"/>
          <w:szCs w:val="28"/>
        </w:rPr>
      </w:pPr>
      <w:r>
        <w:rPr>
          <w:sz w:val="28"/>
          <w:szCs w:val="28"/>
        </w:rPr>
        <w:t>② 养殖专业户参照规模化畜禽养殖场管理，按《固定污染源排污许可分类管理名录》实行排污许可重点管理、简化管理和登记管理。</w:t>
      </w:r>
    </w:p>
    <w:p>
      <w:pPr>
        <w:spacing w:line="360" w:lineRule="auto"/>
        <w:ind w:firstLine="560" w:firstLineChars="200"/>
        <w:rPr>
          <w:sz w:val="28"/>
          <w:szCs w:val="28"/>
        </w:rPr>
      </w:pPr>
      <w:r>
        <w:rPr>
          <w:sz w:val="28"/>
          <w:szCs w:val="28"/>
        </w:rPr>
        <w:t>③ 散养户建场按《水污染防治法》第五十六条、第五十八条第二款、第八十三条等法律法规达到基本的污染防治要求，应当配备沉淀池、三级化粪池等设施，不得将粪污随意堆放和排放，同时做好防渗漏、防溢流措施，禁止向自然水体或者其他区域直接排放畜禽粪便、沼液、沼渣或者污水，探索进行公示无异议后方可饲养的方案。各乡镇人民政府应当指导各村民委员会将畜禽散养户纳入村规民约管理，保护农村生态环境，保障农村干净、整洁、平安、有序。</w:t>
      </w:r>
    </w:p>
    <w:p>
      <w:pPr>
        <w:spacing w:line="360" w:lineRule="auto"/>
        <w:ind w:firstLine="560" w:firstLineChars="200"/>
        <w:rPr>
          <w:sz w:val="28"/>
          <w:szCs w:val="28"/>
        </w:rPr>
      </w:pPr>
      <w:r>
        <w:rPr>
          <w:sz w:val="28"/>
          <w:szCs w:val="28"/>
        </w:rPr>
        <w:t>（2）非禁养区内所有畜禽养殖污染防治应坚持“综合利用优先，资源化、无害化和减量化”原则，积极推行清洁生产，严格控制含重金属的畜禽饲料添加剂、兽药的使用，实现科学养殖、饮排分离、雨污分离和干湿分离，有条件的规模化畜禽养殖场要添置有机肥加工设施及建立与排污量相匹配的生态农业示范基地，积极采用生物治理技术。</w:t>
      </w:r>
    </w:p>
    <w:p>
      <w:pPr>
        <w:spacing w:line="360" w:lineRule="auto"/>
        <w:ind w:firstLine="560" w:firstLineChars="200"/>
        <w:rPr>
          <w:sz w:val="28"/>
          <w:szCs w:val="28"/>
        </w:rPr>
      </w:pPr>
      <w:r>
        <w:rPr>
          <w:sz w:val="28"/>
          <w:szCs w:val="28"/>
        </w:rPr>
        <w:t>（3）非禁养区内所有畜禽养殖场（含养殖专业户和散养户）的病死畜禽尸体应采取无害化处理。</w:t>
      </w:r>
    </w:p>
    <w:p>
      <w:pPr>
        <w:spacing w:line="360" w:lineRule="auto"/>
        <w:ind w:firstLine="560" w:firstLineChars="200"/>
        <w:rPr>
          <w:sz w:val="28"/>
          <w:szCs w:val="28"/>
        </w:rPr>
      </w:pPr>
      <w:r>
        <w:rPr>
          <w:sz w:val="28"/>
          <w:szCs w:val="28"/>
        </w:rPr>
        <w:t>（4）在非禁养区新建、改建和扩建畜禽养殖场，必须符合城镇总体规划及环境功能区划的要求。</w:t>
      </w:r>
    </w:p>
    <w:p>
      <w:pPr>
        <w:spacing w:line="360" w:lineRule="auto"/>
        <w:ind w:firstLine="560" w:firstLineChars="200"/>
        <w:rPr>
          <w:sz w:val="28"/>
          <w:szCs w:val="28"/>
        </w:rPr>
      </w:pPr>
      <w:r>
        <w:rPr>
          <w:sz w:val="28"/>
          <w:szCs w:val="28"/>
        </w:rPr>
        <w:t>（5）在非禁养区新建、改建和扩建的规模化禽畜养殖场，必须严格执行相关法律办理相关手续。</w:t>
      </w:r>
    </w:p>
    <w:p>
      <w:pPr>
        <w:spacing w:line="360" w:lineRule="auto"/>
        <w:ind w:firstLine="560" w:firstLineChars="200"/>
        <w:rPr>
          <w:sz w:val="28"/>
          <w:szCs w:val="28"/>
        </w:rPr>
      </w:pPr>
      <w:r>
        <w:rPr>
          <w:sz w:val="28"/>
          <w:szCs w:val="28"/>
        </w:rPr>
        <w:t>（6）在非禁养区新建、改建和扩建的规模化畜禽养殖场，必须实行“三同时”制度，应按有关规定开展环境保护设施竣工验收；对一时难以达到设计规模的，可以实行分阶段验收。</w:t>
      </w:r>
    </w:p>
    <w:p>
      <w:pPr>
        <w:spacing w:line="360" w:lineRule="auto"/>
        <w:ind w:firstLine="560" w:firstLineChars="200"/>
        <w:rPr>
          <w:sz w:val="28"/>
          <w:szCs w:val="28"/>
        </w:rPr>
      </w:pPr>
      <w:r>
        <w:rPr>
          <w:sz w:val="28"/>
          <w:szCs w:val="28"/>
        </w:rPr>
        <w:t>（7）构建“1+1+4”污染治理长效工作机制，“1+1”即每年集中开展为期3个月的集中排查移交整治专项行动和大力提升畜禽粪污处理设施配建水平；“4”即建立服务督导机制、明察暗访机制、约谈通报机制、监督举报机制。</w:t>
      </w:r>
    </w:p>
    <w:p>
      <w:pPr>
        <w:spacing w:line="360" w:lineRule="auto"/>
        <w:ind w:firstLine="560" w:firstLineChars="200"/>
        <w:rPr>
          <w:sz w:val="28"/>
          <w:szCs w:val="28"/>
        </w:rPr>
      </w:pPr>
      <w:r>
        <w:rPr>
          <w:sz w:val="28"/>
          <w:szCs w:val="28"/>
        </w:rPr>
        <w:t>目前非禁养区重点治理任务：</w:t>
      </w:r>
    </w:p>
    <w:p>
      <w:pPr>
        <w:spacing w:line="360" w:lineRule="auto"/>
        <w:ind w:firstLine="560" w:firstLineChars="200"/>
        <w:rPr>
          <w:sz w:val="28"/>
          <w:szCs w:val="28"/>
        </w:rPr>
      </w:pPr>
      <w:r>
        <w:rPr>
          <w:sz w:val="28"/>
          <w:szCs w:val="28"/>
        </w:rPr>
        <w:t>（1）全面排查区域内的养殖场（规模化养殖场、养殖专业户），建立养殖档案及粪污资源化利用台账（产出-清运-利用）。</w:t>
      </w:r>
    </w:p>
    <w:p>
      <w:pPr>
        <w:spacing w:line="360" w:lineRule="auto"/>
        <w:ind w:firstLine="560" w:firstLineChars="200"/>
        <w:rPr>
          <w:sz w:val="28"/>
          <w:szCs w:val="28"/>
        </w:rPr>
      </w:pPr>
      <w:r>
        <w:rPr>
          <w:sz w:val="28"/>
          <w:szCs w:val="28"/>
        </w:rPr>
        <w:t>（2）规范环境影响评价制度，需要开展环评的养殖场必须通过环境影响评价审批后方可进行建设（含新建、改建、扩建）。</w:t>
      </w:r>
    </w:p>
    <w:p>
      <w:pPr>
        <w:spacing w:line="360" w:lineRule="auto"/>
        <w:ind w:firstLine="560" w:firstLineChars="200"/>
        <w:rPr>
          <w:sz w:val="28"/>
          <w:szCs w:val="28"/>
        </w:rPr>
      </w:pPr>
      <w:r>
        <w:rPr>
          <w:sz w:val="28"/>
          <w:szCs w:val="28"/>
        </w:rPr>
        <w:t>（3）对各养殖场提出粪污综合利用及污染防治要求，逐步实现污染物的减量化、资源化和无害化。</w:t>
      </w:r>
    </w:p>
    <w:p>
      <w:pPr>
        <w:pStyle w:val="5"/>
        <w:spacing w:before="312" w:after="312"/>
        <w:rPr>
          <w:rFonts w:ascii="Times New Roman" w:hAnsi="Times New Roman" w:cs="Times New Roman"/>
          <w:lang w:val="en-US"/>
        </w:rPr>
      </w:pPr>
      <w:bookmarkStart w:id="336" w:name="_Toc22830"/>
      <w:bookmarkStart w:id="337" w:name="_Toc17521"/>
      <w:bookmarkStart w:id="338" w:name="_Toc7920"/>
      <w:bookmarkStart w:id="339" w:name="_Toc25727"/>
      <w:bookmarkStart w:id="340" w:name="_Toc8751"/>
      <w:bookmarkStart w:id="341" w:name="_Toc13882"/>
      <w:bookmarkStart w:id="342" w:name="_Toc17245"/>
      <w:bookmarkStart w:id="343" w:name="_Toc5091"/>
      <w:r>
        <w:rPr>
          <w:rFonts w:ascii="Times New Roman" w:hAnsi="Times New Roman" w:cs="Times New Roman"/>
          <w:lang w:val="en-US"/>
        </w:rPr>
        <w:t>4.5畜禽养殖污染防治</w:t>
      </w:r>
      <w:bookmarkEnd w:id="336"/>
      <w:bookmarkEnd w:id="337"/>
      <w:bookmarkEnd w:id="338"/>
      <w:bookmarkEnd w:id="339"/>
      <w:bookmarkEnd w:id="340"/>
      <w:bookmarkEnd w:id="341"/>
      <w:r>
        <w:rPr>
          <w:rFonts w:ascii="Times New Roman" w:hAnsi="Times New Roman" w:cs="Times New Roman"/>
          <w:lang w:val="en-US"/>
        </w:rPr>
        <w:t>技术</w:t>
      </w:r>
      <w:bookmarkEnd w:id="342"/>
      <w:bookmarkEnd w:id="343"/>
    </w:p>
    <w:p>
      <w:pPr>
        <w:pStyle w:val="6"/>
        <w:numPr>
          <w:ilvl w:val="2"/>
          <w:numId w:val="0"/>
        </w:numPr>
        <w:spacing w:before="156" w:after="156"/>
      </w:pPr>
      <w:bookmarkStart w:id="344" w:name="_Toc3701"/>
      <w:r>
        <w:t>4.5.1干清粪工艺</w:t>
      </w:r>
      <w:bookmarkEnd w:id="344"/>
    </w:p>
    <w:p>
      <w:pPr>
        <w:spacing w:line="360" w:lineRule="auto"/>
        <w:ind w:firstLine="560" w:firstLineChars="200"/>
        <w:rPr>
          <w:sz w:val="28"/>
          <w:szCs w:val="28"/>
        </w:rPr>
      </w:pPr>
      <w:r>
        <w:rPr>
          <w:sz w:val="28"/>
          <w:szCs w:val="28"/>
        </w:rPr>
        <w:t>干清粪技术是畜禽粪尿固液分离，单独清除粪便的养殖场清理工艺。根据养殖场规模情况可选择人工或机械清粪工艺。人工清粪就是利用清扫工具人工将畜禽舍内的粪便清扫收集。该技术适用于小型养殖场，具有设备简单、能耗低、投资少等优点；但劳动量大，生产效率低。</w:t>
      </w:r>
    </w:p>
    <w:p>
      <w:pPr>
        <w:spacing w:line="360" w:lineRule="auto"/>
        <w:ind w:firstLine="560" w:firstLineChars="200"/>
        <w:rPr>
          <w:sz w:val="28"/>
          <w:szCs w:val="28"/>
        </w:rPr>
      </w:pPr>
      <w:r>
        <w:rPr>
          <w:sz w:val="28"/>
          <w:szCs w:val="28"/>
        </w:rPr>
        <w:t>机械清粪指采用专用的机械设备进行清粪，适用于中型及以上规模养殖场。机械清粪效率高，但一次性投资较大，运行维护费用较高，清粪机工作时噪音较大。养猪场通常采用链式刮板清粪机或往复式刮板清粪机等机械；养牛场的清扫及废物的装卸通常使用可伸缩全轮驱动装载机；养鸡场通常采用传送式鸡粪输送装置。</w:t>
      </w:r>
    </w:p>
    <w:p>
      <w:pPr>
        <w:spacing w:line="360" w:lineRule="auto"/>
        <w:ind w:firstLine="560" w:firstLineChars="200"/>
        <w:rPr>
          <w:sz w:val="28"/>
          <w:szCs w:val="28"/>
        </w:rPr>
      </w:pPr>
      <w:r>
        <w:rPr>
          <w:sz w:val="28"/>
          <w:szCs w:val="28"/>
        </w:rPr>
        <w:t>徐水区属于缺水地区，畜禽养殖场应采用干清粪工艺，畜舍内采用粪水分流；对于现有的畜禽养殖场须限期整改，采用干清粪工艺，并采用粪水分流、雨污分流。粪水分流包括：粪与尿、污水分流，尿和污水可以混合，但是粪尽量不要混入尿和污水中；粪与饮水槽剩水分流，食槽水与地面尿污水分流。粪、水分流便于粪便运输和无害化处理，污水中粪的含量低，也便于污水的净化处理，同时降低肥料养分的损失。</w:t>
      </w:r>
    </w:p>
    <w:p>
      <w:pPr>
        <w:pStyle w:val="6"/>
        <w:numPr>
          <w:ilvl w:val="2"/>
          <w:numId w:val="0"/>
        </w:numPr>
        <w:spacing w:before="156" w:after="156"/>
      </w:pPr>
      <w:bookmarkStart w:id="345" w:name="_Toc7299"/>
      <w:r>
        <w:t>4.5.2无害化、资源化处理技术</w:t>
      </w:r>
      <w:bookmarkEnd w:id="345"/>
    </w:p>
    <w:p>
      <w:pPr>
        <w:spacing w:line="360" w:lineRule="auto"/>
        <w:ind w:firstLine="562" w:firstLineChars="200"/>
        <w:rPr>
          <w:b/>
          <w:bCs/>
          <w:sz w:val="28"/>
          <w:szCs w:val="28"/>
        </w:rPr>
      </w:pPr>
      <w:r>
        <w:rPr>
          <w:b/>
          <w:bCs/>
          <w:sz w:val="28"/>
          <w:szCs w:val="28"/>
        </w:rPr>
        <w:t>堆肥处理</w:t>
      </w:r>
    </w:p>
    <w:p>
      <w:pPr>
        <w:spacing w:line="360" w:lineRule="auto"/>
        <w:ind w:firstLine="560" w:firstLineChars="200"/>
        <w:rPr>
          <w:sz w:val="28"/>
          <w:szCs w:val="28"/>
        </w:rPr>
      </w:pPr>
      <w:r>
        <w:rPr>
          <w:sz w:val="28"/>
          <w:szCs w:val="28"/>
        </w:rPr>
        <w:t>畜禽粪便堆肥处理是在人工控制的条件下，调控水分、碳氮比、通风量及物料颗粒大小等因素，通过曝气、搅拌等功能，使物料均匀混合，依靠微生物的作用，通过高温发酵使有机物矿质化、腐殖化和无害化而变成腐熟肥料的过程。在微生物分解有机物的过程中，不但生成大量可以被植物吸收利用的有效氮、磷、钾化合物，而且会合成腐殖质，它是构成土壤肥力的重要活性物质。按照是否有氧参与，堆肥可分为厌氧堆肥和好氧堆肥两种。厌氧堆肥是在缺氧条件下利用厌氧微生物进行的腐败发酵分解，其过程产生恶臭，且需要周期长。好氧堆肥又叫高温堆肥，根据技术的复杂程度，一般分为三类：条垛式、静态垛式、发酵仓式系统。</w:t>
      </w:r>
    </w:p>
    <w:p>
      <w:pPr>
        <w:spacing w:line="360" w:lineRule="auto"/>
        <w:ind w:firstLine="560" w:firstLineChars="200"/>
        <w:rPr>
          <w:sz w:val="28"/>
          <w:szCs w:val="28"/>
        </w:rPr>
      </w:pPr>
      <w:r>
        <w:rPr>
          <w:sz w:val="28"/>
          <w:szCs w:val="28"/>
        </w:rPr>
        <w:t>条垛式堆肥北认为是堆肥系统中最简单的一种。这是一种最古老的堆肥化系统，将堆肥物料以条垛状堆置，可以是一条，也可以是排成多条平行的条垛，垛的断面可以是梯形、不规则四边形或三角形，条垛式的堆肥特点是通过定期翻堆来实现堆体中的有氧状态。该技术成本低，但占地面积较大，处理时间长，易受天气的影响，易对地表水造成污染，适用于中小型畜禽养殖场。</w:t>
      </w:r>
    </w:p>
    <w:p>
      <w:pPr>
        <w:spacing w:line="360" w:lineRule="auto"/>
        <w:ind w:firstLine="560" w:firstLineChars="200"/>
        <w:rPr>
          <w:sz w:val="28"/>
          <w:szCs w:val="28"/>
        </w:rPr>
      </w:pPr>
      <w:r>
        <w:rPr>
          <w:sz w:val="28"/>
          <w:szCs w:val="28"/>
        </w:rPr>
        <w:t>通气静态垛堆肥系统比条垛系统更能确保高温环境并提供病原菌灭活的条件，该系统堆肥过程中不进行物料的翻堆，堆体内的有氧状态是通过堆体下部的通气系统来提供的。</w:t>
      </w:r>
    </w:p>
    <w:p>
      <w:pPr>
        <w:spacing w:line="360" w:lineRule="auto"/>
        <w:ind w:firstLine="560" w:firstLineChars="200"/>
        <w:rPr>
          <w:sz w:val="28"/>
          <w:szCs w:val="28"/>
        </w:rPr>
      </w:pPr>
      <w:r>
        <w:rPr>
          <w:sz w:val="28"/>
          <w:szCs w:val="28"/>
        </w:rPr>
        <w:t>发酵仓系统是将物料置于部分或全部封闭的容器内，控制通气和水分条件，使之进行生物降解和转化的体系。发酵仓系统是在一个或几个容器内进行，通过翻堆、曝气、搅拌、混合，通风系统控制水分、温度，同时在发酵的过程中自动解决物料移动及出料的问题，最终达到缩短发酵周期、提高发酵速率、提高生产效率、实现机械化生产的目的，是高度机械化和自动化的。</w:t>
      </w:r>
    </w:p>
    <w:p>
      <w:pPr>
        <w:spacing w:line="360" w:lineRule="auto"/>
        <w:ind w:firstLine="560" w:firstLineChars="200"/>
        <w:rPr>
          <w:sz w:val="28"/>
          <w:szCs w:val="28"/>
        </w:rPr>
      </w:pPr>
      <w:r>
        <w:rPr>
          <w:sz w:val="28"/>
          <w:szCs w:val="28"/>
        </w:rPr>
        <w:t>目前徐水区主要采用的畜禽粪便肥料化处理技术为堆肥处理，建议之后徐水区逐步减少规模化养殖场自行堆肥发酵的处理率，增加集中化处理制作有机肥的处理率，逐步实现种养结合、现代设施农业、有机农业的可持续发展。</w:t>
      </w:r>
    </w:p>
    <w:p>
      <w:pPr>
        <w:spacing w:line="360" w:lineRule="auto"/>
        <w:ind w:firstLine="562" w:firstLineChars="200"/>
        <w:rPr>
          <w:b/>
          <w:bCs/>
          <w:sz w:val="28"/>
          <w:szCs w:val="28"/>
        </w:rPr>
      </w:pPr>
    </w:p>
    <w:p>
      <w:pPr>
        <w:spacing w:line="360" w:lineRule="auto"/>
        <w:ind w:firstLine="562" w:firstLineChars="200"/>
        <w:rPr>
          <w:b/>
          <w:bCs/>
          <w:sz w:val="28"/>
          <w:szCs w:val="28"/>
        </w:rPr>
      </w:pPr>
      <w:r>
        <w:rPr>
          <w:b/>
          <w:bCs/>
          <w:sz w:val="28"/>
          <w:szCs w:val="28"/>
        </w:rPr>
        <w:t>厌氧发酵</w:t>
      </w:r>
    </w:p>
    <w:p>
      <w:pPr>
        <w:spacing w:line="360" w:lineRule="auto"/>
        <w:ind w:firstLine="560" w:firstLineChars="200"/>
        <w:rPr>
          <w:sz w:val="28"/>
          <w:szCs w:val="28"/>
        </w:rPr>
      </w:pPr>
      <w:r>
        <w:rPr>
          <w:sz w:val="28"/>
          <w:szCs w:val="28"/>
        </w:rPr>
        <w:t>厌氧发酵又称厌氧消化，是指兼性菌和厌氧细菌在无氧的条件下，将可降解的有机物分解为CH</w:t>
      </w:r>
      <w:r>
        <w:rPr>
          <w:sz w:val="28"/>
          <w:szCs w:val="28"/>
          <w:vertAlign w:val="subscript"/>
        </w:rPr>
        <w:t>4</w:t>
      </w:r>
      <w:r>
        <w:rPr>
          <w:sz w:val="28"/>
          <w:szCs w:val="28"/>
        </w:rPr>
        <w:t>、CO</w:t>
      </w:r>
      <w:r>
        <w:rPr>
          <w:sz w:val="28"/>
          <w:szCs w:val="28"/>
          <w:vertAlign w:val="subscript"/>
        </w:rPr>
        <w:t>2</w:t>
      </w:r>
      <w:r>
        <w:rPr>
          <w:sz w:val="28"/>
          <w:szCs w:val="28"/>
        </w:rPr>
        <w:t>、H</w:t>
      </w:r>
      <w:r>
        <w:rPr>
          <w:sz w:val="28"/>
          <w:szCs w:val="28"/>
          <w:vertAlign w:val="subscript"/>
        </w:rPr>
        <w:t>2</w:t>
      </w:r>
      <w:r>
        <w:rPr>
          <w:sz w:val="28"/>
          <w:szCs w:val="28"/>
        </w:rPr>
        <w:t>O和H</w:t>
      </w:r>
      <w:r>
        <w:rPr>
          <w:sz w:val="28"/>
          <w:szCs w:val="28"/>
          <w:vertAlign w:val="subscript"/>
        </w:rPr>
        <w:t>2</w:t>
      </w:r>
      <w:r>
        <w:rPr>
          <w:sz w:val="28"/>
          <w:szCs w:val="28"/>
        </w:rPr>
        <w:t>S的过程。沼气可作为燃料用于燃烧或发电，沼渣可以作为动物饲料或土地肥料，沼液可以作为农作物的营养液。厌氧发酵技术，以能源生产为目标，可最终实现沼气、沼液、沼渣的综合利用。这是一种能将污水处理和能源回收相结合的技术，因其投资省、能耗低、可回收利用沼气能源、负荷高、产泥少、耐冲击负荷等优点而受到养殖业及环保界的重视。畜禽粪便进行厌氧发酵处理后，实现了“变废为宝”，转换为可利用的能源物质，可替代化石燃料，具有消除污染物、促进能源再生和资源的循环利用等优点。</w:t>
      </w:r>
    </w:p>
    <w:p>
      <w:pPr>
        <w:spacing w:line="360" w:lineRule="auto"/>
        <w:ind w:firstLine="560" w:firstLineChars="200"/>
        <w:rPr>
          <w:sz w:val="28"/>
          <w:szCs w:val="28"/>
        </w:rPr>
      </w:pPr>
      <w:r>
        <w:rPr>
          <w:sz w:val="28"/>
          <w:szCs w:val="28"/>
        </w:rPr>
        <w:t>畜禽粪污经匀浆池（或调节池）调节水质水量后，提升到厌氧消化池。厌氧消化池产生的沼气经净化后再利用，出料经固液分离后，沼渣可制备有机肥后回田利用，沼液除部分回流外，其余部分可作为液体肥料利用或进一步处理。</w:t>
      </w:r>
    </w:p>
    <w:p>
      <w:pPr>
        <w:spacing w:line="360" w:lineRule="auto"/>
        <w:jc w:val="center"/>
        <w:rPr>
          <w:sz w:val="28"/>
          <w:szCs w:val="28"/>
        </w:rPr>
      </w:pPr>
      <w:r>
        <w:rPr>
          <w:sz w:val="28"/>
          <w:szCs w:val="28"/>
        </w:rPr>
        <w:drawing>
          <wp:inline distT="0" distB="0" distL="114300" distR="114300">
            <wp:extent cx="4650740" cy="1856740"/>
            <wp:effectExtent l="0" t="0" r="16510" b="1016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9"/>
                    <a:stretch>
                      <a:fillRect/>
                    </a:stretch>
                  </pic:blipFill>
                  <pic:spPr>
                    <a:xfrm>
                      <a:off x="0" y="0"/>
                      <a:ext cx="4650740" cy="1856740"/>
                    </a:xfrm>
                    <a:prstGeom prst="rect">
                      <a:avLst/>
                    </a:prstGeom>
                  </pic:spPr>
                </pic:pic>
              </a:graphicData>
            </a:graphic>
          </wp:inline>
        </w:drawing>
      </w:r>
    </w:p>
    <w:p>
      <w:pPr>
        <w:spacing w:line="360" w:lineRule="auto"/>
        <w:jc w:val="center"/>
        <w:rPr>
          <w:rFonts w:eastAsia="黑体"/>
          <w:b/>
          <w:bCs/>
          <w:szCs w:val="21"/>
        </w:rPr>
      </w:pPr>
      <w:r>
        <w:rPr>
          <w:rFonts w:eastAsia="黑体"/>
          <w:b/>
          <w:bCs/>
          <w:szCs w:val="21"/>
        </w:rPr>
        <w:t>图 4.5-1  畜禽养殖综合利用技术工艺流程图</w:t>
      </w:r>
    </w:p>
    <w:p>
      <w:pPr>
        <w:spacing w:line="360" w:lineRule="auto"/>
        <w:ind w:firstLine="560" w:firstLineChars="200"/>
        <w:rPr>
          <w:sz w:val="28"/>
          <w:szCs w:val="28"/>
        </w:rPr>
      </w:pPr>
      <w:bookmarkStart w:id="346" w:name="_Toc25386"/>
      <w:bookmarkStart w:id="347" w:name="_Toc30019"/>
      <w:bookmarkStart w:id="348" w:name="_Toc28147"/>
      <w:bookmarkStart w:id="349" w:name="_Toc4359"/>
      <w:r>
        <w:rPr>
          <w:sz w:val="28"/>
          <w:szCs w:val="28"/>
        </w:rPr>
        <w:t>目前徐水区采用的畜禽粪便能源化处理技术为厌氧发酵，且同时存在沼气利用率低的问题：企业或养殖场采用厌氧发酵制备沼气，然而沼气的产生量太少，而储存成本又过高，导致沼气并未实际利用，造成严重浪费，因此集中化处理畜禽粪污迫在眉睫。</w:t>
      </w:r>
    </w:p>
    <w:p>
      <w:pPr>
        <w:pStyle w:val="6"/>
        <w:numPr>
          <w:ilvl w:val="2"/>
          <w:numId w:val="0"/>
        </w:numPr>
        <w:spacing w:before="156" w:after="156"/>
      </w:pPr>
      <w:bookmarkStart w:id="350" w:name="_Toc1658"/>
      <w:r>
        <w:t>4.5.3病死畜禽尸体的处理</w:t>
      </w:r>
      <w:bookmarkEnd w:id="350"/>
    </w:p>
    <w:p>
      <w:pPr>
        <w:spacing w:line="360" w:lineRule="auto"/>
        <w:ind w:firstLine="560" w:firstLineChars="200"/>
        <w:rPr>
          <w:sz w:val="28"/>
          <w:szCs w:val="28"/>
        </w:rPr>
      </w:pPr>
      <w:r>
        <w:rPr>
          <w:sz w:val="28"/>
          <w:szCs w:val="28"/>
        </w:rPr>
        <w:t>养殖场可以采用高温灭菌后进行厌氧发酵技术对病死畜禽尸体进行处理，不具备高温灭菌条件和厌氧发酵条件的养殖场应通知当地乡镇政府，由当地乡镇政府委托徐水区畜禽综合无害化处理中心对病死畜禽尸体进行无害化处理。目前徐水区已建成一病死畜禽无害化处理中心，对徐水区全</w:t>
      </w:r>
      <w:r>
        <w:rPr>
          <w:rFonts w:hint="eastAsia"/>
          <w:sz w:val="28"/>
          <w:szCs w:val="28"/>
        </w:rPr>
        <w:t>区</w:t>
      </w:r>
      <w:r>
        <w:rPr>
          <w:sz w:val="28"/>
          <w:szCs w:val="28"/>
        </w:rPr>
        <w:t>范围内所有养殖户进行病死畜禽无害化处理。</w:t>
      </w:r>
    </w:p>
    <w:p>
      <w:pPr>
        <w:pStyle w:val="5"/>
        <w:spacing w:before="312" w:after="312"/>
        <w:rPr>
          <w:rFonts w:ascii="Times New Roman" w:hAnsi="Times New Roman" w:cs="Times New Roman"/>
          <w:lang w:val="en-US"/>
        </w:rPr>
      </w:pPr>
      <w:bookmarkStart w:id="351" w:name="_Toc22882"/>
      <w:bookmarkStart w:id="352" w:name="_Toc9183"/>
      <w:r>
        <w:rPr>
          <w:rFonts w:ascii="Times New Roman" w:hAnsi="Times New Roman" w:cs="Times New Roman"/>
          <w:lang w:val="en-US"/>
        </w:rPr>
        <w:t>4.6培育社会化服务组织</w:t>
      </w:r>
      <w:bookmarkEnd w:id="351"/>
    </w:p>
    <w:p>
      <w:pPr>
        <w:spacing w:line="360" w:lineRule="auto"/>
        <w:ind w:firstLine="560" w:firstLineChars="200"/>
        <w:rPr>
          <w:sz w:val="28"/>
          <w:szCs w:val="28"/>
        </w:rPr>
      </w:pPr>
      <w:r>
        <w:rPr>
          <w:sz w:val="28"/>
          <w:szCs w:val="28"/>
        </w:rPr>
        <w:t>按照政府支持、企业主体、市场化运作的方针，为加强粪污的集中处理和资源化利用，鼓励和支持养殖场与农业大户、农村合作社、绿化公司的合作，培育壮大第三方治理企业和社会化服务组织。</w:t>
      </w:r>
    </w:p>
    <w:p>
      <w:pPr>
        <w:spacing w:line="360" w:lineRule="auto"/>
        <w:ind w:firstLine="560" w:firstLineChars="200"/>
        <w:rPr>
          <w:sz w:val="28"/>
          <w:szCs w:val="28"/>
        </w:rPr>
      </w:pPr>
      <w:r>
        <w:rPr>
          <w:sz w:val="28"/>
          <w:szCs w:val="28"/>
        </w:rPr>
        <w:t>支持各类新型经营主体组建一批粪污收集运输、粪污资源化处理等社会化服务组织，配备收集运输设备和暂存设施，集中收集、处理周边养殖粪污；支持重点大型养殖企业或种植合作社建设大型有机肥加工厂作为粪污集中处理中心；引导相邻的规模养殖场与规模化种植基地对接，共建粪污消纳基地，支持建设田间沼液贮存池、粪污输送管网等配套设施，全面拓展畜禽粪污资源化利用路径。</w:t>
      </w:r>
    </w:p>
    <w:p>
      <w:pPr>
        <w:pStyle w:val="5"/>
        <w:spacing w:before="312" w:after="312"/>
        <w:rPr>
          <w:rFonts w:ascii="Times New Roman" w:hAnsi="Times New Roman" w:cs="Times New Roman"/>
          <w:lang w:val="en-US"/>
        </w:rPr>
      </w:pPr>
      <w:bookmarkStart w:id="353" w:name="_Toc10144"/>
      <w:r>
        <w:rPr>
          <w:rFonts w:ascii="Times New Roman" w:hAnsi="Times New Roman" w:cs="Times New Roman"/>
          <w:lang w:val="en-US"/>
        </w:rPr>
        <w:t>4.7强化环境监管</w:t>
      </w:r>
      <w:bookmarkEnd w:id="353"/>
    </w:p>
    <w:p>
      <w:pPr>
        <w:spacing w:line="360" w:lineRule="auto"/>
        <w:ind w:firstLine="560" w:firstLineChars="200"/>
        <w:rPr>
          <w:sz w:val="28"/>
          <w:szCs w:val="28"/>
        </w:rPr>
      </w:pPr>
      <w:r>
        <w:rPr>
          <w:sz w:val="28"/>
          <w:szCs w:val="28"/>
        </w:rPr>
        <w:t>采取多种形式，大力宣传《环境保护法》、《畜禽规模养殖污染防治条例》等法律法规和相关政策，落实告知承诺和畜禽养殖业主环保主体责任，利用反面典型，开展警示教育。不定期到养殖场进行技术指导，开展检查，督促规模养殖场粪污处理设施正常运行。</w:t>
      </w:r>
    </w:p>
    <w:p>
      <w:pPr>
        <w:spacing w:line="360" w:lineRule="auto"/>
        <w:ind w:firstLine="560" w:firstLineChars="200"/>
        <w:rPr>
          <w:sz w:val="28"/>
          <w:szCs w:val="28"/>
        </w:rPr>
      </w:pPr>
      <w:r>
        <w:rPr>
          <w:sz w:val="28"/>
          <w:szCs w:val="28"/>
        </w:rPr>
        <w:t>农业部门联合环保部门对规模养殖场粪污处理设施配套情况进行随机检查，促进配建设施稳定运行，督促畜禽规模养殖场粪污资源化利用设施加快配建。对规模养殖场（小区）的布局情况、“三区分离”情况、“两道分开”情况、雨污分流情况及防雨、防渗、防漏及固体粪污储存场所和污水储存池、粪污处理使用记录档案等进行全面督导检查。构建“1+1+4”污染治理长效工作机制，“1+1”即每年集中开展为期3个月的集中排查移交整治专项行动和大力提升畜禽粪污处理设施配建水平；“4”即建立服务督导机制、明察暗访机制、约谈通报机制、监督举报机制。强化养殖场（小区）落实主体责任，提升和完善畜禽养殖粪污处理设施配套建设，结合当地种养情况和环境压力制定污染风险防范措施。</w:t>
      </w:r>
    </w:p>
    <w:p>
      <w:pPr>
        <w:pStyle w:val="5"/>
        <w:spacing w:before="312" w:after="312"/>
        <w:rPr>
          <w:rFonts w:ascii="Times New Roman" w:hAnsi="Times New Roman" w:cs="Times New Roman"/>
          <w:lang w:val="en-US"/>
        </w:rPr>
      </w:pPr>
      <w:bookmarkStart w:id="354" w:name="_Toc14706"/>
      <w:r>
        <w:rPr>
          <w:rFonts w:ascii="Times New Roman" w:hAnsi="Times New Roman" w:cs="Times New Roman"/>
          <w:lang w:val="en-US"/>
        </w:rPr>
        <w:t>4.8提升规模化养殖场占比</w:t>
      </w:r>
      <w:bookmarkEnd w:id="354"/>
    </w:p>
    <w:p>
      <w:pPr>
        <w:spacing w:line="360" w:lineRule="auto"/>
        <w:ind w:firstLine="560" w:firstLineChars="200"/>
        <w:rPr>
          <w:sz w:val="28"/>
          <w:szCs w:val="28"/>
        </w:rPr>
      </w:pPr>
      <w:r>
        <w:rPr>
          <w:sz w:val="28"/>
          <w:szCs w:val="28"/>
        </w:rPr>
        <w:t>提升徐水区整体规模化养殖场占比，尤其是义联庄乡、留村镇、东釜山乡、瀑河乡、正村镇、遂城镇和大王店镇，规模化养殖场占比较低，需要重点提升规模化养殖场占比，更有利于畜禽养殖粪污的资源化利用，有利于环境管理。</w:t>
      </w:r>
      <w:r>
        <w:rPr>
          <w:sz w:val="28"/>
          <w:szCs w:val="28"/>
        </w:rPr>
        <w:br w:type="page"/>
      </w:r>
    </w:p>
    <w:p>
      <w:pPr>
        <w:pStyle w:val="4"/>
        <w:spacing w:before="312" w:after="312"/>
        <w:rPr>
          <w:rFonts w:ascii="Times New Roman" w:hAnsi="Times New Roman"/>
          <w:lang w:val="en-US"/>
        </w:rPr>
      </w:pPr>
      <w:bookmarkStart w:id="355" w:name="_Toc17933"/>
      <w:r>
        <w:rPr>
          <w:rFonts w:ascii="Times New Roman" w:hAnsi="Times New Roman"/>
          <w:lang w:val="en-US"/>
        </w:rPr>
        <w:t>5重点</w:t>
      </w:r>
      <w:bookmarkEnd w:id="346"/>
      <w:bookmarkEnd w:id="347"/>
      <w:bookmarkEnd w:id="348"/>
      <w:bookmarkEnd w:id="349"/>
      <w:bookmarkEnd w:id="352"/>
      <w:r>
        <w:rPr>
          <w:rFonts w:ascii="Times New Roman" w:hAnsi="Times New Roman"/>
          <w:lang w:val="en-US"/>
        </w:rPr>
        <w:t>工程</w:t>
      </w:r>
      <w:bookmarkEnd w:id="355"/>
    </w:p>
    <w:p>
      <w:pPr>
        <w:pStyle w:val="5"/>
        <w:spacing w:before="312" w:after="312"/>
        <w:rPr>
          <w:rFonts w:ascii="Times New Roman" w:hAnsi="Times New Roman" w:cs="Times New Roman"/>
          <w:lang w:val="en-US"/>
        </w:rPr>
      </w:pPr>
      <w:bookmarkStart w:id="356" w:name="_Toc29430"/>
      <w:r>
        <w:rPr>
          <w:rFonts w:ascii="Times New Roman" w:hAnsi="Times New Roman" w:cs="Times New Roman"/>
          <w:lang w:val="en-US"/>
        </w:rPr>
        <w:t>5.1建设内容</w:t>
      </w:r>
      <w:bookmarkEnd w:id="356"/>
    </w:p>
    <w:p>
      <w:pPr>
        <w:spacing w:line="360" w:lineRule="auto"/>
        <w:ind w:firstLine="560" w:firstLineChars="200"/>
        <w:rPr>
          <w:sz w:val="28"/>
          <w:szCs w:val="28"/>
        </w:rPr>
      </w:pPr>
      <w:r>
        <w:rPr>
          <w:sz w:val="28"/>
          <w:szCs w:val="28"/>
        </w:rPr>
        <w:t>通过对徐水区畜禽养殖业现状的全面调查的基础上，根据现行国家法律法规及地方法规体系，划定畜禽养殖禁养区。按照建设项目环境管理有关规定规范规模化畜禽养殖场及养殖专业户建设。积极推进“小循环、中循环、大循环”三种种养结合生态循环模式。积极促进畜禽粪便及污水的综合利用，建设并完善畜禽粪污综合利用及污染物治理设施，确保区域主要河流水质良好和饮用水安全，为打造雄安新区上游绿色桥头堡提供有力支撑。依法依规引导畜禽养殖业平稳健康绿色发展，为稳定生产提供有利条件。</w:t>
      </w:r>
    </w:p>
    <w:p>
      <w:pPr>
        <w:pStyle w:val="5"/>
        <w:spacing w:before="312" w:after="312"/>
        <w:rPr>
          <w:rFonts w:ascii="Times New Roman" w:hAnsi="Times New Roman" w:cs="Times New Roman"/>
          <w:lang w:val="en-US"/>
        </w:rPr>
      </w:pPr>
      <w:bookmarkStart w:id="357" w:name="_Toc26937"/>
      <w:r>
        <w:rPr>
          <w:rFonts w:ascii="Times New Roman" w:hAnsi="Times New Roman" w:cs="Times New Roman"/>
          <w:lang w:val="en-US"/>
        </w:rPr>
        <w:t>5.2建设主体</w:t>
      </w:r>
      <w:bookmarkEnd w:id="357"/>
    </w:p>
    <w:p>
      <w:pPr>
        <w:spacing w:line="360" w:lineRule="auto"/>
        <w:ind w:firstLine="560" w:firstLineChars="200"/>
        <w:rPr>
          <w:sz w:val="28"/>
          <w:szCs w:val="28"/>
        </w:rPr>
      </w:pPr>
      <w:r>
        <w:rPr>
          <w:sz w:val="28"/>
          <w:szCs w:val="28"/>
        </w:rPr>
        <w:t>为解决粪污资源化利用的瓶颈问题，打通粪污肥料和资源化利用的通道。通过改进养殖场清粪技术工艺，采用干清粪，在源头地最大限度节水控污，同时完善粪便堆粪场、污水沉淀池、污水管道、雨污分离等粪污处理设施，配套吸粪车、固液分离机等粪污资源化利用设施，构建收储运体系。项目建成后，规模养殖场粪污处理设施装备配套率达到100%，畜禽粪污综合利用率达到90%以上。</w:t>
      </w:r>
    </w:p>
    <w:p>
      <w:pPr>
        <w:spacing w:line="360" w:lineRule="auto"/>
        <w:ind w:firstLine="560" w:firstLineChars="200"/>
        <w:rPr>
          <w:sz w:val="28"/>
          <w:szCs w:val="28"/>
        </w:rPr>
      </w:pPr>
      <w:r>
        <w:rPr>
          <w:sz w:val="28"/>
          <w:szCs w:val="28"/>
        </w:rPr>
        <w:t>根据我区实际情况，通过宣传发动、自愿申报、条件审核，确定18家规模养殖场和2个园区为项目实施单位。规模化养殖场建设粪污处理设施、购买粪污处理设备。新建发酵车间200m²，发酵设备基础1套，输送带2套；购买污水处理设备16套，发酵罐（机）20台，固液分离机33台，吸（清）粪车13辆，刮粪板14套，铲车31台，抛粪车7辆，拉粪车15辆，液体有机肥施肥槽车1辆，用于改造提升粪污处理设施、设备。凯年农业有限公司和河北集美绿化工程有限公司2个园区主要建设粪污收集、处理设施设备和肥水还田管网建设及配套设施。</w:t>
      </w:r>
    </w:p>
    <w:p>
      <w:pPr>
        <w:spacing w:line="360" w:lineRule="auto"/>
        <w:ind w:firstLine="560" w:firstLineChars="200"/>
        <w:rPr>
          <w:sz w:val="28"/>
          <w:szCs w:val="28"/>
        </w:rPr>
      </w:pPr>
      <w:r>
        <w:rPr>
          <w:sz w:val="28"/>
          <w:szCs w:val="28"/>
        </w:rPr>
        <w:t>畜禽养殖业污染综合整治规划重点工程见表5.2-1。</w:t>
      </w:r>
    </w:p>
    <w:p>
      <w:pPr>
        <w:pStyle w:val="5"/>
        <w:spacing w:before="312" w:after="312"/>
        <w:rPr>
          <w:rFonts w:ascii="Times New Roman" w:hAnsi="Times New Roman" w:cs="Times New Roman"/>
          <w:lang w:val="en-US"/>
        </w:rPr>
      </w:pPr>
      <w:bookmarkStart w:id="358" w:name="_Toc28650"/>
      <w:bookmarkStart w:id="359" w:name="_Toc24935"/>
      <w:r>
        <w:rPr>
          <w:rFonts w:ascii="Times New Roman" w:hAnsi="Times New Roman" w:cs="Times New Roman"/>
          <w:lang w:val="en-US"/>
        </w:rPr>
        <w:t>5.3建设时限</w:t>
      </w:r>
      <w:bookmarkEnd w:id="358"/>
    </w:p>
    <w:p>
      <w:pPr>
        <w:spacing w:line="360" w:lineRule="auto"/>
        <w:ind w:firstLine="560" w:firstLineChars="200"/>
        <w:rPr>
          <w:sz w:val="28"/>
          <w:szCs w:val="28"/>
        </w:rPr>
      </w:pPr>
      <w:bookmarkStart w:id="360" w:name="_Toc6066"/>
      <w:bookmarkStart w:id="361" w:name="_Toc17061"/>
      <w:bookmarkStart w:id="362" w:name="_Toc20946"/>
      <w:bookmarkStart w:id="363" w:name="_Toc28895"/>
      <w:bookmarkStart w:id="364" w:name="_Toc5122"/>
      <w:bookmarkStart w:id="365" w:name="_Toc21986"/>
      <w:r>
        <w:rPr>
          <w:sz w:val="28"/>
          <w:szCs w:val="28"/>
        </w:rPr>
        <w:t>2020-2025年</w:t>
      </w:r>
    </w:p>
    <w:bookmarkEnd w:id="360"/>
    <w:bookmarkEnd w:id="361"/>
    <w:bookmarkEnd w:id="362"/>
    <w:bookmarkEnd w:id="363"/>
    <w:bookmarkEnd w:id="364"/>
    <w:bookmarkEnd w:id="365"/>
    <w:p>
      <w:pPr>
        <w:pStyle w:val="5"/>
        <w:spacing w:before="312" w:after="312"/>
        <w:rPr>
          <w:rFonts w:ascii="Times New Roman" w:hAnsi="Times New Roman" w:cs="Times New Roman"/>
          <w:lang w:val="en-US"/>
        </w:rPr>
      </w:pPr>
      <w:bookmarkStart w:id="366" w:name="_Toc18491"/>
      <w:bookmarkStart w:id="367" w:name="_Toc15903"/>
      <w:r>
        <w:rPr>
          <w:rFonts w:ascii="Times New Roman" w:hAnsi="Times New Roman" w:cs="Times New Roman"/>
          <w:lang w:val="en-US"/>
        </w:rPr>
        <w:t>5.4项目管理</w:t>
      </w:r>
      <w:bookmarkEnd w:id="366"/>
      <w:bookmarkEnd w:id="367"/>
    </w:p>
    <w:p>
      <w:pPr>
        <w:pStyle w:val="6"/>
        <w:numPr>
          <w:ilvl w:val="2"/>
          <w:numId w:val="0"/>
        </w:numPr>
        <w:spacing w:before="156" w:after="156"/>
      </w:pPr>
      <w:bookmarkStart w:id="368" w:name="_Toc15750"/>
      <w:r>
        <w:t>5.4.1项目建设过程的管理机构及管理模式</w:t>
      </w:r>
      <w:bookmarkEnd w:id="368"/>
    </w:p>
    <w:p>
      <w:pPr>
        <w:spacing w:line="360" w:lineRule="auto"/>
        <w:ind w:firstLine="560" w:firstLineChars="200"/>
        <w:rPr>
          <w:sz w:val="28"/>
          <w:szCs w:val="28"/>
        </w:rPr>
      </w:pPr>
      <w:r>
        <w:rPr>
          <w:sz w:val="28"/>
          <w:szCs w:val="28"/>
        </w:rPr>
        <w:t>为统筹项目建设，由区生态环境主管部门和区农业农村主管部门共同进行</w:t>
      </w:r>
      <w:r>
        <w:rPr>
          <w:rFonts w:hint="eastAsia"/>
          <w:sz w:val="28"/>
          <w:szCs w:val="28"/>
        </w:rPr>
        <w:t>项目</w:t>
      </w:r>
      <w:r>
        <w:rPr>
          <w:sz w:val="28"/>
          <w:szCs w:val="28"/>
        </w:rPr>
        <w:t>监督管理工作。</w:t>
      </w:r>
    </w:p>
    <w:p>
      <w:pPr>
        <w:pStyle w:val="6"/>
        <w:numPr>
          <w:ilvl w:val="2"/>
          <w:numId w:val="0"/>
        </w:numPr>
        <w:spacing w:before="156" w:after="156"/>
      </w:pPr>
      <w:bookmarkStart w:id="369" w:name="_Toc30959"/>
      <w:r>
        <w:t>5.4.2工程管理措施</w:t>
      </w:r>
      <w:bookmarkEnd w:id="369"/>
    </w:p>
    <w:p>
      <w:pPr>
        <w:spacing w:line="360" w:lineRule="auto"/>
        <w:ind w:firstLine="560" w:firstLineChars="200"/>
        <w:rPr>
          <w:sz w:val="28"/>
          <w:szCs w:val="28"/>
        </w:rPr>
      </w:pPr>
      <w:r>
        <w:rPr>
          <w:sz w:val="28"/>
          <w:szCs w:val="28"/>
        </w:rPr>
        <w:t>（1）区生态环境主管部门和区农业农村主管部门应相互配合、协调工作，按工程总进度表分步实施。</w:t>
      </w:r>
    </w:p>
    <w:p>
      <w:pPr>
        <w:spacing w:line="360" w:lineRule="auto"/>
        <w:ind w:firstLine="560" w:firstLineChars="200"/>
        <w:rPr>
          <w:sz w:val="28"/>
          <w:szCs w:val="28"/>
        </w:rPr>
      </w:pPr>
      <w:r>
        <w:rPr>
          <w:sz w:val="28"/>
          <w:szCs w:val="28"/>
        </w:rPr>
        <w:t>（2）根据项目投资估算，</w:t>
      </w:r>
      <w:r>
        <w:rPr>
          <w:rFonts w:hint="eastAsia"/>
          <w:sz w:val="28"/>
          <w:szCs w:val="28"/>
        </w:rPr>
        <w:t>项目实施单位</w:t>
      </w:r>
      <w:r>
        <w:rPr>
          <w:sz w:val="28"/>
          <w:szCs w:val="28"/>
        </w:rPr>
        <w:t>设专人负责，落实建设资金，资金迅速到位是本项目顺利进行的关键。</w:t>
      </w:r>
    </w:p>
    <w:p>
      <w:pPr>
        <w:spacing w:line="360" w:lineRule="auto"/>
        <w:ind w:firstLine="560" w:firstLineChars="200"/>
        <w:rPr>
          <w:sz w:val="28"/>
          <w:szCs w:val="28"/>
        </w:rPr>
      </w:pPr>
      <w:r>
        <w:rPr>
          <w:sz w:val="28"/>
          <w:szCs w:val="28"/>
        </w:rPr>
        <w:t>（3）在项目实施过程中，</w:t>
      </w:r>
      <w:r>
        <w:rPr>
          <w:rFonts w:hint="eastAsia"/>
          <w:sz w:val="28"/>
          <w:szCs w:val="28"/>
        </w:rPr>
        <w:t>项目实施单位</w:t>
      </w:r>
      <w:r>
        <w:rPr>
          <w:sz w:val="28"/>
          <w:szCs w:val="28"/>
        </w:rPr>
        <w:t>应安排专人建立一系列的规章管理制度，如：建设合同、进度、质量、资金使用计划和管理制度。</w:t>
      </w:r>
    </w:p>
    <w:p>
      <w:pPr>
        <w:spacing w:line="360" w:lineRule="auto"/>
        <w:ind w:firstLine="560" w:firstLineChars="200"/>
        <w:rPr>
          <w:sz w:val="28"/>
          <w:szCs w:val="28"/>
        </w:rPr>
      </w:pPr>
      <w:r>
        <w:rPr>
          <w:sz w:val="28"/>
          <w:szCs w:val="28"/>
        </w:rPr>
        <w:t>（4）加强项目监督、检查，分月、季度、年度制定计划，并按制定的计划及时检查、调整，确保资金的使用和项目按要求完成。</w:t>
      </w:r>
    </w:p>
    <w:p>
      <w:pPr>
        <w:pStyle w:val="5"/>
        <w:spacing w:before="312" w:after="312"/>
        <w:rPr>
          <w:rFonts w:ascii="Times New Roman" w:hAnsi="Times New Roman" w:cs="Times New Roman"/>
          <w:lang w:val="en-US"/>
        </w:rPr>
      </w:pPr>
      <w:bookmarkStart w:id="370" w:name="_Toc16450"/>
      <w:bookmarkStart w:id="371" w:name="_Toc30770"/>
      <w:bookmarkStart w:id="372" w:name="_Toc2696"/>
      <w:bookmarkStart w:id="373" w:name="_Toc17507"/>
      <w:bookmarkStart w:id="374" w:name="_Toc9143"/>
      <w:bookmarkStart w:id="375" w:name="_Toc17906"/>
      <w:bookmarkStart w:id="376" w:name="_Toc4247"/>
      <w:bookmarkStart w:id="377" w:name="_Toc14604"/>
      <w:r>
        <w:rPr>
          <w:rFonts w:ascii="Times New Roman" w:hAnsi="Times New Roman" w:cs="Times New Roman"/>
          <w:lang w:val="en-US"/>
        </w:rPr>
        <w:t>5.5项目概算</w:t>
      </w:r>
      <w:bookmarkEnd w:id="370"/>
      <w:bookmarkEnd w:id="371"/>
      <w:bookmarkEnd w:id="372"/>
      <w:bookmarkEnd w:id="373"/>
      <w:bookmarkEnd w:id="374"/>
      <w:bookmarkEnd w:id="375"/>
      <w:bookmarkEnd w:id="376"/>
      <w:bookmarkEnd w:id="377"/>
    </w:p>
    <w:p>
      <w:pPr>
        <w:spacing w:line="360" w:lineRule="auto"/>
        <w:ind w:firstLine="560" w:firstLineChars="200"/>
        <w:rPr>
          <w:sz w:val="28"/>
          <w:szCs w:val="28"/>
        </w:rPr>
      </w:pPr>
      <w:bookmarkStart w:id="378" w:name="_Toc32396"/>
      <w:bookmarkStart w:id="379" w:name="_Toc1749"/>
      <w:bookmarkStart w:id="380" w:name="_Toc1025"/>
      <w:r>
        <w:rPr>
          <w:sz w:val="28"/>
          <w:szCs w:val="28"/>
        </w:rPr>
        <w:t>各养殖场改造投资估算根据其性质不同，分别依据国家有关部委对建设项目投资估算规定，并参照市场价格和项目实际情况确定估算指标。</w:t>
      </w:r>
      <w:bookmarkEnd w:id="378"/>
      <w:bookmarkEnd w:id="379"/>
      <w:bookmarkEnd w:id="380"/>
    </w:p>
    <w:p>
      <w:pPr>
        <w:spacing w:line="360" w:lineRule="auto"/>
        <w:jc w:val="center"/>
        <w:rPr>
          <w:rFonts w:eastAsia="黑体"/>
          <w:b/>
          <w:bCs/>
          <w:szCs w:val="21"/>
        </w:rPr>
      </w:pPr>
      <w:r>
        <w:rPr>
          <w:rFonts w:eastAsia="黑体"/>
          <w:b/>
          <w:bCs/>
          <w:szCs w:val="21"/>
        </w:rPr>
        <w:t>表5.5-1  项目投资估算一览表 单位：万元</w:t>
      </w:r>
    </w:p>
    <w:tbl>
      <w:tblPr>
        <w:tblStyle w:val="23"/>
        <w:tblW w:w="8920"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13"/>
        <w:gridCol w:w="4025"/>
        <w:gridCol w:w="1361"/>
        <w:gridCol w:w="1361"/>
        <w:gridCol w:w="1360"/>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tcBorders>
              <w:tl2br w:val="nil"/>
              <w:tr2bl w:val="nil"/>
            </w:tcBorders>
            <w:vAlign w:val="center"/>
          </w:tcPr>
          <w:p>
            <w:pPr>
              <w:jc w:val="center"/>
              <w:rPr>
                <w:rFonts w:eastAsia="黑体"/>
                <w:b/>
                <w:bCs/>
                <w:szCs w:val="21"/>
              </w:rPr>
            </w:pPr>
            <w:r>
              <w:rPr>
                <w:rFonts w:eastAsia="黑体"/>
                <w:b/>
                <w:bCs/>
                <w:szCs w:val="21"/>
              </w:rPr>
              <w:t>序号</w:t>
            </w:r>
          </w:p>
        </w:tc>
        <w:tc>
          <w:tcPr>
            <w:tcW w:w="4025" w:type="dxa"/>
            <w:tcBorders>
              <w:tl2br w:val="nil"/>
              <w:tr2bl w:val="nil"/>
            </w:tcBorders>
            <w:vAlign w:val="center"/>
          </w:tcPr>
          <w:p>
            <w:pPr>
              <w:jc w:val="center"/>
              <w:rPr>
                <w:rFonts w:eastAsia="黑体"/>
                <w:b/>
                <w:bCs/>
                <w:szCs w:val="21"/>
              </w:rPr>
            </w:pPr>
            <w:r>
              <w:rPr>
                <w:rFonts w:eastAsia="黑体"/>
                <w:b/>
                <w:bCs/>
                <w:szCs w:val="21"/>
              </w:rPr>
              <w:t>工程名称</w:t>
            </w:r>
          </w:p>
        </w:tc>
        <w:tc>
          <w:tcPr>
            <w:tcW w:w="1361" w:type="dxa"/>
            <w:tcBorders>
              <w:tl2br w:val="nil"/>
              <w:tr2bl w:val="nil"/>
            </w:tcBorders>
            <w:vAlign w:val="center"/>
          </w:tcPr>
          <w:p>
            <w:pPr>
              <w:jc w:val="center"/>
              <w:rPr>
                <w:rFonts w:eastAsia="黑体"/>
                <w:b/>
                <w:bCs/>
                <w:szCs w:val="21"/>
              </w:rPr>
            </w:pPr>
            <w:r>
              <w:rPr>
                <w:rFonts w:eastAsia="黑体"/>
                <w:b/>
                <w:bCs/>
                <w:szCs w:val="21"/>
              </w:rPr>
              <w:t>总投资</w:t>
            </w:r>
          </w:p>
          <w:p>
            <w:pPr>
              <w:jc w:val="center"/>
              <w:rPr>
                <w:rFonts w:eastAsia="黑体"/>
                <w:b/>
                <w:bCs/>
                <w:szCs w:val="21"/>
              </w:rPr>
            </w:pPr>
            <w:r>
              <w:rPr>
                <w:rFonts w:eastAsia="黑体"/>
                <w:b/>
                <w:bCs/>
                <w:szCs w:val="21"/>
              </w:rPr>
              <w:t>（万元）</w:t>
            </w:r>
          </w:p>
        </w:tc>
        <w:tc>
          <w:tcPr>
            <w:tcW w:w="1361" w:type="dxa"/>
            <w:tcBorders>
              <w:tl2br w:val="nil"/>
              <w:tr2bl w:val="nil"/>
            </w:tcBorders>
            <w:vAlign w:val="center"/>
          </w:tcPr>
          <w:p>
            <w:pPr>
              <w:jc w:val="center"/>
              <w:rPr>
                <w:rFonts w:eastAsia="黑体"/>
                <w:b/>
                <w:bCs/>
                <w:szCs w:val="21"/>
              </w:rPr>
            </w:pPr>
            <w:r>
              <w:rPr>
                <w:rFonts w:eastAsia="黑体"/>
                <w:b/>
                <w:bCs/>
                <w:szCs w:val="21"/>
              </w:rPr>
              <w:t>中央资金</w:t>
            </w:r>
          </w:p>
          <w:p>
            <w:pPr>
              <w:jc w:val="center"/>
              <w:rPr>
                <w:rFonts w:eastAsia="黑体"/>
                <w:b/>
                <w:bCs/>
                <w:szCs w:val="21"/>
              </w:rPr>
            </w:pPr>
            <w:r>
              <w:rPr>
                <w:rFonts w:eastAsia="黑体"/>
                <w:b/>
                <w:bCs/>
                <w:szCs w:val="21"/>
              </w:rPr>
              <w:t>（万元）</w:t>
            </w:r>
          </w:p>
        </w:tc>
        <w:tc>
          <w:tcPr>
            <w:tcW w:w="1360" w:type="dxa"/>
            <w:tcBorders>
              <w:tl2br w:val="nil"/>
              <w:tr2bl w:val="nil"/>
            </w:tcBorders>
            <w:vAlign w:val="center"/>
          </w:tcPr>
          <w:p>
            <w:pPr>
              <w:jc w:val="center"/>
              <w:rPr>
                <w:rFonts w:eastAsia="黑体"/>
                <w:b/>
                <w:bCs/>
                <w:szCs w:val="21"/>
              </w:rPr>
            </w:pPr>
            <w:r>
              <w:rPr>
                <w:rFonts w:eastAsia="黑体"/>
                <w:b/>
                <w:bCs/>
                <w:szCs w:val="21"/>
              </w:rPr>
              <w:t>自筹资金</w:t>
            </w:r>
          </w:p>
          <w:p>
            <w:pPr>
              <w:jc w:val="center"/>
              <w:rPr>
                <w:rFonts w:eastAsia="黑体"/>
                <w:b/>
                <w:bCs/>
                <w:szCs w:val="21"/>
              </w:rPr>
            </w:pPr>
            <w:r>
              <w:rPr>
                <w:rFonts w:eastAsia="黑体"/>
                <w:b/>
                <w:bCs/>
                <w:szCs w:val="21"/>
              </w:rPr>
              <w:t>（万元）</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13" w:type="dxa"/>
            <w:tcBorders>
              <w:tl2br w:val="nil"/>
              <w:tr2bl w:val="nil"/>
            </w:tcBorders>
            <w:vAlign w:val="center"/>
          </w:tcPr>
          <w:p>
            <w:pPr>
              <w:jc w:val="center"/>
              <w:rPr>
                <w:rFonts w:eastAsia="黑体"/>
                <w:szCs w:val="21"/>
              </w:rPr>
            </w:pPr>
            <w:r>
              <w:rPr>
                <w:rFonts w:eastAsia="黑体"/>
                <w:szCs w:val="21"/>
              </w:rPr>
              <w:t>1</w:t>
            </w:r>
          </w:p>
        </w:tc>
        <w:tc>
          <w:tcPr>
            <w:tcW w:w="4025" w:type="dxa"/>
            <w:tcBorders>
              <w:tl2br w:val="nil"/>
              <w:tr2bl w:val="nil"/>
            </w:tcBorders>
            <w:vAlign w:val="center"/>
          </w:tcPr>
          <w:p>
            <w:pPr>
              <w:jc w:val="center"/>
              <w:rPr>
                <w:rFonts w:eastAsia="黑体"/>
                <w:szCs w:val="21"/>
              </w:rPr>
            </w:pPr>
            <w:r>
              <w:rPr>
                <w:rFonts w:eastAsia="黑体"/>
                <w:szCs w:val="21"/>
              </w:rPr>
              <w:t>规模化养殖场改造投资</w:t>
            </w:r>
          </w:p>
        </w:tc>
        <w:tc>
          <w:tcPr>
            <w:tcW w:w="1361" w:type="dxa"/>
            <w:tcBorders>
              <w:tl2br w:val="nil"/>
              <w:tr2bl w:val="nil"/>
            </w:tcBorders>
            <w:vAlign w:val="center"/>
          </w:tcPr>
          <w:p>
            <w:pPr>
              <w:jc w:val="center"/>
              <w:rPr>
                <w:rFonts w:eastAsia="黑体"/>
                <w:szCs w:val="21"/>
              </w:rPr>
            </w:pPr>
            <w:r>
              <w:rPr>
                <w:rFonts w:eastAsia="黑体"/>
                <w:szCs w:val="21"/>
              </w:rPr>
              <w:t>6005.87</w:t>
            </w:r>
          </w:p>
        </w:tc>
        <w:tc>
          <w:tcPr>
            <w:tcW w:w="1361" w:type="dxa"/>
            <w:tcBorders>
              <w:tl2br w:val="nil"/>
              <w:tr2bl w:val="nil"/>
            </w:tcBorders>
            <w:vAlign w:val="center"/>
          </w:tcPr>
          <w:p>
            <w:pPr>
              <w:jc w:val="center"/>
              <w:rPr>
                <w:rFonts w:eastAsia="黑体"/>
                <w:szCs w:val="21"/>
              </w:rPr>
            </w:pPr>
            <w:r>
              <w:rPr>
                <w:rFonts w:eastAsia="黑体"/>
                <w:szCs w:val="21"/>
              </w:rPr>
              <w:t>2980</w:t>
            </w:r>
          </w:p>
        </w:tc>
        <w:tc>
          <w:tcPr>
            <w:tcW w:w="1360" w:type="dxa"/>
            <w:tcBorders>
              <w:tl2br w:val="nil"/>
              <w:tr2bl w:val="nil"/>
            </w:tcBorders>
            <w:vAlign w:val="center"/>
          </w:tcPr>
          <w:p>
            <w:pPr>
              <w:jc w:val="center"/>
              <w:rPr>
                <w:rFonts w:eastAsia="黑体"/>
                <w:szCs w:val="21"/>
              </w:rPr>
            </w:pPr>
            <w:r>
              <w:rPr>
                <w:rFonts w:eastAsia="黑体"/>
                <w:szCs w:val="21"/>
              </w:rPr>
              <w:t>3025.87</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13" w:type="dxa"/>
            <w:vAlign w:val="center"/>
          </w:tcPr>
          <w:p>
            <w:pPr>
              <w:jc w:val="center"/>
              <w:rPr>
                <w:rFonts w:eastAsia="黑体"/>
                <w:szCs w:val="21"/>
              </w:rPr>
            </w:pPr>
            <w:bookmarkStart w:id="381" w:name="_Toc1711"/>
            <w:bookmarkStart w:id="382" w:name="_Toc23245"/>
            <w:bookmarkStart w:id="383" w:name="_Toc3532"/>
            <w:bookmarkStart w:id="384" w:name="_Toc3680"/>
            <w:bookmarkStart w:id="385" w:name="_Toc2548"/>
            <w:bookmarkStart w:id="386" w:name="_Toc17026"/>
            <w:r>
              <w:rPr>
                <w:rFonts w:eastAsia="黑体"/>
                <w:szCs w:val="21"/>
              </w:rPr>
              <w:t>2</w:t>
            </w:r>
          </w:p>
        </w:tc>
        <w:tc>
          <w:tcPr>
            <w:tcW w:w="4025" w:type="dxa"/>
            <w:vAlign w:val="center"/>
          </w:tcPr>
          <w:p>
            <w:pPr>
              <w:jc w:val="center"/>
              <w:rPr>
                <w:rFonts w:eastAsia="仿宋"/>
                <w:szCs w:val="21"/>
              </w:rPr>
            </w:pPr>
            <w:r>
              <w:rPr>
                <w:rFonts w:eastAsia="黑体"/>
                <w:szCs w:val="21"/>
              </w:rPr>
              <w:t>凯年农业有限公司改造投资</w:t>
            </w:r>
          </w:p>
        </w:tc>
        <w:tc>
          <w:tcPr>
            <w:tcW w:w="1361" w:type="dxa"/>
            <w:vAlign w:val="center"/>
          </w:tcPr>
          <w:p>
            <w:pPr>
              <w:jc w:val="center"/>
              <w:rPr>
                <w:rFonts w:eastAsia="黑体"/>
                <w:szCs w:val="21"/>
              </w:rPr>
            </w:pPr>
            <w:r>
              <w:rPr>
                <w:rFonts w:eastAsia="黑体"/>
                <w:szCs w:val="21"/>
              </w:rPr>
              <w:t>876.31</w:t>
            </w:r>
          </w:p>
        </w:tc>
        <w:tc>
          <w:tcPr>
            <w:tcW w:w="1361" w:type="dxa"/>
            <w:vAlign w:val="center"/>
          </w:tcPr>
          <w:p>
            <w:pPr>
              <w:jc w:val="center"/>
              <w:rPr>
                <w:rFonts w:eastAsia="黑体"/>
                <w:szCs w:val="21"/>
              </w:rPr>
            </w:pPr>
            <w:r>
              <w:rPr>
                <w:rFonts w:eastAsia="黑体"/>
                <w:szCs w:val="21"/>
              </w:rPr>
              <w:t>420</w:t>
            </w:r>
          </w:p>
        </w:tc>
        <w:tc>
          <w:tcPr>
            <w:tcW w:w="1360" w:type="dxa"/>
            <w:vAlign w:val="center"/>
          </w:tcPr>
          <w:p>
            <w:pPr>
              <w:jc w:val="center"/>
              <w:rPr>
                <w:rFonts w:eastAsia="黑体"/>
                <w:szCs w:val="21"/>
              </w:rPr>
            </w:pPr>
            <w:r>
              <w:rPr>
                <w:rFonts w:eastAsia="黑体"/>
                <w:szCs w:val="21"/>
              </w:rPr>
              <w:t>456.31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13" w:type="dxa"/>
            <w:vAlign w:val="center"/>
          </w:tcPr>
          <w:p>
            <w:pPr>
              <w:jc w:val="center"/>
              <w:rPr>
                <w:rFonts w:eastAsia="黑体"/>
                <w:szCs w:val="21"/>
              </w:rPr>
            </w:pPr>
            <w:r>
              <w:rPr>
                <w:rFonts w:eastAsia="黑体"/>
                <w:szCs w:val="21"/>
              </w:rPr>
              <w:t>3</w:t>
            </w:r>
          </w:p>
        </w:tc>
        <w:tc>
          <w:tcPr>
            <w:tcW w:w="4025" w:type="dxa"/>
            <w:vAlign w:val="center"/>
          </w:tcPr>
          <w:p>
            <w:pPr>
              <w:jc w:val="center"/>
              <w:rPr>
                <w:rFonts w:eastAsia="黑体"/>
                <w:szCs w:val="21"/>
              </w:rPr>
            </w:pPr>
            <w:r>
              <w:rPr>
                <w:rFonts w:eastAsia="黑体"/>
                <w:szCs w:val="21"/>
              </w:rPr>
              <w:t>河北集美绿化工程投资</w:t>
            </w:r>
          </w:p>
        </w:tc>
        <w:tc>
          <w:tcPr>
            <w:tcW w:w="1361" w:type="dxa"/>
            <w:vAlign w:val="center"/>
          </w:tcPr>
          <w:p>
            <w:pPr>
              <w:jc w:val="center"/>
              <w:rPr>
                <w:rFonts w:eastAsia="黑体"/>
                <w:szCs w:val="21"/>
              </w:rPr>
            </w:pPr>
            <w:r>
              <w:rPr>
                <w:rFonts w:eastAsia="黑体"/>
                <w:szCs w:val="21"/>
              </w:rPr>
              <w:t>1216.41</w:t>
            </w:r>
          </w:p>
        </w:tc>
        <w:tc>
          <w:tcPr>
            <w:tcW w:w="1361" w:type="dxa"/>
            <w:vAlign w:val="center"/>
          </w:tcPr>
          <w:p>
            <w:pPr>
              <w:jc w:val="center"/>
              <w:rPr>
                <w:rFonts w:eastAsia="黑体"/>
                <w:szCs w:val="21"/>
              </w:rPr>
            </w:pPr>
            <w:r>
              <w:rPr>
                <w:rFonts w:eastAsia="黑体"/>
                <w:szCs w:val="21"/>
              </w:rPr>
              <w:t>600</w:t>
            </w:r>
          </w:p>
        </w:tc>
        <w:tc>
          <w:tcPr>
            <w:tcW w:w="1360" w:type="dxa"/>
            <w:vAlign w:val="center"/>
          </w:tcPr>
          <w:p>
            <w:pPr>
              <w:jc w:val="center"/>
              <w:rPr>
                <w:rFonts w:eastAsia="黑体"/>
                <w:szCs w:val="21"/>
              </w:rPr>
            </w:pPr>
            <w:r>
              <w:rPr>
                <w:rFonts w:eastAsia="黑体"/>
                <w:szCs w:val="21"/>
              </w:rPr>
              <w:t>616.41</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8" w:type="dxa"/>
            <w:gridSpan w:val="2"/>
            <w:vAlign w:val="center"/>
          </w:tcPr>
          <w:p>
            <w:pPr>
              <w:jc w:val="center"/>
              <w:rPr>
                <w:rFonts w:eastAsia="黑体"/>
                <w:szCs w:val="21"/>
              </w:rPr>
            </w:pPr>
            <w:r>
              <w:rPr>
                <w:rFonts w:eastAsia="黑体"/>
                <w:szCs w:val="21"/>
              </w:rPr>
              <w:t>合计</w:t>
            </w:r>
          </w:p>
        </w:tc>
        <w:tc>
          <w:tcPr>
            <w:tcW w:w="1361" w:type="dxa"/>
            <w:vAlign w:val="center"/>
          </w:tcPr>
          <w:p>
            <w:pPr>
              <w:jc w:val="center"/>
              <w:rPr>
                <w:rFonts w:eastAsia="黑体"/>
                <w:szCs w:val="21"/>
              </w:rPr>
            </w:pPr>
            <w:r>
              <w:rPr>
                <w:rFonts w:eastAsia="黑体"/>
                <w:szCs w:val="21"/>
              </w:rPr>
              <w:t>8098.59</w:t>
            </w:r>
          </w:p>
        </w:tc>
        <w:tc>
          <w:tcPr>
            <w:tcW w:w="1361" w:type="dxa"/>
            <w:vAlign w:val="center"/>
          </w:tcPr>
          <w:p>
            <w:pPr>
              <w:jc w:val="center"/>
              <w:rPr>
                <w:rFonts w:eastAsia="黑体"/>
                <w:szCs w:val="21"/>
              </w:rPr>
            </w:pPr>
            <w:r>
              <w:rPr>
                <w:rFonts w:eastAsia="黑体"/>
                <w:szCs w:val="21"/>
              </w:rPr>
              <w:t>4000</w:t>
            </w:r>
          </w:p>
        </w:tc>
        <w:tc>
          <w:tcPr>
            <w:tcW w:w="1360" w:type="dxa"/>
            <w:vAlign w:val="center"/>
          </w:tcPr>
          <w:p>
            <w:pPr>
              <w:jc w:val="center"/>
              <w:rPr>
                <w:rFonts w:eastAsia="黑体"/>
                <w:szCs w:val="21"/>
              </w:rPr>
            </w:pPr>
            <w:r>
              <w:rPr>
                <w:rFonts w:eastAsia="黑体"/>
                <w:szCs w:val="21"/>
              </w:rPr>
              <w:t>4098.59</w:t>
            </w:r>
          </w:p>
        </w:tc>
      </w:tr>
      <w:bookmarkEnd w:id="381"/>
      <w:bookmarkEnd w:id="382"/>
      <w:bookmarkEnd w:id="383"/>
      <w:bookmarkEnd w:id="384"/>
      <w:bookmarkEnd w:id="385"/>
      <w:bookmarkEnd w:id="386"/>
    </w:tbl>
    <w:p>
      <w:pPr>
        <w:spacing w:line="360" w:lineRule="auto"/>
        <w:ind w:firstLine="560" w:firstLineChars="200"/>
        <w:rPr>
          <w:sz w:val="28"/>
          <w:szCs w:val="28"/>
        </w:rPr>
      </w:pPr>
      <w:r>
        <w:rPr>
          <w:sz w:val="28"/>
          <w:szCs w:val="28"/>
        </w:rPr>
        <w:t>徐水区畜禽养殖污染防治总投资8098.59万元，其中中央补贴资金4000万元，占总投资额的49.39%；企业与养殖场自筹资金4098.59万元，占总投资额的50.61%。</w:t>
      </w:r>
    </w:p>
    <w:p>
      <w:pPr>
        <w:pStyle w:val="5"/>
        <w:spacing w:before="312" w:after="312"/>
        <w:rPr>
          <w:rFonts w:ascii="Times New Roman" w:hAnsi="Times New Roman" w:cs="Times New Roman"/>
          <w:lang w:val="en-US"/>
        </w:rPr>
      </w:pPr>
      <w:bookmarkStart w:id="387" w:name="_Toc30232"/>
      <w:r>
        <w:rPr>
          <w:rFonts w:ascii="Times New Roman" w:hAnsi="Times New Roman" w:cs="Times New Roman"/>
          <w:lang w:val="en-US"/>
        </w:rPr>
        <w:t>5.6综合效益</w:t>
      </w:r>
      <w:bookmarkEnd w:id="387"/>
    </w:p>
    <w:p>
      <w:pPr>
        <w:spacing w:line="360" w:lineRule="auto"/>
        <w:ind w:firstLine="560" w:firstLineChars="200"/>
        <w:rPr>
          <w:sz w:val="28"/>
          <w:szCs w:val="28"/>
        </w:rPr>
        <w:sectPr>
          <w:footerReference r:id="rId5" w:type="default"/>
          <w:pgSz w:w="11906" w:h="16838"/>
          <w:pgMar w:top="1701" w:right="1417" w:bottom="1417" w:left="1701" w:header="851" w:footer="227" w:gutter="0"/>
          <w:cols w:space="720" w:num="1"/>
          <w:docGrid w:type="lines" w:linePitch="312" w:charSpace="0"/>
        </w:sectPr>
      </w:pPr>
      <w:r>
        <w:rPr>
          <w:sz w:val="28"/>
          <w:szCs w:val="28"/>
        </w:rPr>
        <w:t>通过本项目的实施，构建了徐水区生态循环农业产业链、徐水区畜禽养殖业由简单粗放向循环高效转型，推动了农业现代化发展，实现了乡村环境改善。通过对畜禽粪污进行无害化处理和资源化利用，有效消灭了大量有毒有害病菌，有利于人畜身体健康，也防止了对土地、水体、空气的污染。通过粪污的资源化利用，有机肥代替化肥，减少了化肥的使用量，改善了土壤环境，增加了土壤中有机质的含量，提升了农产品的品质，也为农民提供了就业岗位，实现了项目的建设目标。</w:t>
      </w:r>
    </w:p>
    <w:p>
      <w:pPr>
        <w:spacing w:line="360" w:lineRule="auto"/>
        <w:jc w:val="center"/>
        <w:rPr>
          <w:rFonts w:eastAsia="黑体"/>
          <w:b/>
          <w:bCs/>
          <w:szCs w:val="21"/>
        </w:rPr>
      </w:pPr>
      <w:r>
        <w:rPr>
          <w:rFonts w:eastAsia="黑体"/>
          <w:b/>
          <w:bCs/>
          <w:szCs w:val="21"/>
        </w:rPr>
        <w:t>表5.2-1  畜禽养殖业污染综合整治规划重点工程一览表</w:t>
      </w:r>
      <w:bookmarkEnd w:id="359"/>
    </w:p>
    <w:tbl>
      <w:tblPr>
        <w:tblStyle w:val="24"/>
        <w:tblW w:w="1259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754"/>
        <w:gridCol w:w="1159"/>
        <w:gridCol w:w="1132"/>
        <w:gridCol w:w="1200"/>
        <w:gridCol w:w="3518"/>
        <w:gridCol w:w="1121"/>
        <w:gridCol w:w="2002"/>
        <w:gridCol w:w="170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754" w:type="dxa"/>
            <w:tcBorders>
              <w:tl2br w:val="nil"/>
              <w:tr2bl w:val="nil"/>
            </w:tcBorders>
            <w:vAlign w:val="center"/>
          </w:tcPr>
          <w:p>
            <w:pPr>
              <w:jc w:val="center"/>
              <w:rPr>
                <w:rFonts w:eastAsia="黑体"/>
                <w:b/>
                <w:bCs/>
                <w:szCs w:val="21"/>
              </w:rPr>
            </w:pPr>
            <w:r>
              <w:rPr>
                <w:rFonts w:eastAsia="黑体"/>
                <w:b/>
                <w:bCs/>
                <w:szCs w:val="21"/>
              </w:rPr>
              <w:t>序号</w:t>
            </w:r>
          </w:p>
        </w:tc>
        <w:tc>
          <w:tcPr>
            <w:tcW w:w="1159" w:type="dxa"/>
            <w:tcBorders>
              <w:tl2br w:val="nil"/>
              <w:tr2bl w:val="nil"/>
            </w:tcBorders>
            <w:vAlign w:val="center"/>
          </w:tcPr>
          <w:p>
            <w:pPr>
              <w:jc w:val="center"/>
              <w:rPr>
                <w:rFonts w:eastAsia="黑体"/>
                <w:b/>
                <w:bCs/>
                <w:szCs w:val="21"/>
              </w:rPr>
            </w:pPr>
            <w:r>
              <w:rPr>
                <w:rFonts w:eastAsia="黑体"/>
                <w:b/>
                <w:bCs/>
                <w:szCs w:val="21"/>
              </w:rPr>
              <w:t>项目名称</w:t>
            </w:r>
          </w:p>
        </w:tc>
        <w:tc>
          <w:tcPr>
            <w:tcW w:w="1132" w:type="dxa"/>
            <w:tcBorders>
              <w:tl2br w:val="nil"/>
              <w:tr2bl w:val="nil"/>
            </w:tcBorders>
            <w:vAlign w:val="center"/>
          </w:tcPr>
          <w:p>
            <w:pPr>
              <w:jc w:val="center"/>
              <w:rPr>
                <w:rFonts w:eastAsia="黑体"/>
                <w:b/>
                <w:bCs/>
                <w:szCs w:val="21"/>
              </w:rPr>
            </w:pPr>
            <w:r>
              <w:rPr>
                <w:rFonts w:eastAsia="黑体"/>
                <w:b/>
                <w:bCs/>
                <w:szCs w:val="21"/>
              </w:rPr>
              <w:t>项目单位</w:t>
            </w:r>
          </w:p>
        </w:tc>
        <w:tc>
          <w:tcPr>
            <w:tcW w:w="1200" w:type="dxa"/>
            <w:tcBorders>
              <w:tl2br w:val="nil"/>
              <w:tr2bl w:val="nil"/>
            </w:tcBorders>
            <w:vAlign w:val="center"/>
          </w:tcPr>
          <w:p>
            <w:pPr>
              <w:jc w:val="center"/>
              <w:rPr>
                <w:rFonts w:eastAsia="黑体"/>
                <w:b/>
                <w:bCs/>
                <w:szCs w:val="21"/>
              </w:rPr>
            </w:pPr>
            <w:r>
              <w:rPr>
                <w:rFonts w:eastAsia="黑体"/>
                <w:b/>
                <w:bCs/>
                <w:szCs w:val="21"/>
              </w:rPr>
              <w:t>建设类型</w:t>
            </w:r>
          </w:p>
        </w:tc>
        <w:tc>
          <w:tcPr>
            <w:tcW w:w="3518" w:type="dxa"/>
            <w:tcBorders>
              <w:tl2br w:val="nil"/>
              <w:tr2bl w:val="nil"/>
            </w:tcBorders>
            <w:vAlign w:val="center"/>
          </w:tcPr>
          <w:p>
            <w:pPr>
              <w:jc w:val="center"/>
              <w:rPr>
                <w:rFonts w:eastAsia="黑体"/>
                <w:b/>
                <w:bCs/>
                <w:szCs w:val="21"/>
              </w:rPr>
            </w:pPr>
            <w:r>
              <w:rPr>
                <w:rFonts w:eastAsia="黑体"/>
                <w:b/>
                <w:bCs/>
                <w:szCs w:val="21"/>
              </w:rPr>
              <w:t>建设内容</w:t>
            </w:r>
          </w:p>
        </w:tc>
        <w:tc>
          <w:tcPr>
            <w:tcW w:w="1121" w:type="dxa"/>
            <w:tcBorders>
              <w:tl2br w:val="nil"/>
              <w:tr2bl w:val="nil"/>
            </w:tcBorders>
            <w:vAlign w:val="center"/>
          </w:tcPr>
          <w:p>
            <w:pPr>
              <w:jc w:val="center"/>
              <w:rPr>
                <w:rFonts w:eastAsia="黑体"/>
                <w:b/>
                <w:bCs/>
                <w:szCs w:val="21"/>
              </w:rPr>
            </w:pPr>
            <w:r>
              <w:rPr>
                <w:rFonts w:eastAsia="黑体"/>
                <w:b/>
                <w:bCs/>
                <w:szCs w:val="21"/>
              </w:rPr>
              <w:t>投资预算（万元）</w:t>
            </w:r>
          </w:p>
        </w:tc>
        <w:tc>
          <w:tcPr>
            <w:tcW w:w="2002" w:type="dxa"/>
            <w:tcBorders>
              <w:tl2br w:val="nil"/>
              <w:tr2bl w:val="nil"/>
            </w:tcBorders>
            <w:vAlign w:val="center"/>
          </w:tcPr>
          <w:p>
            <w:pPr>
              <w:jc w:val="center"/>
              <w:rPr>
                <w:rFonts w:eastAsia="黑体"/>
                <w:b/>
                <w:bCs/>
                <w:szCs w:val="21"/>
              </w:rPr>
            </w:pPr>
            <w:r>
              <w:rPr>
                <w:rFonts w:eastAsia="黑体"/>
                <w:b/>
                <w:bCs/>
                <w:szCs w:val="21"/>
              </w:rPr>
              <w:t>建设年限</w:t>
            </w:r>
          </w:p>
        </w:tc>
        <w:tc>
          <w:tcPr>
            <w:tcW w:w="1707" w:type="dxa"/>
            <w:tcBorders>
              <w:tl2br w:val="nil"/>
              <w:tr2bl w:val="nil"/>
            </w:tcBorders>
            <w:vAlign w:val="center"/>
          </w:tcPr>
          <w:p>
            <w:pPr>
              <w:jc w:val="center"/>
              <w:rPr>
                <w:rFonts w:eastAsia="黑体"/>
                <w:b/>
                <w:bCs/>
                <w:szCs w:val="21"/>
              </w:rPr>
            </w:pPr>
            <w:r>
              <w:rPr>
                <w:rFonts w:eastAsia="黑体"/>
                <w:b/>
                <w:bCs/>
                <w:szCs w:val="21"/>
              </w:rPr>
              <w:t>实施计划</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996" w:hRule="atLeast"/>
          <w:jc w:val="center"/>
        </w:trPr>
        <w:tc>
          <w:tcPr>
            <w:tcW w:w="754" w:type="dxa"/>
            <w:tcBorders>
              <w:tl2br w:val="nil"/>
              <w:tr2bl w:val="nil"/>
            </w:tcBorders>
            <w:vAlign w:val="center"/>
          </w:tcPr>
          <w:p>
            <w:pPr>
              <w:jc w:val="center"/>
              <w:rPr>
                <w:rFonts w:eastAsia="黑体"/>
                <w:szCs w:val="21"/>
              </w:rPr>
            </w:pPr>
            <w:r>
              <w:rPr>
                <w:rFonts w:eastAsia="黑体"/>
                <w:szCs w:val="21"/>
              </w:rPr>
              <w:t>1</w:t>
            </w:r>
          </w:p>
        </w:tc>
        <w:tc>
          <w:tcPr>
            <w:tcW w:w="1159" w:type="dxa"/>
            <w:tcBorders>
              <w:tl2br w:val="nil"/>
              <w:tr2bl w:val="nil"/>
            </w:tcBorders>
            <w:vAlign w:val="center"/>
          </w:tcPr>
          <w:p>
            <w:pPr>
              <w:jc w:val="center"/>
              <w:rPr>
                <w:rFonts w:eastAsia="黑体"/>
                <w:szCs w:val="21"/>
              </w:rPr>
            </w:pPr>
            <w:bookmarkStart w:id="388" w:name="br1_0"/>
            <w:bookmarkEnd w:id="388"/>
            <w:r>
              <w:rPr>
                <w:rFonts w:eastAsia="黑体"/>
                <w:szCs w:val="21"/>
              </w:rPr>
              <w:t>保定市徐水区2019年畜禽粪污资源化利用整县推进项目</w:t>
            </w:r>
          </w:p>
          <w:p>
            <w:pPr>
              <w:jc w:val="center"/>
              <w:rPr>
                <w:rFonts w:eastAsia="黑体"/>
                <w:szCs w:val="21"/>
              </w:rPr>
            </w:pPr>
          </w:p>
        </w:tc>
        <w:tc>
          <w:tcPr>
            <w:tcW w:w="1132" w:type="dxa"/>
            <w:tcBorders>
              <w:tl2br w:val="nil"/>
              <w:tr2bl w:val="nil"/>
            </w:tcBorders>
            <w:vAlign w:val="center"/>
          </w:tcPr>
          <w:p>
            <w:pPr>
              <w:jc w:val="center"/>
              <w:rPr>
                <w:rFonts w:eastAsia="黑体"/>
                <w:szCs w:val="21"/>
              </w:rPr>
            </w:pPr>
            <w:r>
              <w:rPr>
                <w:rFonts w:eastAsia="黑体"/>
                <w:szCs w:val="21"/>
              </w:rPr>
              <w:t>保定市徐水区人民政府</w:t>
            </w:r>
          </w:p>
        </w:tc>
        <w:tc>
          <w:tcPr>
            <w:tcW w:w="1200" w:type="dxa"/>
            <w:tcBorders>
              <w:tl2br w:val="nil"/>
              <w:tr2bl w:val="nil"/>
            </w:tcBorders>
            <w:vAlign w:val="center"/>
          </w:tcPr>
          <w:p>
            <w:pPr>
              <w:jc w:val="center"/>
              <w:rPr>
                <w:rFonts w:eastAsia="黑体"/>
                <w:szCs w:val="21"/>
              </w:rPr>
            </w:pPr>
            <w:r>
              <w:rPr>
                <w:rFonts w:eastAsia="黑体"/>
                <w:szCs w:val="21"/>
              </w:rPr>
              <w:t>已建</w:t>
            </w:r>
          </w:p>
        </w:tc>
        <w:tc>
          <w:tcPr>
            <w:tcW w:w="3518" w:type="dxa"/>
            <w:tcBorders>
              <w:tl2br w:val="nil"/>
              <w:tr2bl w:val="nil"/>
            </w:tcBorders>
            <w:vAlign w:val="center"/>
          </w:tcPr>
          <w:p>
            <w:pPr>
              <w:jc w:val="center"/>
              <w:rPr>
                <w:rFonts w:eastAsia="黑体"/>
                <w:szCs w:val="21"/>
              </w:rPr>
            </w:pPr>
            <w:r>
              <w:rPr>
                <w:rFonts w:eastAsia="黑体"/>
                <w:szCs w:val="21"/>
              </w:rPr>
              <w:t>建立农牧结合、种养循环的农业可持续发展机制，完善畜禽规模养殖场粪污处理设施设备，改进清粪工艺，推进粪污资源化利用，项目建成后，全区畜禽规模养殖场粪污处理设施装备配套率达到100%，畜禽粪污综合利用率达到90%以上。18家规模养殖场建设粪污处理设施、购买粪污处理设备。凯年农业有限公司和河北集美绿化工程有限公司2个园区确定为项目实施单位，主要建设粪污收集、处理设施设备和肥水还田管网建设及配套设施。</w:t>
            </w:r>
          </w:p>
        </w:tc>
        <w:tc>
          <w:tcPr>
            <w:tcW w:w="1121" w:type="dxa"/>
            <w:tcBorders>
              <w:tl2br w:val="nil"/>
              <w:tr2bl w:val="nil"/>
            </w:tcBorders>
            <w:vAlign w:val="center"/>
          </w:tcPr>
          <w:p>
            <w:pPr>
              <w:jc w:val="center"/>
              <w:rPr>
                <w:rFonts w:eastAsia="黑体"/>
                <w:szCs w:val="21"/>
              </w:rPr>
            </w:pPr>
            <w:r>
              <w:rPr>
                <w:rFonts w:eastAsia="黑体"/>
                <w:szCs w:val="21"/>
              </w:rPr>
              <w:t>8098.59</w:t>
            </w:r>
          </w:p>
        </w:tc>
        <w:tc>
          <w:tcPr>
            <w:tcW w:w="2002" w:type="dxa"/>
            <w:tcBorders>
              <w:tl2br w:val="nil"/>
              <w:tr2bl w:val="nil"/>
            </w:tcBorders>
            <w:vAlign w:val="center"/>
          </w:tcPr>
          <w:p>
            <w:pPr>
              <w:jc w:val="center"/>
              <w:rPr>
                <w:rFonts w:eastAsia="黑体"/>
                <w:szCs w:val="21"/>
              </w:rPr>
            </w:pPr>
            <w:r>
              <w:rPr>
                <w:rFonts w:eastAsia="黑体"/>
                <w:szCs w:val="21"/>
              </w:rPr>
              <w:t>2021年3月-9月</w:t>
            </w:r>
          </w:p>
        </w:tc>
        <w:tc>
          <w:tcPr>
            <w:tcW w:w="1707" w:type="dxa"/>
            <w:tcBorders>
              <w:tl2br w:val="nil"/>
              <w:tr2bl w:val="nil"/>
            </w:tcBorders>
            <w:vAlign w:val="center"/>
          </w:tcPr>
          <w:p>
            <w:pPr>
              <w:jc w:val="center"/>
              <w:rPr>
                <w:rFonts w:eastAsia="黑体"/>
                <w:szCs w:val="21"/>
              </w:rPr>
            </w:pPr>
            <w:r>
              <w:rPr>
                <w:rFonts w:eastAsia="黑体"/>
                <w:szCs w:val="21"/>
              </w:rPr>
              <w:t>已建成运行</w:t>
            </w:r>
          </w:p>
        </w:tc>
      </w:tr>
    </w:tbl>
    <w:p>
      <w:pPr>
        <w:spacing w:line="360" w:lineRule="auto"/>
        <w:ind w:firstLine="560" w:firstLineChars="200"/>
        <w:rPr>
          <w:sz w:val="28"/>
          <w:szCs w:val="28"/>
        </w:rPr>
        <w:sectPr>
          <w:pgSz w:w="16838" w:h="11906" w:orient="landscape"/>
          <w:pgMar w:top="1701" w:right="1701" w:bottom="1417" w:left="1417" w:header="851" w:footer="227" w:gutter="0"/>
          <w:cols w:space="720" w:num="1"/>
          <w:docGrid w:type="lines" w:linePitch="312" w:charSpace="0"/>
        </w:sectPr>
      </w:pPr>
    </w:p>
    <w:p>
      <w:pPr>
        <w:pStyle w:val="4"/>
        <w:spacing w:before="312" w:after="312"/>
        <w:rPr>
          <w:rFonts w:ascii="Times New Roman" w:hAnsi="Times New Roman"/>
          <w:color w:val="FF0000"/>
          <w:lang w:val="en-US"/>
        </w:rPr>
      </w:pPr>
      <w:bookmarkStart w:id="389" w:name="_Toc12872"/>
      <w:bookmarkStart w:id="390" w:name="_Toc11180"/>
      <w:bookmarkStart w:id="391" w:name="_Toc21617"/>
      <w:bookmarkStart w:id="392" w:name="_Toc19168"/>
      <w:bookmarkStart w:id="393" w:name="_Toc12125"/>
      <w:bookmarkStart w:id="394" w:name="_Toc22621"/>
      <w:bookmarkStart w:id="395" w:name="_Toc32612"/>
      <w:bookmarkStart w:id="396" w:name="_Toc31773"/>
      <w:r>
        <w:rPr>
          <w:rFonts w:ascii="Times New Roman" w:hAnsi="Times New Roman"/>
          <w:lang w:val="en-US"/>
        </w:rPr>
        <w:t>6.效益分析</w:t>
      </w:r>
      <w:bookmarkEnd w:id="389"/>
      <w:bookmarkEnd w:id="390"/>
    </w:p>
    <w:p>
      <w:pPr>
        <w:pStyle w:val="5"/>
        <w:spacing w:before="312" w:after="312"/>
        <w:rPr>
          <w:rFonts w:ascii="Times New Roman" w:hAnsi="Times New Roman" w:cs="Times New Roman"/>
          <w:lang w:val="en-US"/>
        </w:rPr>
      </w:pPr>
      <w:bookmarkStart w:id="397" w:name="_Toc13091"/>
      <w:bookmarkStart w:id="398" w:name="_Toc27985"/>
      <w:r>
        <w:rPr>
          <w:rFonts w:ascii="Times New Roman" w:hAnsi="Times New Roman" w:cs="Times New Roman"/>
          <w:lang w:val="en-US"/>
        </w:rPr>
        <w:t>6.1社会效益</w:t>
      </w:r>
      <w:bookmarkEnd w:id="397"/>
      <w:bookmarkEnd w:id="398"/>
    </w:p>
    <w:p>
      <w:pPr>
        <w:spacing w:line="360" w:lineRule="auto"/>
        <w:ind w:firstLine="560" w:firstLineChars="200"/>
        <w:rPr>
          <w:sz w:val="28"/>
          <w:szCs w:val="28"/>
        </w:rPr>
      </w:pPr>
      <w:r>
        <w:rPr>
          <w:sz w:val="28"/>
          <w:szCs w:val="28"/>
        </w:rPr>
        <w:t>本项目立足于徐水区畜禽养殖业，通过实施整县推进项目，通过雨污分流工程措施实现源头减量，通过实施机械刮板清粪、建设粪污贮存收集、处理设施实现过程减量，通过还田利用、沼气生产、有机肥制造等方式实现末端综合利用，通过整县推进项目在徐水区建立集中处理园区作为示范点，实现畜禽粪污资源化利用、有机肥替代化肥、现代农业等种养结合模式，起到示范带动作用。促进徐水区对于有机肥的利用，推动徐水区绿色农业、现代农业的发展。</w:t>
      </w:r>
    </w:p>
    <w:p>
      <w:pPr>
        <w:spacing w:line="360" w:lineRule="auto"/>
        <w:ind w:firstLine="560" w:firstLineChars="200"/>
        <w:rPr>
          <w:sz w:val="28"/>
          <w:szCs w:val="28"/>
        </w:rPr>
      </w:pPr>
      <w:r>
        <w:rPr>
          <w:sz w:val="28"/>
          <w:szCs w:val="28"/>
        </w:rPr>
        <w:t>此外，各养殖场区环境的改善，将进一步减少细菌、病原菌、蚊蝇等的生存场所和消毒杀菌及抗生素等药物的投入，提升肉类品质；在沼液沼渣有机肥农田循环利用领域，可为周边养殖业、种植业等提供种养结合循环农业相关的宣传展示、技术培训等，示范带动效应强。</w:t>
      </w:r>
    </w:p>
    <w:p>
      <w:pPr>
        <w:pStyle w:val="5"/>
        <w:spacing w:before="312" w:after="312"/>
        <w:rPr>
          <w:rFonts w:ascii="Times New Roman" w:hAnsi="Times New Roman" w:cs="Times New Roman"/>
          <w:lang w:val="en-US"/>
        </w:rPr>
      </w:pPr>
      <w:bookmarkStart w:id="399" w:name="_Toc3370"/>
      <w:bookmarkStart w:id="400" w:name="_Toc3158"/>
      <w:bookmarkStart w:id="401" w:name="_Toc515272914"/>
      <w:bookmarkStart w:id="402" w:name="_Toc498001086"/>
      <w:bookmarkStart w:id="403" w:name="_Toc515274814"/>
      <w:bookmarkStart w:id="404" w:name="_Toc514883906"/>
      <w:r>
        <w:rPr>
          <w:rFonts w:ascii="Times New Roman" w:hAnsi="Times New Roman" w:cs="Times New Roman"/>
          <w:lang w:val="en-US"/>
        </w:rPr>
        <w:t>6.2生态效益</w:t>
      </w:r>
      <w:bookmarkEnd w:id="399"/>
      <w:bookmarkEnd w:id="400"/>
      <w:bookmarkEnd w:id="401"/>
      <w:bookmarkEnd w:id="402"/>
      <w:bookmarkEnd w:id="403"/>
      <w:bookmarkEnd w:id="404"/>
    </w:p>
    <w:p>
      <w:pPr>
        <w:spacing w:line="360" w:lineRule="auto"/>
        <w:ind w:firstLine="560" w:firstLineChars="200"/>
        <w:rPr>
          <w:sz w:val="28"/>
          <w:szCs w:val="28"/>
        </w:rPr>
      </w:pPr>
      <w:r>
        <w:rPr>
          <w:sz w:val="28"/>
          <w:szCs w:val="28"/>
        </w:rPr>
        <w:t>通过本项目的实施，不仅可以提升徐水区粪污资源化利用水平，也为解决养殖场普遍存在的粪污流失、污染河道等问题找到了一条科学的出路，对防止土地污染、水体污染、食品污染、空气污染等环境问题起到重要的缓解作用。通过对饮用水水源地等环境敏感区进行重点整治，可有效的缓解畜禽养殖面源污染，可有效的保障饮用水安全和人民群众健康，可有效提高农村人居环境质量。同时通过增施有机肥、配方施肥等农业新技术创新及配套技术，以及优良品种引进推广，使化学农药和化肥的施用量大幅降低，从而使农药残留污染逐渐减少，极大的改善了区域内土壤、水、肥、气、热状况，使土壤肥力得到有效改善，确保农业生态环境安全。</w:t>
      </w:r>
    </w:p>
    <w:p>
      <w:pPr>
        <w:pStyle w:val="5"/>
        <w:spacing w:before="312" w:after="312"/>
        <w:rPr>
          <w:rFonts w:ascii="Times New Roman" w:hAnsi="Times New Roman" w:cs="Times New Roman"/>
          <w:lang w:val="en-US"/>
        </w:rPr>
      </w:pPr>
      <w:bookmarkStart w:id="405" w:name="_Toc515272915"/>
      <w:bookmarkStart w:id="406" w:name="_Toc23047"/>
      <w:bookmarkStart w:id="407" w:name="_Toc498001084"/>
      <w:bookmarkStart w:id="408" w:name="_Toc8729"/>
      <w:bookmarkStart w:id="409" w:name="_Toc28677"/>
      <w:bookmarkStart w:id="410" w:name="_Toc515274815"/>
      <w:r>
        <w:rPr>
          <w:rFonts w:ascii="Times New Roman" w:hAnsi="Times New Roman" w:cs="Times New Roman"/>
          <w:lang w:val="en-US"/>
        </w:rPr>
        <w:t>6.3经济效益</w:t>
      </w:r>
      <w:bookmarkEnd w:id="405"/>
      <w:bookmarkEnd w:id="406"/>
      <w:bookmarkEnd w:id="407"/>
      <w:bookmarkEnd w:id="408"/>
      <w:bookmarkEnd w:id="409"/>
      <w:bookmarkEnd w:id="410"/>
    </w:p>
    <w:p>
      <w:pPr>
        <w:spacing w:line="360" w:lineRule="auto"/>
        <w:ind w:firstLine="560" w:firstLineChars="200"/>
        <w:rPr>
          <w:sz w:val="28"/>
          <w:szCs w:val="28"/>
        </w:rPr>
      </w:pPr>
      <w:r>
        <w:rPr>
          <w:sz w:val="28"/>
          <w:szCs w:val="28"/>
        </w:rPr>
        <w:t>本规划实施后将为徐水区改善农村人居环境和生活条件带来效益。有机农产品的价格高于普通农产品50%以上，绿色农产品的价格高于普通农产品10%～20%；农民通过使用有机肥，降低了三分之一的成本，且小麦增产30斤左右。因此通过粪污资源化利用、有机肥替代化肥、建设绿色有机农业和现代农业，不仅可以促进畜禽养殖业结构调整和布局优化，引导产业生态化、规模化转型，还可以促进废弃物综合利用和产业链有效延伸，提高农产品品质和价值，提升产业综合效益，增加农民收入</w:t>
      </w:r>
    </w:p>
    <w:p>
      <w:pPr>
        <w:spacing w:line="360" w:lineRule="auto"/>
        <w:ind w:firstLine="560" w:firstLineChars="200"/>
        <w:rPr>
          <w:sz w:val="28"/>
          <w:szCs w:val="28"/>
        </w:rPr>
      </w:pPr>
      <w:r>
        <w:rPr>
          <w:sz w:val="28"/>
          <w:szCs w:val="28"/>
        </w:rPr>
        <w:t>通过上述分析可以看出，畜禽粪污资源化利用的实施，具有一定的经济效益，更具有很好的社会效益和生态效益，符合国家和地方有关发展规划和产业政策。</w:t>
      </w:r>
    </w:p>
    <w:p>
      <w:pPr>
        <w:pStyle w:val="6"/>
        <w:numPr>
          <w:ilvl w:val="2"/>
          <w:numId w:val="0"/>
        </w:numPr>
        <w:spacing w:before="156" w:after="156"/>
        <w:rPr>
          <w:szCs w:val="28"/>
        </w:rPr>
        <w:sectPr>
          <w:footerReference r:id="rId6" w:type="default"/>
          <w:pgSz w:w="11906" w:h="16838"/>
          <w:pgMar w:top="1701" w:right="1417" w:bottom="1417" w:left="1701" w:header="851" w:footer="283" w:gutter="0"/>
          <w:cols w:space="720" w:num="1"/>
          <w:docGrid w:type="lines" w:linePitch="312" w:charSpace="0"/>
        </w:sectPr>
      </w:pPr>
    </w:p>
    <w:p>
      <w:pPr>
        <w:pStyle w:val="4"/>
        <w:spacing w:before="312" w:after="312"/>
        <w:rPr>
          <w:rFonts w:ascii="Times New Roman" w:hAnsi="Times New Roman"/>
          <w:color w:val="FF0000"/>
          <w:lang w:val="en-US"/>
        </w:rPr>
      </w:pPr>
      <w:bookmarkStart w:id="411" w:name="_Toc28181"/>
      <w:bookmarkStart w:id="412" w:name="_Toc7881"/>
      <w:r>
        <w:rPr>
          <w:rFonts w:ascii="Times New Roman" w:hAnsi="Times New Roman"/>
          <w:lang w:val="en-US"/>
        </w:rPr>
        <w:t>7.保障措施</w:t>
      </w:r>
      <w:bookmarkEnd w:id="391"/>
      <w:bookmarkEnd w:id="392"/>
      <w:bookmarkEnd w:id="393"/>
      <w:bookmarkEnd w:id="394"/>
      <w:bookmarkEnd w:id="395"/>
      <w:bookmarkEnd w:id="396"/>
      <w:bookmarkEnd w:id="411"/>
      <w:bookmarkEnd w:id="412"/>
    </w:p>
    <w:p>
      <w:pPr>
        <w:pStyle w:val="5"/>
        <w:spacing w:before="312" w:after="312"/>
        <w:rPr>
          <w:rFonts w:ascii="Times New Roman" w:hAnsi="Times New Roman" w:cs="Times New Roman"/>
          <w:lang w:val="en-US"/>
        </w:rPr>
      </w:pPr>
      <w:bookmarkStart w:id="413" w:name="_Toc11508"/>
      <w:bookmarkStart w:id="414" w:name="_Toc15658"/>
      <w:bookmarkStart w:id="415" w:name="_Toc5971"/>
      <w:bookmarkStart w:id="416" w:name="_Toc12344"/>
      <w:bookmarkStart w:id="417" w:name="_Toc21754"/>
      <w:bookmarkStart w:id="418" w:name="_Toc6730"/>
      <w:bookmarkStart w:id="419" w:name="_Toc21425"/>
      <w:bookmarkStart w:id="420" w:name="_Toc27522"/>
      <w:r>
        <w:rPr>
          <w:rFonts w:ascii="Times New Roman" w:hAnsi="Times New Roman" w:cs="Times New Roman"/>
          <w:lang w:val="en-US"/>
        </w:rPr>
        <w:t>7.1</w:t>
      </w:r>
      <w:bookmarkEnd w:id="413"/>
      <w:bookmarkEnd w:id="414"/>
      <w:bookmarkEnd w:id="415"/>
      <w:bookmarkEnd w:id="416"/>
      <w:bookmarkEnd w:id="417"/>
      <w:bookmarkEnd w:id="418"/>
      <w:bookmarkStart w:id="421" w:name="_Toc515272907"/>
      <w:bookmarkStart w:id="422" w:name="_Toc515274807"/>
      <w:bookmarkStart w:id="423" w:name="_Toc22486"/>
      <w:bookmarkStart w:id="424" w:name="_Toc19311"/>
      <w:bookmarkStart w:id="425" w:name="_Toc20992"/>
      <w:bookmarkStart w:id="426" w:name="_Toc13257"/>
      <w:bookmarkStart w:id="427" w:name="_Toc2283"/>
      <w:bookmarkStart w:id="428" w:name="_Toc10153"/>
      <w:r>
        <w:rPr>
          <w:rFonts w:ascii="Times New Roman" w:hAnsi="Times New Roman" w:cs="Times New Roman"/>
          <w:lang w:val="en-US"/>
        </w:rPr>
        <w:t>组织领导</w:t>
      </w:r>
      <w:bookmarkEnd w:id="419"/>
      <w:bookmarkEnd w:id="420"/>
      <w:bookmarkEnd w:id="421"/>
      <w:bookmarkEnd w:id="422"/>
    </w:p>
    <w:p>
      <w:pPr>
        <w:spacing w:line="360" w:lineRule="auto"/>
        <w:ind w:firstLine="560" w:firstLineChars="200"/>
        <w:rPr>
          <w:sz w:val="28"/>
          <w:szCs w:val="28"/>
        </w:rPr>
      </w:pPr>
      <w:r>
        <w:rPr>
          <w:sz w:val="28"/>
          <w:szCs w:val="28"/>
        </w:rPr>
        <w:t>规模化畜禽养殖场污染防治</w:t>
      </w:r>
      <w:r>
        <w:rPr>
          <w:rFonts w:hint="eastAsia"/>
          <w:sz w:val="28"/>
          <w:szCs w:val="28"/>
        </w:rPr>
        <w:t>涉及</w:t>
      </w:r>
      <w:r>
        <w:rPr>
          <w:sz w:val="28"/>
          <w:szCs w:val="28"/>
        </w:rPr>
        <w:t>到方方面面，特别是对部分养殖场的处理设施涉及问题较多，极有可能受到部分养殖户的抵触。为保障综合整治工作的顺利开展，必须加强领导，明确责任，依法治理，使综合治理工作万无一失。</w:t>
      </w:r>
    </w:p>
    <w:p>
      <w:pPr>
        <w:spacing w:line="360" w:lineRule="auto"/>
        <w:ind w:firstLine="560" w:firstLineChars="200"/>
        <w:rPr>
          <w:sz w:val="28"/>
          <w:szCs w:val="28"/>
        </w:rPr>
      </w:pPr>
      <w:r>
        <w:rPr>
          <w:sz w:val="28"/>
          <w:szCs w:val="28"/>
        </w:rPr>
        <w:t>区政府成立畜禽养殖废弃物资源化利用工作领导小组，以“综合利用为主，末端治理为辅，推广先进治理技术，实现养殖和种植相结合，推进农村环境保护和畜牧业的协调发展”为思路，加强对畜禽养殖业污染防治工作的统一领导，明确工作目标，加强工作考核。</w:t>
      </w:r>
    </w:p>
    <w:p>
      <w:pPr>
        <w:spacing w:line="360" w:lineRule="auto"/>
        <w:ind w:firstLine="560" w:firstLineChars="200"/>
        <w:rPr>
          <w:sz w:val="28"/>
          <w:szCs w:val="28"/>
        </w:rPr>
      </w:pPr>
      <w:r>
        <w:rPr>
          <w:sz w:val="28"/>
          <w:szCs w:val="28"/>
        </w:rPr>
        <w:t>明确职责分工。切实加强监管，建立健全长效监管机制，切实做好技术指导与服务，相关部门按照职责抓好畜禽粪污防治工作，在保障畜禽产品安全基础上，推进畜禽养殖业生态化发展，确保污染防治工作顺利推进。</w:t>
      </w:r>
    </w:p>
    <w:p>
      <w:pPr>
        <w:pStyle w:val="5"/>
        <w:spacing w:before="312" w:after="312"/>
        <w:rPr>
          <w:rFonts w:ascii="Times New Roman" w:hAnsi="Times New Roman" w:cs="Times New Roman"/>
          <w:lang w:val="en-US"/>
        </w:rPr>
      </w:pPr>
      <w:bookmarkStart w:id="429" w:name="_Toc1770"/>
      <w:bookmarkStart w:id="430" w:name="_Toc515274808"/>
      <w:bookmarkStart w:id="431" w:name="_Toc515272908"/>
      <w:bookmarkStart w:id="432" w:name="_Toc18536"/>
      <w:r>
        <w:rPr>
          <w:rFonts w:ascii="Times New Roman" w:hAnsi="Times New Roman" w:cs="Times New Roman"/>
          <w:lang w:val="en-US"/>
        </w:rPr>
        <w:t>7.2政策扶持</w:t>
      </w:r>
      <w:bookmarkEnd w:id="429"/>
      <w:bookmarkEnd w:id="430"/>
      <w:bookmarkEnd w:id="431"/>
      <w:bookmarkEnd w:id="432"/>
    </w:p>
    <w:p>
      <w:pPr>
        <w:spacing w:line="360" w:lineRule="auto"/>
        <w:ind w:firstLine="560" w:firstLineChars="200"/>
        <w:rPr>
          <w:sz w:val="28"/>
          <w:szCs w:val="28"/>
        </w:rPr>
      </w:pPr>
      <w:r>
        <w:rPr>
          <w:sz w:val="28"/>
          <w:szCs w:val="28"/>
        </w:rPr>
        <w:t>认真落实《保定市徐水区构建畜禽养殖污染治理长效机制工作方案》（徐畜领办[2022]2号）要求，制定长效工作机制工作方案。建立畜禽养殖台账机制。各乡镇要对畜禽养殖场实施台账管理，信息向社会公开。构建畜禽养殖环境监管机制。加强对畜禽养殖业的环境监管，对违反国家法律和有关规定的行为进行严肃查处。形成多元化投资机制，制定积极有效的扶持政策，鼓励畜禽粪污综合利用示范工程建设，形成多元化的投入机制。采取示范奖励等措施，扶持规模化、标准化畜禽养殖。整合我区农业项目资金，支持规模养殖场粪污处理设施提升改造；</w:t>
      </w:r>
      <w:bookmarkStart w:id="433" w:name="_Toc515272900"/>
      <w:bookmarkStart w:id="434" w:name="_Toc515274800"/>
      <w:bookmarkStart w:id="435" w:name="_Toc515272909"/>
      <w:bookmarkStart w:id="436" w:name="_Toc515274809"/>
      <w:r>
        <w:rPr>
          <w:sz w:val="28"/>
          <w:szCs w:val="28"/>
        </w:rPr>
        <w:t>畜禽养殖场、养殖小区的畜禽养殖污染防治设施运行用电执行农业用电价格。鼓励和支持对染疫畜禽、病死或者死因不明畜禽尸体进行集中无害化处理，并按照国家有关规定对处理费用、养殖损失给予适当补助。</w:t>
      </w:r>
    </w:p>
    <w:bookmarkEnd w:id="433"/>
    <w:bookmarkEnd w:id="434"/>
    <w:p>
      <w:pPr>
        <w:pStyle w:val="5"/>
        <w:spacing w:before="312" w:after="312"/>
        <w:rPr>
          <w:rFonts w:ascii="Times New Roman" w:hAnsi="Times New Roman" w:cs="Times New Roman"/>
          <w:lang w:val="en-US"/>
        </w:rPr>
      </w:pPr>
      <w:bookmarkStart w:id="437" w:name="_Toc28239"/>
      <w:bookmarkStart w:id="438" w:name="_Toc4649"/>
      <w:r>
        <w:rPr>
          <w:rFonts w:ascii="Times New Roman" w:hAnsi="Times New Roman" w:cs="Times New Roman"/>
          <w:lang w:val="en-US"/>
        </w:rPr>
        <w:t>7.3机制创新</w:t>
      </w:r>
      <w:bookmarkEnd w:id="435"/>
      <w:bookmarkEnd w:id="436"/>
      <w:bookmarkEnd w:id="437"/>
      <w:bookmarkEnd w:id="438"/>
    </w:p>
    <w:p>
      <w:pPr>
        <w:spacing w:line="360" w:lineRule="auto"/>
        <w:ind w:firstLine="560" w:firstLineChars="200"/>
        <w:rPr>
          <w:sz w:val="28"/>
          <w:szCs w:val="28"/>
        </w:rPr>
      </w:pPr>
      <w:r>
        <w:rPr>
          <w:sz w:val="28"/>
          <w:szCs w:val="28"/>
        </w:rPr>
        <w:t>构建“1+1+4”污染治理长效工作机制，“1+1”即每年集中开展为期3个月的集中排查移交整治专项行动和大力提升畜禽粪污处理设施配建水平；“4”即建立服务督导机制、明察暗访机制、约谈通报机制、监督举报机制。</w:t>
      </w:r>
    </w:p>
    <w:p>
      <w:pPr>
        <w:spacing w:line="360" w:lineRule="auto"/>
        <w:ind w:firstLine="560" w:firstLineChars="200"/>
        <w:rPr>
          <w:sz w:val="28"/>
          <w:szCs w:val="28"/>
        </w:rPr>
      </w:pPr>
      <w:r>
        <w:rPr>
          <w:sz w:val="28"/>
          <w:szCs w:val="28"/>
        </w:rPr>
        <w:t>把握国家支持开展畜禽粪污资源化利用试点工作的重要机遇，充分发挥试点的示范引领作用，实现畜禽粪污资源化利用的新突破，因地制宜，建立科学规范、运行有效、符合本地实际的粪污资源化利用主导模式，为实现畜禽粪污综合利用率目标提供制度保障。积极出台促进畜禽粪污资源化利用的优惠政策，优化畜禽粪污资源化利用的发展环境，降低准入门槛，大力吸引各类人才和各领域资本进入农牧业，建立政府、企业、社会多元化投入机制，加大畜禽养殖污染防治投入力度。重点扶持有实力有技术的企业通过入股合作、托管租赁等方式实现整合与转型升级的规模养殖场（合作社），兼顾专业化畜禽粪污处理利用企业及产业关联度高的其他社会化服务组织。</w:t>
      </w:r>
    </w:p>
    <w:p>
      <w:pPr>
        <w:pStyle w:val="5"/>
        <w:spacing w:before="312" w:after="312"/>
        <w:rPr>
          <w:rFonts w:ascii="Times New Roman" w:hAnsi="Times New Roman" w:cs="Times New Roman"/>
          <w:lang w:val="en-US"/>
        </w:rPr>
      </w:pPr>
      <w:bookmarkStart w:id="439" w:name="_Toc515274810"/>
      <w:bookmarkStart w:id="440" w:name="_Toc515272910"/>
      <w:bookmarkStart w:id="441" w:name="_Toc7760"/>
      <w:bookmarkStart w:id="442" w:name="_Toc29046"/>
      <w:r>
        <w:rPr>
          <w:rFonts w:ascii="Times New Roman" w:hAnsi="Times New Roman" w:cs="Times New Roman"/>
          <w:lang w:val="en-US"/>
        </w:rPr>
        <w:t>7.4资金</w:t>
      </w:r>
      <w:bookmarkEnd w:id="439"/>
      <w:bookmarkEnd w:id="440"/>
      <w:r>
        <w:rPr>
          <w:rFonts w:ascii="Times New Roman" w:hAnsi="Times New Roman" w:cs="Times New Roman"/>
          <w:lang w:val="en-US"/>
        </w:rPr>
        <w:t>管理</w:t>
      </w:r>
      <w:bookmarkEnd w:id="441"/>
      <w:bookmarkEnd w:id="442"/>
    </w:p>
    <w:p>
      <w:pPr>
        <w:spacing w:line="360" w:lineRule="auto"/>
        <w:ind w:firstLine="560" w:firstLineChars="200"/>
        <w:rPr>
          <w:sz w:val="28"/>
          <w:szCs w:val="28"/>
        </w:rPr>
      </w:pPr>
      <w:r>
        <w:rPr>
          <w:sz w:val="28"/>
          <w:szCs w:val="28"/>
        </w:rPr>
        <w:t>通过现有生态环境和涉农财政资金渠道，逐步加大对畜禽养殖污染防治的投入，充分运用各种经济手段，吸引地方和社会资金投入畜禽养殖污染防治。制定和实施畜禽养殖场、养殖小区的畜禽养殖污染防治设施运行用电执行农业用电价格等优惠和扶持措施。各乡镇结合实际，采取财政补贴、企业自筹、社会投入等多种方式，加大畜禽养殖污染防治资金支持，逐步建立各级财政、企业、社会多元化投入机制。</w:t>
      </w:r>
    </w:p>
    <w:p>
      <w:pPr>
        <w:pStyle w:val="5"/>
        <w:spacing w:before="312" w:after="312"/>
        <w:rPr>
          <w:rFonts w:ascii="Times New Roman" w:hAnsi="Times New Roman" w:cs="Times New Roman"/>
          <w:lang w:val="en-US"/>
        </w:rPr>
      </w:pPr>
      <w:bookmarkStart w:id="443" w:name="_Toc12001"/>
      <w:bookmarkStart w:id="444" w:name="_Toc515272911"/>
      <w:bookmarkStart w:id="445" w:name="_Toc515274811"/>
      <w:bookmarkStart w:id="446" w:name="_Toc17442"/>
      <w:r>
        <w:rPr>
          <w:rFonts w:ascii="Times New Roman" w:hAnsi="Times New Roman" w:cs="Times New Roman"/>
          <w:lang w:val="en-US"/>
        </w:rPr>
        <w:t>7.5监督管理</w:t>
      </w:r>
      <w:bookmarkEnd w:id="443"/>
      <w:bookmarkEnd w:id="444"/>
      <w:bookmarkEnd w:id="445"/>
      <w:bookmarkEnd w:id="446"/>
    </w:p>
    <w:p>
      <w:pPr>
        <w:spacing w:line="360" w:lineRule="auto"/>
        <w:ind w:firstLine="560" w:firstLineChars="200"/>
        <w:rPr>
          <w:sz w:val="28"/>
          <w:szCs w:val="28"/>
        </w:rPr>
      </w:pPr>
      <w:r>
        <w:rPr>
          <w:sz w:val="28"/>
          <w:szCs w:val="28"/>
        </w:rPr>
        <w:t>建立畜禽养殖台账机制。各乡镇要对畜禽养殖场实施台账管理，信息向社会公开，群防群管，积极引导舆论监督。</w:t>
      </w:r>
      <w:bookmarkEnd w:id="423"/>
      <w:bookmarkEnd w:id="424"/>
      <w:bookmarkEnd w:id="425"/>
      <w:bookmarkEnd w:id="426"/>
      <w:bookmarkEnd w:id="427"/>
      <w:bookmarkEnd w:id="428"/>
      <w:bookmarkStart w:id="447" w:name="_Toc27261"/>
      <w:bookmarkStart w:id="448" w:name="_Toc27547"/>
      <w:bookmarkStart w:id="449" w:name="_Toc7470"/>
      <w:r>
        <w:rPr>
          <w:sz w:val="28"/>
          <w:szCs w:val="28"/>
        </w:rPr>
        <w:t>构建畜禽养殖环境监管机制。加强对畜禽养殖业的环境监管，对违反国家法律和有关规定的行为进行严肃查处。充分发挥好村级组织的作用，带动村级各类组织各支队伍加强对畜禽养殖污染防治的监管力度。引导各村规范养殖区域、粪污处理，对畜禽养殖加以约束和规范。各乡镇将畜禽养殖污染防治作为一项重要内容，配合管理部门全力抓好畜禽养殖污染防治工作。同时加强对养殖户的培训和指导，采用现场参观、专题讲座等方式，推广现代农业和有机农业，并定期对畜禽养殖排污量进行跟踪监测，完善动态长效监管机制。</w:t>
      </w:r>
    </w:p>
    <w:p>
      <w:pPr>
        <w:pStyle w:val="5"/>
        <w:spacing w:before="312" w:after="312"/>
        <w:rPr>
          <w:rFonts w:ascii="Times New Roman" w:hAnsi="Times New Roman" w:cs="Times New Roman"/>
          <w:lang w:val="en-US"/>
        </w:rPr>
      </w:pPr>
      <w:bookmarkStart w:id="450" w:name="_Toc24403"/>
      <w:r>
        <w:rPr>
          <w:rFonts w:ascii="Times New Roman" w:hAnsi="Times New Roman" w:cs="Times New Roman"/>
          <w:lang w:val="en-US"/>
        </w:rPr>
        <w:t>7.6企业引领</w:t>
      </w:r>
      <w:bookmarkEnd w:id="450"/>
    </w:p>
    <w:p>
      <w:pPr>
        <w:spacing w:line="360" w:lineRule="auto"/>
        <w:ind w:firstLine="560" w:firstLineChars="200"/>
        <w:rPr>
          <w:sz w:val="28"/>
          <w:szCs w:val="28"/>
        </w:rPr>
      </w:pPr>
      <w:r>
        <w:rPr>
          <w:sz w:val="28"/>
          <w:szCs w:val="28"/>
        </w:rPr>
        <w:t>树立畜禽养殖示范场，总结畜禽养殖污染防治经验，推广符合徐水区实际的畜禽养殖污染防治措施，强化规范化畜禽养殖示范作用。</w:t>
      </w:r>
    </w:p>
    <w:p>
      <w:pPr>
        <w:spacing w:line="360" w:lineRule="auto"/>
        <w:ind w:firstLine="560" w:firstLineChars="200"/>
        <w:rPr>
          <w:sz w:val="28"/>
          <w:szCs w:val="28"/>
        </w:rPr>
      </w:pPr>
      <w:r>
        <w:rPr>
          <w:sz w:val="28"/>
          <w:szCs w:val="28"/>
        </w:rPr>
        <w:t>由政府牵头，促进园林、绿化企业和畜禽养殖业的合作，引领徐水区种植业和畜禽养殖业的产业链发展。</w:t>
      </w:r>
    </w:p>
    <w:p>
      <w:pPr>
        <w:spacing w:line="360" w:lineRule="auto"/>
        <w:ind w:firstLine="560" w:firstLineChars="200"/>
        <w:rPr>
          <w:sz w:val="28"/>
          <w:szCs w:val="28"/>
        </w:rPr>
      </w:pPr>
      <w:r>
        <w:rPr>
          <w:sz w:val="28"/>
          <w:szCs w:val="28"/>
        </w:rPr>
        <w:t>引领行业规范发展。积极引导符合条件的企业申报专项资金，选择具有一定经济实力的规模化畜禽养殖场开展示范工程建设，选择污染物达标排放、综合利用好且又有推广价值的畜禽养殖场树立样板。通过示范工程或样板，加强技术交流，总结经验，稳步推广，不断提高全区畜禽养殖业污染综合防治水平，引领畜禽养殖行业规范化发展。</w:t>
      </w:r>
    </w:p>
    <w:p>
      <w:pPr>
        <w:spacing w:line="360" w:lineRule="auto"/>
        <w:ind w:firstLine="420" w:firstLineChars="200"/>
        <w:sectPr>
          <w:footerReference r:id="rId7" w:type="default"/>
          <w:pgSz w:w="11906" w:h="16838"/>
          <w:pgMar w:top="1701" w:right="1417" w:bottom="1417" w:left="1701" w:header="851" w:footer="283" w:gutter="0"/>
          <w:cols w:space="720" w:num="1"/>
          <w:docGrid w:type="lines" w:linePitch="312" w:charSpace="0"/>
        </w:sectPr>
      </w:pPr>
    </w:p>
    <w:bookmarkEnd w:id="447"/>
    <w:bookmarkEnd w:id="448"/>
    <w:bookmarkEnd w:id="449"/>
    <w:p>
      <w:pPr>
        <w:pStyle w:val="4"/>
        <w:spacing w:before="312" w:after="312"/>
        <w:rPr>
          <w:rFonts w:ascii="Times New Roman" w:hAnsi="Times New Roman"/>
          <w:lang w:val="en-US"/>
        </w:rPr>
      </w:pPr>
      <w:bookmarkStart w:id="451" w:name="_Toc25944"/>
      <w:r>
        <w:rPr>
          <w:rFonts w:ascii="Times New Roman" w:hAnsi="Times New Roman"/>
          <w:lang w:val="en-US"/>
        </w:rPr>
        <w:t>附件1：专家意见及专家名单</w:t>
      </w:r>
      <w:bookmarkEnd w:id="451"/>
    </w:p>
    <w:p>
      <w:pPr>
        <w:spacing w:line="360" w:lineRule="auto"/>
        <w:jc w:val="center"/>
        <w:rPr>
          <w:rFonts w:eastAsia="黑体"/>
          <w:b/>
          <w:bCs/>
          <w:szCs w:val="21"/>
        </w:rPr>
      </w:pPr>
      <w:r>
        <w:rPr>
          <w:rFonts w:eastAsia="黑体"/>
          <w:b/>
          <w:bCs/>
          <w:szCs w:val="21"/>
        </w:rPr>
        <w:drawing>
          <wp:inline distT="0" distB="0" distL="0" distR="0">
            <wp:extent cx="5311140" cy="7684770"/>
            <wp:effectExtent l="0" t="0" r="3810" b="0"/>
            <wp:docPr id="21" name="图片 2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文本, 信件&#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15163" cy="7690897"/>
                    </a:xfrm>
                    <a:prstGeom prst="rect">
                      <a:avLst/>
                    </a:prstGeom>
                    <a:noFill/>
                    <a:ln>
                      <a:noFill/>
                    </a:ln>
                  </pic:spPr>
                </pic:pic>
              </a:graphicData>
            </a:graphic>
          </wp:inline>
        </w:drawing>
      </w:r>
    </w:p>
    <w:p>
      <w:pPr>
        <w:pStyle w:val="2"/>
        <w:rPr>
          <w:rFonts w:ascii="Times New Roman" w:hAnsi="Times New Roman"/>
          <w:lang w:val="en-US"/>
        </w:rPr>
        <w:sectPr>
          <w:pgSz w:w="11906" w:h="16838"/>
          <w:pgMar w:top="1701" w:right="1417" w:bottom="1417" w:left="1701" w:header="851" w:footer="283" w:gutter="0"/>
          <w:cols w:space="720" w:num="1"/>
          <w:docGrid w:type="lines" w:linePitch="312" w:charSpace="0"/>
        </w:sectPr>
      </w:pPr>
      <w:r>
        <w:rPr>
          <w:rFonts w:ascii="Times New Roman" w:hAnsi="Times New Roman"/>
          <w:lang w:val="en-US"/>
        </w:rPr>
        <w:drawing>
          <wp:inline distT="0" distB="0" distL="0" distR="0">
            <wp:extent cx="5580380" cy="8204200"/>
            <wp:effectExtent l="0" t="0" r="1270" b="6350"/>
            <wp:docPr id="22" name="图片 2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文本, 信件&#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580380" cy="8204200"/>
                    </a:xfrm>
                    <a:prstGeom prst="rect">
                      <a:avLst/>
                    </a:prstGeom>
                    <a:noFill/>
                    <a:ln>
                      <a:noFill/>
                    </a:ln>
                  </pic:spPr>
                </pic:pic>
              </a:graphicData>
            </a:graphic>
          </wp:inline>
        </w:drawing>
      </w:r>
    </w:p>
    <w:p>
      <w:pPr>
        <w:spacing w:line="360" w:lineRule="auto"/>
        <w:jc w:val="center"/>
        <w:rPr>
          <w:rFonts w:eastAsia="黑体"/>
          <w:b/>
          <w:bCs/>
          <w:szCs w:val="21"/>
        </w:rPr>
      </w:pPr>
      <w:r>
        <w:rPr>
          <w:rFonts w:eastAsia="黑体"/>
          <w:b/>
          <w:bCs/>
          <w:szCs w:val="21"/>
        </w:rPr>
        <w:t>附表1：规模化养殖场畜禽养殖统计数据一览表  单位：头、羽</w:t>
      </w:r>
    </w:p>
    <w:tbl>
      <w:tblPr>
        <w:tblStyle w:val="23"/>
        <w:tblW w:w="9201" w:type="dxa"/>
        <w:tblInd w:w="-246" w:type="dxa"/>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108" w:type="dxa"/>
          <w:bottom w:w="0" w:type="dxa"/>
          <w:right w:w="108" w:type="dxa"/>
        </w:tblCellMar>
      </w:tblPr>
      <w:tblGrid>
        <w:gridCol w:w="700"/>
        <w:gridCol w:w="2712"/>
        <w:gridCol w:w="888"/>
        <w:gridCol w:w="900"/>
        <w:gridCol w:w="1807"/>
        <w:gridCol w:w="1114"/>
        <w:gridCol w:w="1080"/>
      </w:tblGrid>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tcBorders>
              <w:tl2br w:val="nil"/>
              <w:tr2bl w:val="nil"/>
            </w:tcBorders>
            <w:vAlign w:val="center"/>
          </w:tcPr>
          <w:p>
            <w:pPr>
              <w:widowControl/>
              <w:jc w:val="center"/>
              <w:textAlignment w:val="center"/>
              <w:rPr>
                <w:rFonts w:eastAsia="黑体"/>
                <w:b/>
                <w:bCs/>
                <w:szCs w:val="21"/>
              </w:rPr>
            </w:pPr>
            <w:r>
              <w:rPr>
                <w:rFonts w:eastAsia="黑体"/>
                <w:b/>
                <w:bCs/>
                <w:color w:val="000000"/>
                <w:kern w:val="0"/>
                <w:szCs w:val="21"/>
                <w:lang w:bidi="ar"/>
              </w:rPr>
              <w:t>序号</w:t>
            </w:r>
          </w:p>
        </w:tc>
        <w:tc>
          <w:tcPr>
            <w:tcW w:w="2712" w:type="dxa"/>
            <w:tcBorders>
              <w:tl2br w:val="nil"/>
              <w:tr2bl w:val="nil"/>
            </w:tcBorders>
            <w:vAlign w:val="center"/>
          </w:tcPr>
          <w:p>
            <w:pPr>
              <w:widowControl/>
              <w:jc w:val="center"/>
              <w:textAlignment w:val="center"/>
              <w:rPr>
                <w:rFonts w:eastAsia="黑体"/>
                <w:b/>
                <w:bCs/>
                <w:szCs w:val="21"/>
              </w:rPr>
            </w:pPr>
            <w:r>
              <w:rPr>
                <w:rFonts w:eastAsia="黑体"/>
                <w:b/>
                <w:bCs/>
                <w:color w:val="000000"/>
                <w:kern w:val="0"/>
                <w:szCs w:val="21"/>
                <w:lang w:bidi="ar"/>
              </w:rPr>
              <w:t>养殖场户名称</w:t>
            </w:r>
          </w:p>
        </w:tc>
        <w:tc>
          <w:tcPr>
            <w:tcW w:w="888" w:type="dxa"/>
            <w:tcBorders>
              <w:tl2br w:val="nil"/>
              <w:tr2bl w:val="nil"/>
            </w:tcBorders>
            <w:vAlign w:val="center"/>
          </w:tcPr>
          <w:p>
            <w:pPr>
              <w:widowControl/>
              <w:jc w:val="center"/>
              <w:textAlignment w:val="center"/>
              <w:rPr>
                <w:rFonts w:eastAsia="黑体"/>
                <w:b/>
                <w:bCs/>
                <w:szCs w:val="21"/>
              </w:rPr>
            </w:pPr>
            <w:r>
              <w:rPr>
                <w:rFonts w:eastAsia="黑体"/>
                <w:b/>
                <w:bCs/>
                <w:color w:val="000000"/>
                <w:kern w:val="0"/>
                <w:szCs w:val="21"/>
                <w:lang w:bidi="ar"/>
              </w:rPr>
              <w:t>设计存栏规模</w:t>
            </w:r>
          </w:p>
        </w:tc>
        <w:tc>
          <w:tcPr>
            <w:tcW w:w="900" w:type="dxa"/>
            <w:tcBorders>
              <w:tl2br w:val="nil"/>
              <w:tr2bl w:val="nil"/>
            </w:tcBorders>
            <w:vAlign w:val="center"/>
          </w:tcPr>
          <w:p>
            <w:pPr>
              <w:widowControl/>
              <w:jc w:val="center"/>
              <w:textAlignment w:val="center"/>
              <w:rPr>
                <w:rFonts w:eastAsia="黑体"/>
                <w:b/>
                <w:bCs/>
                <w:szCs w:val="21"/>
              </w:rPr>
            </w:pPr>
            <w:r>
              <w:rPr>
                <w:rFonts w:eastAsia="黑体"/>
                <w:b/>
                <w:bCs/>
                <w:color w:val="000000"/>
                <w:kern w:val="0"/>
                <w:szCs w:val="21"/>
                <w:lang w:bidi="ar"/>
              </w:rPr>
              <w:t>设计出栏规模</w:t>
            </w:r>
          </w:p>
        </w:tc>
        <w:tc>
          <w:tcPr>
            <w:tcW w:w="1807" w:type="dxa"/>
            <w:tcBorders>
              <w:tl2br w:val="nil"/>
              <w:tr2bl w:val="nil"/>
            </w:tcBorders>
            <w:vAlign w:val="center"/>
          </w:tcPr>
          <w:p>
            <w:pPr>
              <w:widowControl/>
              <w:jc w:val="center"/>
              <w:textAlignment w:val="center"/>
              <w:rPr>
                <w:rFonts w:eastAsia="黑体"/>
                <w:b/>
                <w:bCs/>
                <w:szCs w:val="21"/>
              </w:rPr>
            </w:pPr>
            <w:r>
              <w:rPr>
                <w:rFonts w:eastAsia="黑体"/>
                <w:b/>
                <w:bCs/>
                <w:color w:val="000000"/>
                <w:kern w:val="0"/>
                <w:szCs w:val="21"/>
                <w:lang w:bidi="ar"/>
              </w:rPr>
              <w:t>养殖场地址</w:t>
            </w:r>
          </w:p>
        </w:tc>
        <w:tc>
          <w:tcPr>
            <w:tcW w:w="1114" w:type="dxa"/>
            <w:tcBorders>
              <w:tl2br w:val="nil"/>
              <w:tr2bl w:val="nil"/>
            </w:tcBorders>
            <w:vAlign w:val="center"/>
          </w:tcPr>
          <w:p>
            <w:pPr>
              <w:widowControl/>
              <w:jc w:val="center"/>
              <w:textAlignment w:val="center"/>
              <w:rPr>
                <w:rFonts w:eastAsia="黑体"/>
                <w:b/>
                <w:bCs/>
                <w:szCs w:val="21"/>
              </w:rPr>
            </w:pPr>
            <w:r>
              <w:rPr>
                <w:rFonts w:eastAsia="黑体"/>
                <w:b/>
                <w:bCs/>
                <w:color w:val="000000"/>
                <w:kern w:val="0"/>
                <w:szCs w:val="21"/>
                <w:lang w:bidi="ar"/>
              </w:rPr>
              <w:t>养殖畜种</w:t>
            </w:r>
          </w:p>
        </w:tc>
        <w:tc>
          <w:tcPr>
            <w:tcW w:w="1080" w:type="dxa"/>
            <w:tcBorders>
              <w:tl2br w:val="nil"/>
              <w:tr2bl w:val="nil"/>
            </w:tcBorders>
            <w:vAlign w:val="center"/>
          </w:tcPr>
          <w:p>
            <w:pPr>
              <w:widowControl/>
              <w:jc w:val="center"/>
              <w:textAlignment w:val="center"/>
              <w:rPr>
                <w:rFonts w:eastAsia="黑体"/>
                <w:b/>
                <w:bCs/>
                <w:szCs w:val="21"/>
              </w:rPr>
            </w:pPr>
            <w:r>
              <w:rPr>
                <w:rFonts w:eastAsia="黑体"/>
                <w:b/>
                <w:bCs/>
                <w:color w:val="000000"/>
                <w:kern w:val="0"/>
                <w:szCs w:val="21"/>
                <w:lang w:bidi="ar"/>
              </w:rPr>
              <w:t>法人代表</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振山养殖场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安肃镇北梨园</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高凌志</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吉吉养殖场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1050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安肃镇北下关</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李伟</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徐水县田增元养殖场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安肃镇北徐城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田增元</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徐水县泽辰生猪专业合作社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安肃镇东于庄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李月</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保定市徐水区继明养殖有限公司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王继明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家旺养殖场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付文奎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刘银峰养殖场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刘银峰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王海辉养殖场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王海辉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王景如养殖场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王景如</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宝忠养殖场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1050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贾保忠</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王顺刚</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510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王顺刚</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王薪宇养殖场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1100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王薪宇</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吴建设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吴建设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徐水区顺良养殖场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5800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乔彦良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徐水区昱润家庭养殖场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35000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210000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安肃镇黄土岗</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李东养殖场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安肃镇南孤庄营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李秀峰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周连生</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安肃镇南孤庄营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周连生</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浩胜旺达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安肃镇南张丰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刘浩</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华杨饲养场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1980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安肃镇南张丰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姜陆杨</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佳鑫养殖场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安肃镇南张丰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于占良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瑞兴养殖场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490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740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安肃镇南张丰</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刘金雨</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李俊英养殖场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安肃镇前所营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李俊英</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瑞海养殖场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1100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安肃镇前所营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代瑞海</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徐水县章雨养殖场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安肃镇商庄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李章雨</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徐水县中义养殖场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安肃镇商庄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王忠义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保定诚民养殖有限公司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安肃镇王马</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李桂兰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河北天正养殖有限公司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42000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安肃镇西张丰村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姚新海</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保定市徐水区康丰养猪场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安肃镇沿公</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曹洪利</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29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永利猪场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安肃镇岳家营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张永启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王登平牛场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漕河镇北楼</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王登平</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徐水县泓森奶牛养殖有限公司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400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漕河镇北庞村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王淑贤</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郭宝来猪场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漕河镇马官营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郭宝来</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徐水县双亚奶牛养殖场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漕河镇马官营村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郭亚清</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保定圣美奶牛专业合作业</w:t>
            </w:r>
          </w:p>
        </w:tc>
        <w:tc>
          <w:tcPr>
            <w:tcW w:w="888" w:type="dxa"/>
            <w:vAlign w:val="center"/>
          </w:tcPr>
          <w:p>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漕河镇米家营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韦栋</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保定洲赛奶牛养殖有限责任公司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漕河镇勉家营村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杨赛</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李元猪场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260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李元</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刘焕猪场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刘焕</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秦宝利猪场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580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秦宝利</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39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于连军猪场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260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于连军</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苑宝忠猪场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苑宝忠</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苑丽清猪场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苑丽清</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徐水县利农奶牛专业合作社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167</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漕河镇南庞村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范学平</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保定玉洁农牧有限公司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290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漕河镇中所营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田金友</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汤山河鸡场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15000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崔庄镇大辛庄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汤山河</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田磊鸡场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15500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46000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崔庄镇大辛庄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田磊</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田振忠鸡场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18000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54000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崔庄镇大辛庄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田振忠</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朱大林猪场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900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崔庄镇东崔庄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朱大林</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保定市海通奶牛养殖场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崔庄镇干河沟村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王振路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49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保定市安安生态农业发展有限公司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崔庄镇郝王庄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陈欣</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陈小磊猪场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750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1100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崔庄镇郝王庄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陈小磊</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赵宝义鸡场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8000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崔庄镇郝王庄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赵宝义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赵树新猪场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崔庄镇郝王庄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赵树新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保定腾佳养殖有限公司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1700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崔庄镇刘庄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高大成</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徐水县昕牧养猪合作社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1950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崔庄镇刘庄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张德平</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安红建猪场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崔庄镇沙口</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安红建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保定宏宣畜牧养殖场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9000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崔庄镇商平庄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楚建峰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李永伟猪场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2300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崔庄镇水磨头</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李永伟</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烽运养殖场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2800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崔庄镇田庄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范大占</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59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闫小秃羊场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720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崔庄镇吴庄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羊</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闫小秃</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赵宽成鸡场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24000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72000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崔庄镇吴庄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赵宽成</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王赶良猪场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崔庄镇兴隆庄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王赶良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王雄光猪场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崔庄镇兴隆庄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王雄光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保定市徐水区禾鑫奶牛农民专业合作社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崔庄镇郑庄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孟另山</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保定孟扬养殖有限公司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40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崔庄镇郑庄村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孟另雪</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徐水县华艺奶牛专业合作社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大王店曲水村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甄福才</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丰硕猪场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1980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大王店镇北街</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王宁</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孟君猪场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大王店镇佃头</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孟文明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坡子养猪场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大王店镇佃头村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王波</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69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民会猪场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1600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大王店镇黑山村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田学民</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保定市徐水区五兴奶牛农民专业合作社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32</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大王店镇西黑山村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张金明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民水猪场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大王店镇小黑山</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周民水</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崔广汉</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大因镇崔迪城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崔广汉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崔广学猪场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大因镇崔迪城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崔广学</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崔海迎</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大因镇崔迪城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崔海迎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徐水俊龙养殖有限公司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3400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大因镇崔迪城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崔广来</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保定百丰养殖有限公司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李开开</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韩保国</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韩保国</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霍磊</w:t>
            </w:r>
          </w:p>
        </w:tc>
        <w:tc>
          <w:tcPr>
            <w:tcW w:w="888" w:type="dxa"/>
            <w:vAlign w:val="center"/>
          </w:tcPr>
          <w:p>
            <w:pPr>
              <w:widowControl/>
              <w:jc w:val="center"/>
              <w:textAlignment w:val="center"/>
              <w:rPr>
                <w:rFonts w:eastAsia="黑体"/>
                <w:szCs w:val="21"/>
              </w:rPr>
            </w:pPr>
            <w:r>
              <w:rPr>
                <w:rFonts w:eastAsia="黑体"/>
                <w:color w:val="000000"/>
                <w:kern w:val="0"/>
                <w:szCs w:val="21"/>
                <w:lang w:bidi="ar"/>
              </w:rPr>
              <w:t>900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1350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霍磊</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79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李卜</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李卜</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李二峰</w:t>
            </w:r>
          </w:p>
        </w:tc>
        <w:tc>
          <w:tcPr>
            <w:tcW w:w="888" w:type="dxa"/>
            <w:vAlign w:val="center"/>
          </w:tcPr>
          <w:p>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820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李二峰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李章壮</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李章壮</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魏宏亮</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620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魏宏亮</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魏军营</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魏军营</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徐水县建民养殖有限公司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1980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李建新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徐水县绿安蒂养殖场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张艳学</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大午畜牧有限公司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30000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大因镇防陵</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张旭</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新兴养猪场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大因镇防陵</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商大新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正旺养殖场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大因镇李迪城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刘海清</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89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张金来</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大因镇龙化</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张金来</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保定康泽养殖有限公司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42</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大因镇龙化村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赵永清</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保定市三合奶牛农民专业合作社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40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大因镇任庄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任大吉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金泽猪场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大因镇王村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朱金泽</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腾达养猪场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大因镇肖迪城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刘小建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保定千秋和谐奶牛专业合作社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960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大因镇小千秋村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李建新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刘保江</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大因镇小因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刘保江</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保定市申友养殖有限公司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12000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大因镇于迪城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于宝申</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崔振岭</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1900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大因镇于迪城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崔振岭</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旺源猪场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1800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大因镇于迪城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崔大榜</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99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于海峰</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大因镇于迪城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于海峰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新瑞德养殖场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200000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东釜山乡白岭</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张秀成</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青霞养猪场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东釜山乡南街村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翁增青</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王占军猪场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1600</w:t>
            </w:r>
          </w:p>
        </w:tc>
        <w:tc>
          <w:tcPr>
            <w:tcW w:w="1807" w:type="dxa"/>
            <w:vAlign w:val="center"/>
          </w:tcPr>
          <w:p>
            <w:pPr>
              <w:widowControl/>
              <w:jc w:val="center"/>
              <w:textAlignment w:val="center"/>
              <w:rPr>
                <w:rFonts w:eastAsia="黑体"/>
                <w:szCs w:val="21"/>
              </w:rPr>
            </w:pPr>
            <w:r>
              <w:rPr>
                <w:rFonts w:hint="eastAsia" w:eastAsia="黑体"/>
                <w:color w:val="000000"/>
                <w:kern w:val="0"/>
                <w:szCs w:val="21"/>
                <w:lang w:bidi="ar"/>
              </w:rPr>
              <w:t>东史端镇</w:t>
            </w:r>
            <w:r>
              <w:rPr>
                <w:rFonts w:eastAsia="黑体"/>
                <w:color w:val="000000"/>
                <w:kern w:val="0"/>
                <w:szCs w:val="21"/>
                <w:lang w:bidi="ar"/>
              </w:rPr>
              <w:t>北北里</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王占军</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韩顺堂</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1300</w:t>
            </w:r>
          </w:p>
        </w:tc>
        <w:tc>
          <w:tcPr>
            <w:tcW w:w="1807" w:type="dxa"/>
            <w:vAlign w:val="center"/>
          </w:tcPr>
          <w:p>
            <w:pPr>
              <w:widowControl/>
              <w:jc w:val="center"/>
              <w:textAlignment w:val="center"/>
              <w:rPr>
                <w:rFonts w:eastAsia="黑体"/>
                <w:szCs w:val="21"/>
              </w:rPr>
            </w:pPr>
            <w:r>
              <w:rPr>
                <w:rFonts w:hint="eastAsia" w:eastAsia="黑体"/>
                <w:color w:val="000000"/>
                <w:kern w:val="0"/>
                <w:szCs w:val="21"/>
                <w:lang w:bidi="ar"/>
              </w:rPr>
              <w:t>东史端镇</w:t>
            </w:r>
            <w:r>
              <w:rPr>
                <w:rFonts w:eastAsia="黑体"/>
                <w:color w:val="000000"/>
                <w:kern w:val="0"/>
                <w:szCs w:val="21"/>
                <w:lang w:bidi="ar"/>
              </w:rPr>
              <w:t>北营村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韩顺堂</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刘德志猪场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1300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1720</w:t>
            </w:r>
          </w:p>
        </w:tc>
        <w:tc>
          <w:tcPr>
            <w:tcW w:w="1807" w:type="dxa"/>
            <w:vAlign w:val="center"/>
          </w:tcPr>
          <w:p>
            <w:pPr>
              <w:widowControl/>
              <w:jc w:val="center"/>
              <w:textAlignment w:val="center"/>
              <w:rPr>
                <w:rFonts w:eastAsia="黑体"/>
                <w:szCs w:val="21"/>
              </w:rPr>
            </w:pPr>
            <w:r>
              <w:rPr>
                <w:rFonts w:hint="eastAsia" w:eastAsia="黑体"/>
                <w:color w:val="000000"/>
                <w:kern w:val="0"/>
                <w:szCs w:val="21"/>
                <w:lang w:bidi="ar"/>
              </w:rPr>
              <w:t>东史端镇</w:t>
            </w:r>
            <w:r>
              <w:rPr>
                <w:rFonts w:eastAsia="黑体"/>
                <w:color w:val="000000"/>
                <w:kern w:val="0"/>
                <w:szCs w:val="21"/>
                <w:lang w:bidi="ar"/>
              </w:rPr>
              <w:t>南北里</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刘德志</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崔连中</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38000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114000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东史端镇北胡渠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崔连中</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李占峰</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38000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114000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东史端镇北胡渠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李占峰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李正</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55000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165000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东史端镇北胡渠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李正</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张建柱</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22000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66000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东史端镇北胡渠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张建柱</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109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张东阁</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22000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66000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东史端镇梁庄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张东阁</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李会明</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37000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111000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东史端镇南胡渠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李会明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李会强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38000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114000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东史端镇南胡渠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李会强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李志坡</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63000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东史端镇南胡渠</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李志坡</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王二茹猪场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810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东史端镇郑庄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王二茹</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郑宝玉猪场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东史端镇郑庄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郑宝玉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刘学东</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高林村镇大庄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刘学东</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徐水县宝磊奶牛专业合作社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25</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高林村镇大庄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晏福春</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绿康养殖场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900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1350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高林村镇高林村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田博</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张小江</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高林村镇高林村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张小江</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119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祖志强猪场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1300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1700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高林村镇高林村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祖志强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柏继安养猪场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1600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高林村镇高林营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柏继安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陈金贵</w:t>
            </w:r>
          </w:p>
        </w:tc>
        <w:tc>
          <w:tcPr>
            <w:tcW w:w="888" w:type="dxa"/>
            <w:vAlign w:val="center"/>
          </w:tcPr>
          <w:p>
            <w:pPr>
              <w:widowControl/>
              <w:jc w:val="center"/>
              <w:textAlignment w:val="center"/>
              <w:rPr>
                <w:rFonts w:eastAsia="黑体"/>
                <w:szCs w:val="21"/>
              </w:rPr>
            </w:pPr>
            <w:r>
              <w:rPr>
                <w:rFonts w:eastAsia="黑体"/>
                <w:color w:val="000000"/>
                <w:kern w:val="0"/>
                <w:szCs w:val="21"/>
                <w:lang w:bidi="ar"/>
              </w:rPr>
              <w:t>45000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135000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高林村镇高林营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陈金贵</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顺元家庭农场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16000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63000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高林村镇高林营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魏顺元</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123</w:t>
            </w:r>
          </w:p>
        </w:tc>
        <w:tc>
          <w:tcPr>
            <w:tcW w:w="2712" w:type="dxa"/>
            <w:vAlign w:val="center"/>
          </w:tcPr>
          <w:p>
            <w:pPr>
              <w:widowControl/>
              <w:jc w:val="center"/>
              <w:textAlignment w:val="center"/>
              <w:rPr>
                <w:rFonts w:eastAsia="黑体"/>
                <w:szCs w:val="21"/>
              </w:rPr>
            </w:pPr>
            <w:r>
              <w:rPr>
                <w:rFonts w:eastAsia="黑体"/>
                <w:szCs w:val="21"/>
              </w:rPr>
              <w:t>保定兴芮农牧发展有限公司商品代蛋鸡场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65000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高林村镇郎马庄村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戴占辉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李大军</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1650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高林村镇郎五庄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李大军</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保定兴芮农牧发展有限公司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620000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400000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高林村镇郎五庄村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刘建峰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徐水县继文奶牛养殖场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40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高林村镇六里铺村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马继文</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马江</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高林村镇田村铺</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马江</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田江武</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22000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66000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高林村镇田村铺</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田江武</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129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徐水县兴盛奶牛专业合作社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30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高林村镇肖金营村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孙少华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贾同振</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1100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1700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高林村镇小辛安</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贾同振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冯俊山</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高林村镇翟庄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冯俊山</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陆永明</w:t>
            </w:r>
          </w:p>
        </w:tc>
        <w:tc>
          <w:tcPr>
            <w:tcW w:w="888" w:type="dxa"/>
            <w:vAlign w:val="center"/>
          </w:tcPr>
          <w:p>
            <w:pPr>
              <w:widowControl/>
              <w:jc w:val="center"/>
              <w:textAlignment w:val="center"/>
              <w:rPr>
                <w:rFonts w:eastAsia="黑体"/>
                <w:szCs w:val="21"/>
              </w:rPr>
            </w:pPr>
            <w:r>
              <w:rPr>
                <w:rFonts w:eastAsia="黑体"/>
                <w:color w:val="000000"/>
                <w:kern w:val="0"/>
                <w:szCs w:val="21"/>
                <w:lang w:bidi="ar"/>
              </w:rPr>
              <w:t>60000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180000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高林村镇站里</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陆永明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陆振德</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27000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100000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高林村镇站里</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陆振德</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河北涛涛家禽饲养有限公司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300000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900000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户木德山</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郭涛</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安长辉</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户木乡安庄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安长辉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荣昌养猪场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户木乡安庄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郭连德</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顺利养猪场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户木乡安庄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安进财</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孙宗茂</w:t>
            </w:r>
          </w:p>
        </w:tc>
        <w:tc>
          <w:tcPr>
            <w:tcW w:w="888" w:type="dxa"/>
            <w:vAlign w:val="center"/>
          </w:tcPr>
          <w:p>
            <w:pPr>
              <w:widowControl/>
              <w:jc w:val="center"/>
              <w:textAlignment w:val="center"/>
              <w:rPr>
                <w:rFonts w:eastAsia="黑体"/>
                <w:szCs w:val="21"/>
              </w:rPr>
            </w:pPr>
            <w:r>
              <w:rPr>
                <w:rFonts w:eastAsia="黑体"/>
                <w:color w:val="000000"/>
                <w:kern w:val="0"/>
                <w:szCs w:val="21"/>
                <w:lang w:bidi="ar"/>
              </w:rPr>
              <w:t>900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户木乡安庄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孙宗茂</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139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保定市徐水区冀聚源奶牛农民专业合作社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35</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户木乡崔家独树村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马文才</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徐水县丽华奶牛专业合作社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900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45</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户木乡孙村营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刘丽华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保定市徐水区天晨饲养场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2500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3800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户木乡屯庄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姚温</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保定徐水区天晨养殖场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25</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户木乡屯庄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姚温</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王赛养殖场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1300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户木乡屯庄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王赛</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雪峰养猪场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户木乡屯庄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张雪峰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保定韦氏农牧有限责任公司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350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留村镇荆塘铺村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韦彬</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西凡第一猪场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1950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瀑河乡西凡村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田红霞</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徐水县桂合奶牛专业合作社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20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瀑河乡向阳村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唐桂合</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保定市徐水区进田家庭农场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瀑河乡新农村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章立华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149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建强猪场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340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800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瀑河乡新农村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陈明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新农养殖场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瀑河乡新农村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解小东</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兴华养殖场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遂城镇大赤鲁</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魏东东</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152</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保定市徐水区古镇良种猪场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遂城镇大庞村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赵建成</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153</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徐水县龙源奶牛专业合作社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遂城镇大庞村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赵岩</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154</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保定市徐水区军英养殖场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遂城镇巩固庄村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李军英</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155</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姜建申猪场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530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770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遂城镇曲城</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姜建申</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156</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洪义养殖场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8000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遂城镇谢坊营</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张洪义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157</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刘金峰鸡场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6500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正村镇杨家庄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刘金峰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158</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保定市徐水区保刚奶牛农民专业合作社</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70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正村镇杨家庄村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李保刚</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159</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高艳国养猪场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350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正村镇杨庄</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高艳国</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160</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保市徐水区顺发养殖场</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正村镇于坊村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张洪顺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pPr>
              <w:widowControl/>
              <w:jc w:val="center"/>
              <w:textAlignment w:val="center"/>
              <w:rPr>
                <w:rFonts w:eastAsia="黑体"/>
                <w:szCs w:val="21"/>
              </w:rPr>
            </w:pPr>
            <w:r>
              <w:rPr>
                <w:color w:val="000000"/>
                <w:kern w:val="0"/>
                <w:szCs w:val="21"/>
                <w:lang w:bidi="ar"/>
              </w:rPr>
              <w:t>161</w:t>
            </w:r>
          </w:p>
        </w:tc>
        <w:tc>
          <w:tcPr>
            <w:tcW w:w="2712" w:type="dxa"/>
            <w:vAlign w:val="center"/>
          </w:tcPr>
          <w:p>
            <w:pPr>
              <w:widowControl/>
              <w:jc w:val="center"/>
              <w:textAlignment w:val="center"/>
              <w:rPr>
                <w:rFonts w:eastAsia="黑体"/>
                <w:szCs w:val="21"/>
              </w:rPr>
            </w:pPr>
            <w:r>
              <w:rPr>
                <w:rFonts w:eastAsia="黑体"/>
                <w:color w:val="000000"/>
                <w:kern w:val="0"/>
                <w:szCs w:val="21"/>
                <w:lang w:bidi="ar"/>
              </w:rPr>
              <w:t>徐水县宏盛养殖有限公司</w:t>
            </w:r>
          </w:p>
        </w:tc>
        <w:tc>
          <w:tcPr>
            <w:tcW w:w="888" w:type="dxa"/>
            <w:vAlign w:val="center"/>
          </w:tcPr>
          <w:p>
            <w:pPr>
              <w:widowControl/>
              <w:jc w:val="center"/>
              <w:textAlignment w:val="center"/>
              <w:rPr>
                <w:rFonts w:eastAsia="黑体"/>
                <w:szCs w:val="21"/>
              </w:rPr>
            </w:pPr>
            <w:r>
              <w:rPr>
                <w:rFonts w:eastAsia="黑体"/>
                <w:color w:val="000000"/>
                <w:kern w:val="0"/>
                <w:szCs w:val="21"/>
                <w:lang w:bidi="ar"/>
              </w:rPr>
              <w:t>1400</w:t>
            </w:r>
          </w:p>
        </w:tc>
        <w:tc>
          <w:tcPr>
            <w:tcW w:w="900" w:type="dxa"/>
            <w:vAlign w:val="center"/>
          </w:tcPr>
          <w:p>
            <w:pPr>
              <w:widowControl/>
              <w:jc w:val="center"/>
              <w:textAlignment w:val="center"/>
              <w:rPr>
                <w:rFonts w:eastAsia="黑体"/>
                <w:szCs w:val="21"/>
              </w:rPr>
            </w:pPr>
            <w:r>
              <w:rPr>
                <w:rFonts w:eastAsia="黑体"/>
                <w:color w:val="000000"/>
                <w:kern w:val="0"/>
                <w:szCs w:val="21"/>
                <w:lang w:bidi="ar"/>
              </w:rPr>
              <w:t>1950</w:t>
            </w:r>
          </w:p>
        </w:tc>
        <w:tc>
          <w:tcPr>
            <w:tcW w:w="1807" w:type="dxa"/>
            <w:vAlign w:val="center"/>
          </w:tcPr>
          <w:p>
            <w:pPr>
              <w:widowControl/>
              <w:jc w:val="center"/>
              <w:textAlignment w:val="center"/>
              <w:rPr>
                <w:rFonts w:eastAsia="黑体"/>
                <w:szCs w:val="21"/>
              </w:rPr>
            </w:pPr>
            <w:r>
              <w:rPr>
                <w:rFonts w:eastAsia="黑体"/>
                <w:color w:val="000000"/>
                <w:kern w:val="0"/>
                <w:szCs w:val="21"/>
                <w:lang w:bidi="ar"/>
              </w:rPr>
              <w:t>正村镇于坊村</w:t>
            </w:r>
          </w:p>
        </w:tc>
        <w:tc>
          <w:tcPr>
            <w:tcW w:w="1114" w:type="dxa"/>
            <w:vAlign w:val="center"/>
          </w:tcPr>
          <w:p>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pPr>
              <w:widowControl/>
              <w:jc w:val="center"/>
              <w:textAlignment w:val="bottom"/>
              <w:rPr>
                <w:rFonts w:eastAsia="黑体"/>
                <w:szCs w:val="21"/>
              </w:rPr>
            </w:pPr>
            <w:r>
              <w:rPr>
                <w:rFonts w:eastAsia="黑体"/>
                <w:color w:val="000000"/>
                <w:kern w:val="0"/>
                <w:szCs w:val="21"/>
                <w:lang w:bidi="ar"/>
              </w:rPr>
              <w:t>徐章伍</w:t>
            </w:r>
          </w:p>
        </w:tc>
      </w:tr>
    </w:tbl>
    <w:p>
      <w:pPr>
        <w:pStyle w:val="2"/>
        <w:spacing w:line="360" w:lineRule="auto"/>
        <w:ind w:firstLine="0"/>
        <w:jc w:val="center"/>
        <w:rPr>
          <w:rFonts w:ascii="Times New Roman" w:hAnsi="Times New Roman" w:eastAsia="黑体"/>
          <w:b/>
          <w:bCs/>
          <w:sz w:val="21"/>
          <w:lang w:val="en-US"/>
        </w:rPr>
        <w:sectPr>
          <w:pgSz w:w="11906" w:h="16838"/>
          <w:pgMar w:top="1701" w:right="1417" w:bottom="1417" w:left="1701" w:header="851" w:footer="283" w:gutter="0"/>
          <w:cols w:space="720" w:num="1"/>
          <w:docGrid w:type="lines" w:linePitch="312" w:charSpace="0"/>
        </w:sectPr>
      </w:pPr>
    </w:p>
    <w:p>
      <w:pPr>
        <w:pStyle w:val="2"/>
        <w:spacing w:line="360" w:lineRule="auto"/>
        <w:ind w:firstLine="0"/>
        <w:jc w:val="center"/>
        <w:rPr>
          <w:rFonts w:ascii="Times New Roman" w:hAnsi="Times New Roman" w:eastAsia="黑体"/>
          <w:b/>
          <w:bCs/>
          <w:sz w:val="21"/>
          <w:lang w:val="en-US"/>
        </w:rPr>
      </w:pPr>
      <w:r>
        <w:rPr>
          <w:rFonts w:ascii="Times New Roman" w:hAnsi="Times New Roman" w:eastAsia="黑体"/>
          <w:b/>
          <w:bCs/>
          <w:sz w:val="21"/>
          <w:lang w:val="en-US"/>
        </w:rPr>
        <w:t>附表2：规模化养殖场粪污处理方式、病死畜禽处理方式及投资金额一览表</w:t>
      </w:r>
    </w:p>
    <w:tbl>
      <w:tblPr>
        <w:tblStyle w:val="24"/>
        <w:tblW w:w="13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357"/>
        <w:gridCol w:w="2543"/>
        <w:gridCol w:w="4782"/>
        <w:gridCol w:w="1088"/>
        <w:gridCol w:w="1060"/>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b/>
                <w:bCs/>
                <w:sz w:val="20"/>
                <w:szCs w:val="20"/>
                <w:lang w:val="en-US"/>
              </w:rPr>
            </w:pPr>
            <w:r>
              <w:rPr>
                <w:rFonts w:ascii="Times New Roman" w:hAnsi="Times New Roman" w:eastAsia="黑体"/>
                <w:b/>
                <w:bCs/>
                <w:sz w:val="20"/>
                <w:szCs w:val="20"/>
                <w:lang w:val="en-US"/>
              </w:rPr>
              <w:t>序号</w:t>
            </w:r>
          </w:p>
        </w:tc>
        <w:tc>
          <w:tcPr>
            <w:tcW w:w="2357" w:type="dxa"/>
            <w:vAlign w:val="center"/>
          </w:tcPr>
          <w:p>
            <w:pPr>
              <w:widowControl/>
              <w:jc w:val="center"/>
              <w:textAlignment w:val="center"/>
              <w:rPr>
                <w:rFonts w:eastAsia="黑体"/>
                <w:b/>
                <w:bCs/>
                <w:sz w:val="20"/>
                <w:szCs w:val="20"/>
              </w:rPr>
            </w:pPr>
            <w:r>
              <w:rPr>
                <w:rFonts w:eastAsia="黑体"/>
                <w:b/>
                <w:bCs/>
                <w:color w:val="000000"/>
                <w:kern w:val="0"/>
                <w:sz w:val="20"/>
                <w:szCs w:val="20"/>
                <w:lang w:bidi="ar"/>
              </w:rPr>
              <w:t>养殖场户名称</w:t>
            </w:r>
          </w:p>
        </w:tc>
        <w:tc>
          <w:tcPr>
            <w:tcW w:w="2543" w:type="dxa"/>
            <w:vAlign w:val="center"/>
          </w:tcPr>
          <w:p>
            <w:pPr>
              <w:widowControl/>
              <w:jc w:val="center"/>
              <w:textAlignment w:val="center"/>
              <w:rPr>
                <w:rFonts w:eastAsia="黑体"/>
                <w:b/>
                <w:bCs/>
                <w:sz w:val="20"/>
                <w:szCs w:val="20"/>
              </w:rPr>
            </w:pPr>
            <w:r>
              <w:rPr>
                <w:rFonts w:eastAsia="黑体"/>
                <w:b/>
                <w:bCs/>
                <w:color w:val="000000"/>
                <w:kern w:val="0"/>
                <w:sz w:val="20"/>
                <w:szCs w:val="20"/>
                <w:lang w:bidi="ar"/>
              </w:rPr>
              <w:t>粪污处理方式</w:t>
            </w:r>
          </w:p>
        </w:tc>
        <w:tc>
          <w:tcPr>
            <w:tcW w:w="4782" w:type="dxa"/>
            <w:vAlign w:val="center"/>
          </w:tcPr>
          <w:p>
            <w:pPr>
              <w:widowControl/>
              <w:jc w:val="center"/>
              <w:textAlignment w:val="center"/>
              <w:rPr>
                <w:rFonts w:eastAsia="黑体"/>
                <w:b/>
                <w:bCs/>
                <w:color w:val="000000"/>
                <w:kern w:val="0"/>
                <w:sz w:val="20"/>
                <w:szCs w:val="20"/>
                <w:lang w:bidi="ar"/>
              </w:rPr>
            </w:pPr>
            <w:r>
              <w:rPr>
                <w:rFonts w:eastAsia="黑体"/>
                <w:b/>
                <w:bCs/>
                <w:color w:val="000000"/>
                <w:kern w:val="0"/>
                <w:sz w:val="20"/>
                <w:szCs w:val="20"/>
                <w:lang w:bidi="ar"/>
              </w:rPr>
              <w:t>粪污处理设施名称、</w:t>
            </w:r>
          </w:p>
          <w:p>
            <w:pPr>
              <w:widowControl/>
              <w:jc w:val="center"/>
              <w:textAlignment w:val="center"/>
              <w:rPr>
                <w:rFonts w:eastAsia="黑体"/>
                <w:b/>
                <w:bCs/>
                <w:sz w:val="20"/>
                <w:szCs w:val="20"/>
              </w:rPr>
            </w:pPr>
            <w:r>
              <w:rPr>
                <w:rFonts w:eastAsia="黑体"/>
                <w:b/>
                <w:bCs/>
                <w:color w:val="000000"/>
                <w:kern w:val="0"/>
                <w:sz w:val="20"/>
                <w:szCs w:val="20"/>
                <w:lang w:bidi="ar"/>
              </w:rPr>
              <w:t>数量及建设时间</w:t>
            </w:r>
          </w:p>
        </w:tc>
        <w:tc>
          <w:tcPr>
            <w:tcW w:w="1088" w:type="dxa"/>
            <w:vAlign w:val="center"/>
          </w:tcPr>
          <w:p>
            <w:pPr>
              <w:widowControl/>
              <w:jc w:val="center"/>
              <w:textAlignment w:val="center"/>
              <w:rPr>
                <w:rFonts w:eastAsia="黑体"/>
                <w:b/>
                <w:bCs/>
                <w:color w:val="000000"/>
                <w:kern w:val="0"/>
                <w:sz w:val="20"/>
                <w:szCs w:val="20"/>
                <w:lang w:bidi="ar"/>
              </w:rPr>
            </w:pPr>
            <w:r>
              <w:rPr>
                <w:rFonts w:eastAsia="黑体"/>
                <w:b/>
                <w:bCs/>
                <w:color w:val="000000"/>
                <w:kern w:val="0"/>
                <w:sz w:val="20"/>
                <w:szCs w:val="20"/>
                <w:lang w:bidi="ar"/>
              </w:rPr>
              <w:t>投资</w:t>
            </w:r>
          </w:p>
          <w:p>
            <w:pPr>
              <w:widowControl/>
              <w:jc w:val="center"/>
              <w:textAlignment w:val="center"/>
              <w:rPr>
                <w:rFonts w:eastAsia="黑体"/>
                <w:b/>
                <w:bCs/>
                <w:sz w:val="20"/>
                <w:szCs w:val="20"/>
              </w:rPr>
            </w:pPr>
            <w:r>
              <w:rPr>
                <w:rFonts w:eastAsia="黑体"/>
                <w:b/>
                <w:bCs/>
                <w:color w:val="000000"/>
                <w:kern w:val="0"/>
                <w:sz w:val="20"/>
                <w:szCs w:val="20"/>
                <w:lang w:bidi="ar"/>
              </w:rPr>
              <w:t>总金额</w:t>
            </w:r>
          </w:p>
        </w:tc>
        <w:tc>
          <w:tcPr>
            <w:tcW w:w="1060" w:type="dxa"/>
            <w:vAlign w:val="center"/>
          </w:tcPr>
          <w:p>
            <w:pPr>
              <w:widowControl/>
              <w:jc w:val="center"/>
              <w:textAlignment w:val="center"/>
              <w:rPr>
                <w:rFonts w:eastAsia="黑体"/>
                <w:b/>
                <w:bCs/>
                <w:sz w:val="20"/>
                <w:szCs w:val="20"/>
              </w:rPr>
            </w:pPr>
            <w:r>
              <w:rPr>
                <w:rFonts w:eastAsia="黑体"/>
                <w:b/>
                <w:bCs/>
                <w:color w:val="000000"/>
                <w:kern w:val="0"/>
                <w:sz w:val="20"/>
                <w:szCs w:val="20"/>
                <w:lang w:bidi="ar"/>
              </w:rPr>
              <w:t>政府补助金额</w:t>
            </w:r>
          </w:p>
        </w:tc>
        <w:tc>
          <w:tcPr>
            <w:tcW w:w="1060" w:type="dxa"/>
            <w:vAlign w:val="center"/>
          </w:tcPr>
          <w:p>
            <w:pPr>
              <w:widowControl/>
              <w:jc w:val="center"/>
              <w:textAlignment w:val="center"/>
              <w:rPr>
                <w:rFonts w:eastAsia="黑体"/>
                <w:b/>
                <w:bCs/>
                <w:color w:val="000000"/>
                <w:kern w:val="0"/>
                <w:sz w:val="20"/>
                <w:szCs w:val="20"/>
                <w:lang w:bidi="ar"/>
              </w:rPr>
            </w:pPr>
            <w:r>
              <w:rPr>
                <w:rFonts w:eastAsia="黑体"/>
                <w:b/>
                <w:bCs/>
                <w:color w:val="000000"/>
                <w:kern w:val="0"/>
                <w:sz w:val="20"/>
                <w:szCs w:val="20"/>
                <w:lang w:bidi="ar"/>
              </w:rPr>
              <w:t>病死畜禽处理方式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振山养殖场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吉吉养殖场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徐水县田增元养殖场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徐水县泽辰生猪专业合作社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保定市徐水区继明养殖有限公司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粪便贮存设施1个，1996年9月</w:t>
            </w:r>
          </w:p>
          <w:p>
            <w:pPr>
              <w:widowControl/>
              <w:jc w:val="center"/>
              <w:textAlignment w:val="center"/>
              <w:rPr>
                <w:rFonts w:eastAsia="黑体"/>
                <w:sz w:val="20"/>
                <w:szCs w:val="20"/>
              </w:rPr>
            </w:pPr>
            <w:r>
              <w:rPr>
                <w:rFonts w:eastAsia="黑体"/>
                <w:color w:val="000000"/>
                <w:kern w:val="0"/>
                <w:sz w:val="20"/>
                <w:szCs w:val="20"/>
                <w:lang w:bidi="ar"/>
              </w:rPr>
              <w:t>污水贮存设施1个，1996年9月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21.5万元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家旺养殖场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刘银峰养殖场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王海辉养殖场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粪便贮存设施1个，2017年8月</w:t>
            </w:r>
          </w:p>
          <w:p>
            <w:pPr>
              <w:widowControl/>
              <w:jc w:val="center"/>
              <w:textAlignment w:val="center"/>
              <w:rPr>
                <w:rFonts w:eastAsia="黑体"/>
                <w:sz w:val="20"/>
                <w:szCs w:val="20"/>
              </w:rPr>
            </w:pPr>
            <w:r>
              <w:rPr>
                <w:rFonts w:eastAsia="黑体"/>
                <w:color w:val="000000"/>
                <w:kern w:val="0"/>
                <w:sz w:val="20"/>
                <w:szCs w:val="20"/>
                <w:lang w:bidi="ar"/>
              </w:rPr>
              <w:t>污水贮存设施1个，2017年8月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1.9万元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王景如养殖场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宝忠养殖场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粪便贮存设施1个，2017年11月</w:t>
            </w:r>
          </w:p>
          <w:p>
            <w:pPr>
              <w:widowControl/>
              <w:jc w:val="center"/>
              <w:textAlignment w:val="center"/>
              <w:rPr>
                <w:rFonts w:eastAsia="黑体"/>
                <w:sz w:val="20"/>
                <w:szCs w:val="20"/>
              </w:rPr>
            </w:pPr>
            <w:r>
              <w:rPr>
                <w:rFonts w:eastAsia="黑体"/>
                <w:color w:val="000000"/>
                <w:kern w:val="0"/>
                <w:sz w:val="20"/>
                <w:szCs w:val="20"/>
                <w:lang w:bidi="ar"/>
              </w:rPr>
              <w:t>污水贮存设施1个，2017年11月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3.7万元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王顺刚</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王薪宇养殖场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吴建设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粪便贮存设施1个，2017年11月</w:t>
            </w:r>
          </w:p>
          <w:p>
            <w:pPr>
              <w:widowControl/>
              <w:jc w:val="center"/>
              <w:textAlignment w:val="center"/>
              <w:rPr>
                <w:rFonts w:eastAsia="黑体"/>
                <w:sz w:val="20"/>
                <w:szCs w:val="20"/>
              </w:rPr>
            </w:pPr>
            <w:r>
              <w:rPr>
                <w:rFonts w:eastAsia="黑体"/>
                <w:color w:val="000000"/>
                <w:kern w:val="0"/>
                <w:sz w:val="20"/>
                <w:szCs w:val="20"/>
                <w:lang w:bidi="ar"/>
              </w:rPr>
              <w:t>污水贮存设施1个，2017年11月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徐水区顺良养殖场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粪便贮存设施1个，2017年12月</w:t>
            </w:r>
          </w:p>
          <w:p>
            <w:pPr>
              <w:widowControl/>
              <w:jc w:val="center"/>
              <w:textAlignment w:val="center"/>
              <w:rPr>
                <w:rFonts w:eastAsia="黑体"/>
                <w:sz w:val="20"/>
                <w:szCs w:val="20"/>
              </w:rPr>
            </w:pPr>
            <w:r>
              <w:rPr>
                <w:rFonts w:eastAsia="黑体"/>
                <w:color w:val="000000"/>
                <w:kern w:val="0"/>
                <w:sz w:val="20"/>
                <w:szCs w:val="20"/>
                <w:lang w:bidi="ar"/>
              </w:rPr>
              <w:t>污水贮存设施1个，2017年12月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12.5万元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徐水区昱润家庭养殖场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外售</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粪发酵池1个，2017年7月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0.8万元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李东养殖场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周连生</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浩胜旺达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粪便贮存设施1个，2017年11月</w:t>
            </w:r>
          </w:p>
          <w:p>
            <w:pPr>
              <w:widowControl/>
              <w:jc w:val="center"/>
              <w:textAlignment w:val="center"/>
              <w:rPr>
                <w:rFonts w:eastAsia="黑体"/>
                <w:sz w:val="20"/>
                <w:szCs w:val="20"/>
              </w:rPr>
            </w:pPr>
            <w:r>
              <w:rPr>
                <w:rFonts w:eastAsia="黑体"/>
                <w:color w:val="000000"/>
                <w:kern w:val="0"/>
                <w:sz w:val="20"/>
                <w:szCs w:val="20"/>
                <w:lang w:bidi="ar"/>
              </w:rPr>
              <w:t>污水贮存设施1个，2017年11月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华杨饲养场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污水贮存设施1个，2017年10月</w:t>
            </w:r>
          </w:p>
          <w:p>
            <w:pPr>
              <w:widowControl/>
              <w:jc w:val="center"/>
              <w:textAlignment w:val="center"/>
              <w:rPr>
                <w:rFonts w:eastAsia="黑体"/>
                <w:sz w:val="20"/>
                <w:szCs w:val="20"/>
              </w:rPr>
            </w:pPr>
            <w:r>
              <w:rPr>
                <w:rFonts w:eastAsia="黑体"/>
                <w:color w:val="000000"/>
                <w:kern w:val="0"/>
                <w:sz w:val="20"/>
                <w:szCs w:val="20"/>
                <w:lang w:bidi="ar"/>
              </w:rPr>
              <w:t>沼气池1个，2013年10月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32万元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佳鑫养殖场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粪便贮存设施1个，2017年12月</w:t>
            </w:r>
          </w:p>
          <w:p>
            <w:pPr>
              <w:widowControl/>
              <w:jc w:val="center"/>
              <w:textAlignment w:val="center"/>
              <w:rPr>
                <w:rFonts w:eastAsia="黑体"/>
                <w:sz w:val="20"/>
                <w:szCs w:val="20"/>
              </w:rPr>
            </w:pPr>
            <w:r>
              <w:rPr>
                <w:rFonts w:eastAsia="黑体"/>
                <w:color w:val="000000"/>
                <w:kern w:val="0"/>
                <w:sz w:val="20"/>
                <w:szCs w:val="20"/>
                <w:lang w:bidi="ar"/>
              </w:rPr>
              <w:t>污水贮存设施1个，2017年12月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瑞兴养殖场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李俊英养殖场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2.15万元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瑞海养殖场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徐水县章雨养殖场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徐水县中义养殖场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保定诚民养殖有限公司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能源化利用/沼气池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沼气罐1个，2013年8月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500万元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河北天正养殖有限公司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粪便贮存设施1个，2003年2月</w:t>
            </w:r>
          </w:p>
          <w:p>
            <w:pPr>
              <w:widowControl/>
              <w:jc w:val="center"/>
              <w:textAlignment w:val="center"/>
              <w:rPr>
                <w:rFonts w:eastAsia="黑体"/>
                <w:sz w:val="20"/>
                <w:szCs w:val="20"/>
              </w:rPr>
            </w:pPr>
            <w:r>
              <w:rPr>
                <w:rFonts w:eastAsia="黑体"/>
                <w:color w:val="000000"/>
                <w:kern w:val="0"/>
                <w:sz w:val="20"/>
                <w:szCs w:val="20"/>
                <w:lang w:bidi="ar"/>
              </w:rPr>
              <w:t xml:space="preserve">污水贮存设施 1个， 2018年11月    </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30万元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保定市徐水区康丰养猪场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永利猪场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pPr>
              <w:widowControl/>
              <w:jc w:val="center"/>
              <w:textAlignment w:val="center"/>
              <w:rPr>
                <w:rFonts w:eastAsia="黑体"/>
                <w:sz w:val="20"/>
                <w:szCs w:val="20"/>
              </w:rPr>
            </w:pPr>
            <w:r>
              <w:rPr>
                <w:rFonts w:eastAsia="黑体"/>
                <w:color w:val="000000"/>
                <w:kern w:val="0"/>
                <w:sz w:val="20"/>
                <w:szCs w:val="20"/>
                <w:lang w:bidi="ar"/>
              </w:rPr>
              <w:t>污水贮存设施1个，2015年8月</w:t>
            </w:r>
          </w:p>
        </w:tc>
        <w:tc>
          <w:tcPr>
            <w:tcW w:w="1088" w:type="dxa"/>
            <w:vAlign w:val="center"/>
          </w:tcPr>
          <w:p>
            <w:pPr>
              <w:widowControl/>
              <w:jc w:val="center"/>
              <w:textAlignment w:val="center"/>
              <w:rPr>
                <w:rFonts w:eastAsia="黑体"/>
                <w:sz w:val="20"/>
                <w:szCs w:val="20"/>
              </w:rPr>
            </w:pPr>
            <w:r>
              <w:rPr>
                <w:rStyle w:val="66"/>
                <w:rFonts w:hint="default" w:ascii="Times New Roman" w:hAnsi="Times New Roman" w:cs="Times New Roman"/>
                <w:sz w:val="20"/>
                <w:szCs w:val="20"/>
                <w:lang w:bidi="ar"/>
              </w:rPr>
              <w:t>1.5</w:t>
            </w:r>
            <w:r>
              <w:rPr>
                <w:rFonts w:eastAsia="黑体"/>
                <w:color w:val="000000"/>
                <w:kern w:val="0"/>
                <w:sz w:val="20"/>
                <w:szCs w:val="20"/>
                <w:lang w:bidi="ar"/>
              </w:rPr>
              <w:t>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王登平牛场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粪污发酵池1个，2018年10月</w:t>
            </w:r>
          </w:p>
          <w:p>
            <w:pPr>
              <w:widowControl/>
              <w:jc w:val="center"/>
              <w:textAlignment w:val="center"/>
              <w:rPr>
                <w:rFonts w:eastAsia="黑体"/>
                <w:sz w:val="20"/>
                <w:szCs w:val="20"/>
              </w:rPr>
            </w:pPr>
            <w:r>
              <w:rPr>
                <w:rFonts w:eastAsia="黑体"/>
                <w:color w:val="000000"/>
                <w:kern w:val="0"/>
                <w:sz w:val="20"/>
                <w:szCs w:val="20"/>
                <w:lang w:bidi="ar"/>
              </w:rPr>
              <w:t>污水、尿水沉淀池1个，2018年10月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徐水县泓森奶牛养殖有限公司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堆肥发酵/外售</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粪污发酵池1个，2018年10月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郭宝来猪场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徐水县双亚奶牛养殖场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粪污发酵池1个，2018年10月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25万元</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保定圣美奶牛专业合作业</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生产垫料/沉淀池/外运集中处理</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卧式智能发酵罐1个，2020年12月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污水处理设备1个，2020年12月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超干固液分离机5个，2020年12月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精率固液分离机1个，2020年12月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50铲车1个，2020年12月</w:t>
            </w:r>
          </w:p>
          <w:p>
            <w:pPr>
              <w:widowControl/>
              <w:jc w:val="center"/>
              <w:textAlignment w:val="center"/>
              <w:rPr>
                <w:rFonts w:eastAsia="黑体"/>
                <w:sz w:val="20"/>
                <w:szCs w:val="20"/>
              </w:rPr>
            </w:pPr>
            <w:r>
              <w:rPr>
                <w:rFonts w:eastAsia="黑体"/>
                <w:color w:val="000000"/>
                <w:kern w:val="0"/>
                <w:sz w:val="20"/>
                <w:szCs w:val="20"/>
                <w:lang w:bidi="ar"/>
              </w:rPr>
              <w:t>30铲车1个，2020年12月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441.1万元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217.04万元</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保定洲赛奶牛养殖有限责任公司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堆肥发酵/生产垫料/沉淀池/氧化塘</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智能发酵罐1个，2021年5月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污水处理设备1个，2021年5月</w:t>
            </w:r>
          </w:p>
          <w:p>
            <w:pPr>
              <w:widowControl/>
              <w:jc w:val="center"/>
              <w:textAlignment w:val="center"/>
              <w:rPr>
                <w:rFonts w:eastAsia="黑体"/>
                <w:sz w:val="20"/>
                <w:szCs w:val="20"/>
              </w:rPr>
            </w:pPr>
            <w:r>
              <w:rPr>
                <w:rFonts w:eastAsia="黑体"/>
                <w:color w:val="000000"/>
                <w:kern w:val="0"/>
                <w:sz w:val="20"/>
                <w:szCs w:val="20"/>
                <w:lang w:bidi="ar"/>
              </w:rPr>
              <w:t>固液分离机5个，2021年5月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350万元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170万元</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李元猪场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刘焕猪场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秦宝利猪场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于连军猪场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苑宝忠猪场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苑丽清猪场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徐水县利农奶牛专业合作社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堆肥发酵/生产垫料/沼气池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智能发酵罐1个，2021年5月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污水处理设备1个，2021年5月</w:t>
            </w:r>
          </w:p>
          <w:p>
            <w:pPr>
              <w:widowControl/>
              <w:jc w:val="center"/>
              <w:textAlignment w:val="center"/>
              <w:rPr>
                <w:rFonts w:eastAsia="黑体"/>
                <w:sz w:val="20"/>
                <w:szCs w:val="20"/>
              </w:rPr>
            </w:pPr>
            <w:r>
              <w:rPr>
                <w:rFonts w:eastAsia="黑体"/>
                <w:color w:val="000000"/>
                <w:kern w:val="0"/>
                <w:sz w:val="20"/>
                <w:szCs w:val="20"/>
                <w:lang w:bidi="ar"/>
              </w:rPr>
              <w:t>固液分离机1个，2021年5月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400万元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200万元</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保定玉洁农牧有限公司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堆肥发酵/生产有机肥/生产垫料/沉淀池/氧化塘/外售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干湿分离机6个，2019年3月</w:t>
            </w:r>
          </w:p>
          <w:p>
            <w:pPr>
              <w:widowControl/>
              <w:jc w:val="center"/>
              <w:textAlignment w:val="center"/>
              <w:rPr>
                <w:rFonts w:eastAsia="黑体"/>
                <w:sz w:val="20"/>
                <w:szCs w:val="20"/>
              </w:rPr>
            </w:pPr>
            <w:r>
              <w:rPr>
                <w:rFonts w:eastAsia="黑体"/>
                <w:color w:val="000000"/>
                <w:kern w:val="0"/>
                <w:sz w:val="20"/>
                <w:szCs w:val="20"/>
                <w:lang w:bidi="ar"/>
              </w:rPr>
              <w:t>发酵罐1个，2019年3月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484万元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242万元</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汤山河鸡场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pPr>
            <w:r>
              <w:rPr>
                <w:rFonts w:eastAsia="黑体"/>
                <w:color w:val="000000"/>
                <w:kern w:val="0"/>
                <w:sz w:val="20"/>
                <w:szCs w:val="20"/>
                <w:lang w:bidi="ar"/>
              </w:rPr>
              <w:t>储粪池1个，2017年6月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田磊鸡场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储粪池1个，2017年6月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田振忠鸡场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储粪池1个，2017年6月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朱大林猪场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保定市海通奶牛养殖场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干湿分离</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干湿分离机1个，2017年8月</w:t>
            </w:r>
          </w:p>
          <w:p>
            <w:pPr>
              <w:widowControl/>
              <w:jc w:val="center"/>
              <w:textAlignment w:val="center"/>
              <w:rPr>
                <w:rFonts w:eastAsia="黑体"/>
                <w:sz w:val="20"/>
                <w:szCs w:val="20"/>
              </w:rPr>
            </w:pPr>
            <w:r>
              <w:rPr>
                <w:rFonts w:eastAsia="黑体"/>
                <w:color w:val="000000"/>
                <w:kern w:val="0"/>
                <w:sz w:val="20"/>
                <w:szCs w:val="20"/>
                <w:lang w:bidi="ar"/>
              </w:rPr>
              <w:t>污水处理设施1个，2020年8月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保定市安安生态农业发展有限公司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好氧发酵机1个，2020年9月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18万元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陈小磊猪场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贮尿池1个，2017年8月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赵宝义鸡场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储粪池1个，2017年8月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赵树新猪场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好氧发酵机1个，2020年9月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18万元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保定腾佳养殖有限公司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徐水县昕牧养猪合作社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安红建猪场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保定宏宣畜牧养殖场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储粪池1个，2017年9月</w:t>
            </w:r>
          </w:p>
          <w:p>
            <w:pPr>
              <w:widowControl/>
              <w:jc w:val="center"/>
              <w:textAlignment w:val="center"/>
              <w:rPr>
                <w:rFonts w:eastAsia="黑体"/>
                <w:sz w:val="20"/>
                <w:szCs w:val="20"/>
              </w:rPr>
            </w:pPr>
            <w:r>
              <w:rPr>
                <w:rFonts w:eastAsia="黑体"/>
                <w:color w:val="000000"/>
                <w:kern w:val="0"/>
                <w:sz w:val="20"/>
                <w:szCs w:val="20"/>
                <w:lang w:bidi="ar"/>
              </w:rPr>
              <w:t>贮尿池1个，2017年9月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20万元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李永伟猪场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储粪池1个，2018年6月</w:t>
            </w:r>
          </w:p>
          <w:p>
            <w:pPr>
              <w:widowControl/>
              <w:jc w:val="center"/>
              <w:textAlignment w:val="center"/>
              <w:rPr>
                <w:rFonts w:eastAsia="黑体"/>
                <w:sz w:val="20"/>
                <w:szCs w:val="20"/>
              </w:rPr>
            </w:pPr>
            <w:r>
              <w:rPr>
                <w:rFonts w:eastAsia="黑体"/>
                <w:color w:val="000000"/>
                <w:kern w:val="0"/>
                <w:sz w:val="20"/>
                <w:szCs w:val="20"/>
                <w:lang w:bidi="ar"/>
              </w:rPr>
              <w:t>贮尿池1个，2018年6月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7万元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烽运养殖场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闫小秃羊场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储粪池1个，2018年9月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赵宽成鸡场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储粪池1个，2018年6月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王赶良猪场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王雄光猪场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保定市徐水区禾鑫奶牛农民专业合作社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干湿分离/堆积发酵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干湿分离，2016年7月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27万元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保定孟扬养殖有限公司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干湿分离/堆积发酵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干湿分离机1个，2021年5月</w:t>
            </w:r>
          </w:p>
          <w:p>
            <w:pPr>
              <w:widowControl/>
              <w:jc w:val="center"/>
              <w:textAlignment w:val="center"/>
              <w:rPr>
                <w:rFonts w:eastAsia="黑体"/>
                <w:sz w:val="20"/>
                <w:szCs w:val="20"/>
              </w:rPr>
            </w:pPr>
            <w:r>
              <w:rPr>
                <w:rFonts w:eastAsia="黑体"/>
                <w:color w:val="000000"/>
                <w:kern w:val="0"/>
                <w:sz w:val="20"/>
                <w:szCs w:val="20"/>
                <w:lang w:bidi="ar"/>
              </w:rPr>
              <w:t>污水处理设施1个，2021年5月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199万元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99万元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徐水县华艺奶牛专业合作社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沉淀池/干湿分离机</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沉淀池2个，2015年6月</w:t>
            </w:r>
          </w:p>
          <w:p>
            <w:pPr>
              <w:widowControl/>
              <w:jc w:val="center"/>
              <w:textAlignment w:val="center"/>
            </w:pPr>
            <w:r>
              <w:rPr>
                <w:rFonts w:eastAsia="黑体"/>
                <w:color w:val="000000"/>
                <w:kern w:val="0"/>
                <w:sz w:val="20"/>
                <w:szCs w:val="20"/>
                <w:lang w:bidi="ar"/>
              </w:rPr>
              <w:t>干湿分离机1个，2015年6月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丰硕猪场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沉淀池2个，2012年9月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孟君猪场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沉淀池4个，2017年9月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坡子养猪场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沉淀池2个，2017年9月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民会猪场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沉淀池3个，2012年3月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保定市徐水区五兴奶牛农民专业合作社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生产垫料/沉淀池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生产垫料1个，2021年12月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沉淀池3个，2010年3月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干湿分离4个，210年3月</w:t>
            </w:r>
          </w:p>
          <w:p>
            <w:pPr>
              <w:widowControl/>
              <w:jc w:val="center"/>
              <w:textAlignment w:val="center"/>
              <w:rPr>
                <w:rFonts w:eastAsia="黑体"/>
                <w:sz w:val="20"/>
                <w:szCs w:val="20"/>
              </w:rPr>
            </w:pPr>
            <w:r>
              <w:rPr>
                <w:rFonts w:eastAsia="黑体"/>
                <w:color w:val="000000"/>
                <w:kern w:val="0"/>
                <w:sz w:val="20"/>
                <w:szCs w:val="20"/>
                <w:lang w:bidi="ar"/>
              </w:rPr>
              <w:t>发酵罐1个，2021年8月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300万元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100万元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民水猪场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pPr>
            <w:r>
              <w:rPr>
                <w:rFonts w:eastAsia="黑体"/>
                <w:color w:val="000000"/>
                <w:kern w:val="0"/>
                <w:sz w:val="20"/>
                <w:szCs w:val="20"/>
                <w:lang w:bidi="ar"/>
              </w:rPr>
              <w:t>沉淀池4个，2017年11月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崔广汉</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崔广学猪场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崔海迎</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徐水俊龙养殖有限公司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保定百丰养殖有限公司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沉淀池8个，2017年11月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9万元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韩保国</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粪便堆积发酵池1个，2018年6月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20万元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霍磊</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粪便堆积发酵池1个，2018年10月</w:t>
            </w:r>
          </w:p>
          <w:p>
            <w:pPr>
              <w:widowControl/>
              <w:jc w:val="center"/>
              <w:textAlignment w:val="center"/>
              <w:rPr>
                <w:rFonts w:eastAsia="黑体"/>
                <w:sz w:val="20"/>
                <w:szCs w:val="20"/>
              </w:rPr>
            </w:pPr>
            <w:r>
              <w:rPr>
                <w:rFonts w:eastAsia="黑体"/>
                <w:color w:val="000000"/>
                <w:kern w:val="0"/>
                <w:sz w:val="20"/>
                <w:szCs w:val="20"/>
                <w:lang w:bidi="ar"/>
              </w:rPr>
              <w:t>沉淀池3个，2018年10月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李卜</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沉淀池3个，2017年11月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李二峰</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粪便堆积发酵池1个，2017年12月</w:t>
            </w:r>
          </w:p>
          <w:p>
            <w:pPr>
              <w:widowControl/>
              <w:jc w:val="center"/>
              <w:textAlignment w:val="center"/>
              <w:rPr>
                <w:rFonts w:eastAsia="黑体"/>
                <w:sz w:val="20"/>
                <w:szCs w:val="20"/>
              </w:rPr>
            </w:pPr>
            <w:r>
              <w:rPr>
                <w:rFonts w:eastAsia="黑体"/>
                <w:color w:val="000000"/>
                <w:kern w:val="0"/>
                <w:sz w:val="20"/>
                <w:szCs w:val="20"/>
                <w:lang w:bidi="ar"/>
              </w:rPr>
              <w:t>沉淀池3个，2017年12月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李章壮</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沉淀池3个，2017年11月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魏宏亮</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沉淀池3个，2017年11月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魏军营</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沉淀池3个，2017年11月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7万元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徐水县建民养殖有限公司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粪便堆积发酵池1个，2018年5月</w:t>
            </w:r>
          </w:p>
          <w:p>
            <w:pPr>
              <w:widowControl/>
              <w:jc w:val="center"/>
              <w:textAlignment w:val="center"/>
              <w:rPr>
                <w:rFonts w:eastAsia="黑体"/>
                <w:sz w:val="20"/>
                <w:szCs w:val="20"/>
              </w:rPr>
            </w:pPr>
            <w:r>
              <w:rPr>
                <w:rFonts w:eastAsia="黑体"/>
                <w:color w:val="000000"/>
                <w:kern w:val="0"/>
                <w:sz w:val="20"/>
                <w:szCs w:val="20"/>
                <w:lang w:bidi="ar"/>
              </w:rPr>
              <w:t>沉淀池3个，2018年5月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徐水县绿安蒂养殖场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粪便堆积发酵池1个，2018年4月</w:t>
            </w:r>
          </w:p>
          <w:p>
            <w:pPr>
              <w:widowControl/>
              <w:jc w:val="center"/>
              <w:textAlignment w:val="center"/>
              <w:rPr>
                <w:rFonts w:eastAsia="黑体"/>
                <w:sz w:val="20"/>
                <w:szCs w:val="20"/>
              </w:rPr>
            </w:pPr>
            <w:r>
              <w:rPr>
                <w:rFonts w:eastAsia="黑体"/>
                <w:color w:val="000000"/>
                <w:kern w:val="0"/>
                <w:sz w:val="20"/>
                <w:szCs w:val="20"/>
                <w:lang w:bidi="ar"/>
              </w:rPr>
              <w:t>沉淀池3个，2018年4月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大午畜牧有限公司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生产有机肥/沼气池/沉淀池/外售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沼气池1个，2010年6月</w:t>
            </w:r>
          </w:p>
          <w:p>
            <w:pPr>
              <w:widowControl/>
              <w:jc w:val="center"/>
              <w:textAlignment w:val="center"/>
              <w:rPr>
                <w:rFonts w:eastAsia="黑体"/>
                <w:sz w:val="20"/>
                <w:szCs w:val="20"/>
              </w:rPr>
            </w:pPr>
            <w:r>
              <w:rPr>
                <w:rFonts w:eastAsia="黑体"/>
                <w:color w:val="000000"/>
                <w:kern w:val="0"/>
                <w:sz w:val="20"/>
                <w:szCs w:val="20"/>
                <w:lang w:bidi="ar"/>
              </w:rPr>
              <w:t>污水处理站1个，2018年7月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340万元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167万元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新兴养猪场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正旺养殖场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张金来</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粪便堆积发酵池1个，2018年6月</w:t>
            </w:r>
          </w:p>
          <w:p>
            <w:pPr>
              <w:widowControl/>
              <w:jc w:val="center"/>
              <w:textAlignment w:val="center"/>
              <w:rPr>
                <w:rFonts w:eastAsia="黑体"/>
                <w:sz w:val="20"/>
                <w:szCs w:val="20"/>
              </w:rPr>
            </w:pPr>
            <w:r>
              <w:rPr>
                <w:rFonts w:eastAsia="黑体"/>
                <w:color w:val="000000"/>
                <w:kern w:val="0"/>
                <w:sz w:val="20"/>
                <w:szCs w:val="20"/>
                <w:lang w:bidi="ar"/>
              </w:rPr>
              <w:t>沉淀池3个，2018年6月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保定康泽养殖有限公司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粪便堆积发酵池1个，2018年6月</w:t>
            </w:r>
          </w:p>
          <w:p>
            <w:pPr>
              <w:widowControl/>
              <w:jc w:val="center"/>
              <w:textAlignment w:val="center"/>
              <w:rPr>
                <w:rFonts w:eastAsia="黑体"/>
                <w:sz w:val="20"/>
                <w:szCs w:val="20"/>
              </w:rPr>
            </w:pPr>
            <w:r>
              <w:rPr>
                <w:rFonts w:eastAsia="黑体"/>
                <w:color w:val="000000"/>
                <w:kern w:val="0"/>
                <w:sz w:val="20"/>
                <w:szCs w:val="20"/>
                <w:lang w:bidi="ar"/>
              </w:rPr>
              <w:t>沉淀池3个，2018年6月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保定市三合奶牛农民专业合作社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生产垫料/沉淀池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干湿分离机2个，2021年9月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水处理系统1个，2021年9月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铲车2个，2021年9月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吸粪车1个，2021年9月</w:t>
            </w:r>
          </w:p>
          <w:p>
            <w:pPr>
              <w:widowControl/>
              <w:jc w:val="center"/>
              <w:textAlignment w:val="center"/>
              <w:rPr>
                <w:rFonts w:eastAsia="黑体"/>
                <w:sz w:val="20"/>
                <w:szCs w:val="20"/>
              </w:rPr>
            </w:pPr>
            <w:r>
              <w:rPr>
                <w:rFonts w:eastAsia="黑体"/>
                <w:color w:val="000000"/>
                <w:kern w:val="0"/>
                <w:sz w:val="20"/>
                <w:szCs w:val="20"/>
                <w:lang w:bidi="ar"/>
              </w:rPr>
              <w:t>发酵罐1个，2022年3月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230万元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115万元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金泽猪场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粪便堆积发酵池1个，2017年12月</w:t>
            </w:r>
          </w:p>
          <w:p>
            <w:pPr>
              <w:widowControl/>
              <w:jc w:val="center"/>
              <w:textAlignment w:val="center"/>
            </w:pPr>
            <w:r>
              <w:rPr>
                <w:rFonts w:eastAsia="黑体"/>
                <w:color w:val="000000"/>
                <w:kern w:val="0"/>
                <w:sz w:val="20"/>
                <w:szCs w:val="20"/>
                <w:lang w:bidi="ar"/>
              </w:rPr>
              <w:t>沉淀池3个，2017年12月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腾达养猪场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粪便堆积发酵池2个，2017年11月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保定千秋和谐奶牛专业合作社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堆肥发酵/生产垫料/沼气池/氧化塘</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沼气池1个，2018年6月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固液分离机3个，2018年6月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氧化塘2个，2019年7月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粪污烘干机1个，2021年9月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卧式发酵罐1个，2021年1月</w:t>
            </w:r>
          </w:p>
          <w:p>
            <w:pPr>
              <w:widowControl/>
              <w:jc w:val="center"/>
              <w:textAlignment w:val="center"/>
              <w:rPr>
                <w:rFonts w:eastAsia="黑体"/>
                <w:sz w:val="20"/>
                <w:szCs w:val="20"/>
              </w:rPr>
            </w:pPr>
            <w:r>
              <w:rPr>
                <w:rFonts w:eastAsia="黑体"/>
                <w:color w:val="000000"/>
                <w:kern w:val="0"/>
                <w:sz w:val="20"/>
                <w:szCs w:val="20"/>
                <w:lang w:bidi="ar"/>
              </w:rPr>
              <w:t>污水处理设施1个，2021年4月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230万元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110万元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刘保江</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沼气池2个，2009年8月</w:t>
            </w:r>
          </w:p>
          <w:p>
            <w:pPr>
              <w:widowControl/>
              <w:jc w:val="center"/>
              <w:textAlignment w:val="center"/>
            </w:pPr>
            <w:r>
              <w:rPr>
                <w:rFonts w:eastAsia="黑体"/>
                <w:color w:val="000000"/>
                <w:kern w:val="0"/>
                <w:sz w:val="20"/>
                <w:szCs w:val="20"/>
                <w:lang w:bidi="ar"/>
              </w:rPr>
              <w:t>沉淀池1个，2009年8月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保定市申友养殖有限公司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粪便堆积发酵池2个，2017年11月</w:t>
            </w:r>
          </w:p>
          <w:p>
            <w:pPr>
              <w:widowControl/>
              <w:jc w:val="center"/>
              <w:textAlignment w:val="center"/>
              <w:rPr>
                <w:rFonts w:eastAsia="黑体"/>
                <w:sz w:val="20"/>
                <w:szCs w:val="20"/>
              </w:rPr>
            </w:pPr>
            <w:r>
              <w:rPr>
                <w:rFonts w:eastAsia="黑体"/>
                <w:color w:val="000000"/>
                <w:kern w:val="0"/>
                <w:sz w:val="20"/>
                <w:szCs w:val="20"/>
                <w:lang w:bidi="ar"/>
              </w:rPr>
              <w:t>沉淀池2个，2017年11月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崔振岭</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粪便堆积发酵池2个，2017年11月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旺源猪场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于海峰</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新瑞德养殖场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青霞养猪场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沉淀池2个，2017年9月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王占军猪场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韩顺堂</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发酵池1个，2017年11月</w:t>
            </w:r>
          </w:p>
          <w:p>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刘德志猪场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崔连中</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李占峰</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0.7万元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李正</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张建柱</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0.8万元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张东阁</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李会明</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李会强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发酵池1个，2017年5月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李志坡</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王二茹猪场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1.6万元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郑宝玉猪场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刘学东</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徐水县宝磊奶牛专业合作社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生产垫料/沉淀池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沉淀池2个，2018年7月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绿康养殖场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张小江</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发酵池1个，2018年4月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祖志强猪场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发酵池1个，2017年9月</w:t>
            </w:r>
          </w:p>
          <w:p>
            <w:pPr>
              <w:widowControl/>
              <w:jc w:val="center"/>
              <w:textAlignment w:val="center"/>
              <w:rPr>
                <w:rFonts w:eastAsia="黑体"/>
                <w:sz w:val="20"/>
                <w:szCs w:val="20"/>
              </w:rPr>
            </w:pPr>
            <w:r>
              <w:rPr>
                <w:rFonts w:eastAsia="黑体"/>
                <w:color w:val="000000"/>
                <w:kern w:val="0"/>
                <w:sz w:val="20"/>
                <w:szCs w:val="20"/>
                <w:lang w:bidi="ar"/>
              </w:rPr>
              <w:t>沉淀池1个，2017年9月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柏继安养猪场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沉淀池1个，2017年8月</w:t>
            </w:r>
          </w:p>
          <w:p>
            <w:pPr>
              <w:widowControl/>
              <w:jc w:val="center"/>
              <w:textAlignment w:val="center"/>
              <w:rPr>
                <w:rFonts w:eastAsia="黑体"/>
                <w:sz w:val="20"/>
                <w:szCs w:val="20"/>
              </w:rPr>
            </w:pPr>
            <w:r>
              <w:rPr>
                <w:rFonts w:eastAsia="黑体"/>
                <w:color w:val="000000"/>
                <w:kern w:val="0"/>
                <w:sz w:val="20"/>
                <w:szCs w:val="20"/>
                <w:lang w:bidi="ar"/>
              </w:rPr>
              <w:t>发酵池2个，2017年8月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陈金贵</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4.6万元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顺元家庭农场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发酵池2个，2017年9月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保定兴芮农牧发展有限公司商品代蛋鸡场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生产有机肥/外运集中处理</w:t>
            </w:r>
          </w:p>
        </w:tc>
        <w:tc>
          <w:tcPr>
            <w:tcW w:w="4782" w:type="dxa"/>
            <w:vMerge w:val="restart"/>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立式发酵罐7个，2021年7月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铲车6个，2021年7月</w:t>
            </w:r>
          </w:p>
          <w:p>
            <w:pPr>
              <w:widowControl/>
              <w:jc w:val="center"/>
              <w:textAlignment w:val="center"/>
              <w:rPr>
                <w:rFonts w:eastAsia="黑体"/>
                <w:sz w:val="20"/>
                <w:szCs w:val="20"/>
              </w:rPr>
            </w:pPr>
            <w:r>
              <w:rPr>
                <w:rFonts w:eastAsia="黑体"/>
                <w:color w:val="000000"/>
                <w:kern w:val="0"/>
                <w:sz w:val="20"/>
                <w:szCs w:val="20"/>
                <w:lang w:bidi="ar"/>
              </w:rPr>
              <w:t>鸡粪运输车12个，2021年7月</w:t>
            </w:r>
          </w:p>
        </w:tc>
        <w:tc>
          <w:tcPr>
            <w:tcW w:w="1088" w:type="dxa"/>
            <w:vMerge w:val="restart"/>
            <w:vAlign w:val="center"/>
          </w:tcPr>
          <w:p>
            <w:pPr>
              <w:widowControl/>
              <w:jc w:val="center"/>
              <w:textAlignment w:val="center"/>
              <w:rPr>
                <w:rFonts w:eastAsia="黑体"/>
                <w:sz w:val="20"/>
                <w:szCs w:val="20"/>
              </w:rPr>
            </w:pPr>
            <w:r>
              <w:rPr>
                <w:rFonts w:eastAsia="黑体"/>
                <w:color w:val="000000"/>
                <w:kern w:val="0"/>
                <w:sz w:val="20"/>
                <w:szCs w:val="20"/>
                <w:lang w:bidi="ar"/>
              </w:rPr>
              <w:t>725.52万元</w:t>
            </w:r>
          </w:p>
        </w:tc>
        <w:tc>
          <w:tcPr>
            <w:tcW w:w="1060" w:type="dxa"/>
            <w:vMerge w:val="restart"/>
            <w:vAlign w:val="center"/>
          </w:tcPr>
          <w:p>
            <w:pPr>
              <w:widowControl/>
              <w:jc w:val="center"/>
              <w:textAlignment w:val="center"/>
              <w:rPr>
                <w:rFonts w:eastAsia="黑体"/>
                <w:sz w:val="20"/>
                <w:szCs w:val="20"/>
              </w:rPr>
            </w:pPr>
            <w:r>
              <w:rPr>
                <w:rFonts w:eastAsia="黑体"/>
                <w:color w:val="000000"/>
                <w:kern w:val="0"/>
                <w:sz w:val="20"/>
                <w:szCs w:val="20"/>
                <w:lang w:bidi="ar"/>
              </w:rPr>
              <w:t>362.76万元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保定兴芮农牧发展有限公司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好氧发酵/外售</w:t>
            </w:r>
          </w:p>
        </w:tc>
        <w:tc>
          <w:tcPr>
            <w:tcW w:w="4782" w:type="dxa"/>
            <w:vMerge w:val="continue"/>
            <w:vAlign w:val="center"/>
          </w:tcPr>
          <w:p>
            <w:pPr>
              <w:widowControl/>
              <w:jc w:val="center"/>
              <w:textAlignment w:val="center"/>
              <w:rPr>
                <w:rFonts w:eastAsia="黑体"/>
                <w:sz w:val="20"/>
                <w:szCs w:val="20"/>
              </w:rPr>
            </w:pPr>
          </w:p>
        </w:tc>
        <w:tc>
          <w:tcPr>
            <w:tcW w:w="1088" w:type="dxa"/>
            <w:vMerge w:val="continue"/>
            <w:vAlign w:val="center"/>
          </w:tcPr>
          <w:p>
            <w:pPr>
              <w:widowControl/>
              <w:jc w:val="center"/>
              <w:textAlignment w:val="center"/>
              <w:rPr>
                <w:rFonts w:eastAsia="黑体"/>
                <w:sz w:val="20"/>
                <w:szCs w:val="20"/>
              </w:rPr>
            </w:pPr>
          </w:p>
        </w:tc>
        <w:tc>
          <w:tcPr>
            <w:tcW w:w="1060" w:type="dxa"/>
            <w:vMerge w:val="continue"/>
            <w:vAlign w:val="center"/>
          </w:tcPr>
          <w:p>
            <w:pPr>
              <w:widowControl/>
              <w:jc w:val="center"/>
              <w:textAlignment w:val="center"/>
              <w:rPr>
                <w:rFonts w:eastAsia="黑体"/>
                <w:sz w:val="20"/>
                <w:szCs w:val="20"/>
              </w:rPr>
            </w:pP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李大军</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pPr>
              <w:widowControl/>
              <w:jc w:val="center"/>
              <w:textAlignment w:val="center"/>
              <w:rPr>
                <w:rFonts w:eastAsia="黑体"/>
                <w:sz w:val="20"/>
                <w:szCs w:val="20"/>
              </w:rPr>
            </w:pPr>
            <w:r>
              <w:rPr>
                <w:color w:val="000000"/>
                <w:kern w:val="0"/>
                <w:sz w:val="20"/>
                <w:szCs w:val="20"/>
                <w:lang w:bidi="ar"/>
              </w:rPr>
              <w:t>1.8</w:t>
            </w:r>
            <w:r>
              <w:rPr>
                <w:rFonts w:eastAsia="黑体"/>
                <w:color w:val="000000"/>
                <w:kern w:val="0"/>
                <w:sz w:val="20"/>
                <w:szCs w:val="20"/>
                <w:lang w:bidi="ar"/>
              </w:rPr>
              <w:t>万元</w:t>
            </w:r>
          </w:p>
        </w:tc>
        <w:tc>
          <w:tcPr>
            <w:tcW w:w="1060" w:type="dxa"/>
            <w:vAlign w:val="center"/>
          </w:tcPr>
          <w:p>
            <w:pPr>
              <w:widowControl/>
              <w:jc w:val="center"/>
              <w:textAlignment w:val="center"/>
              <w:rPr>
                <w:rFonts w:eastAsia="黑体"/>
                <w:sz w:val="20"/>
                <w:szCs w:val="20"/>
              </w:rPr>
            </w:pPr>
            <w:r>
              <w:rPr>
                <w:color w:val="000000"/>
                <w:kern w:val="0"/>
                <w:sz w:val="20"/>
                <w:szCs w:val="20"/>
                <w:lang w:bidi="ar"/>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徐水县继文奶牛养殖场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发酵池3个，2018年1月</w:t>
            </w:r>
          </w:p>
          <w:p>
            <w:pPr>
              <w:widowControl/>
              <w:jc w:val="center"/>
              <w:textAlignment w:val="center"/>
              <w:rPr>
                <w:rFonts w:eastAsia="黑体"/>
                <w:sz w:val="20"/>
                <w:szCs w:val="20"/>
              </w:rPr>
            </w:pPr>
            <w:r>
              <w:rPr>
                <w:rFonts w:eastAsia="黑体"/>
                <w:color w:val="000000"/>
                <w:kern w:val="0"/>
                <w:sz w:val="20"/>
                <w:szCs w:val="20"/>
                <w:lang w:bidi="ar"/>
              </w:rPr>
              <w:t>沉淀池1个，2018年1月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20万元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马江</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田江武</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堆肥发酵/外售</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徐水县兴盛奶牛专业合作社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堆肥发酵/外售</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沉淀池2个，2018年3月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18万元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贾同振</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1.6万元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冯俊山</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沉淀池1个，2017年11月</w:t>
            </w:r>
          </w:p>
          <w:p>
            <w:pPr>
              <w:widowControl/>
              <w:jc w:val="center"/>
              <w:textAlignment w:val="center"/>
              <w:rPr>
                <w:rFonts w:eastAsia="黑体"/>
                <w:sz w:val="20"/>
                <w:szCs w:val="20"/>
              </w:rPr>
            </w:pPr>
            <w:r>
              <w:rPr>
                <w:rFonts w:eastAsia="黑体"/>
                <w:color w:val="000000"/>
                <w:kern w:val="0"/>
                <w:sz w:val="20"/>
                <w:szCs w:val="20"/>
                <w:lang w:bidi="ar"/>
              </w:rPr>
              <w:t>发酵池1个，2017年11月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陆永明</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陆振德</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河北涛涛家禽饲养有限公司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三级沉淀池2个，2017年3月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发酵池1个，2017年3月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发酵罐1个，2021年3月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多功能发酵机1个，2021年3月</w:t>
            </w:r>
          </w:p>
          <w:p>
            <w:pPr>
              <w:widowControl/>
              <w:jc w:val="center"/>
              <w:textAlignment w:val="center"/>
              <w:rPr>
                <w:rFonts w:eastAsia="黑体"/>
                <w:sz w:val="20"/>
                <w:szCs w:val="20"/>
              </w:rPr>
            </w:pPr>
            <w:r>
              <w:rPr>
                <w:rFonts w:eastAsia="黑体"/>
                <w:color w:val="000000"/>
                <w:kern w:val="0"/>
                <w:sz w:val="20"/>
                <w:szCs w:val="20"/>
                <w:lang w:bidi="ar"/>
              </w:rPr>
              <w:t>铲车1个，2019年2月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200万元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60万元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安长辉</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三级沉淀池1个，2010年9月</w:t>
            </w:r>
          </w:p>
          <w:p>
            <w:pPr>
              <w:widowControl/>
              <w:jc w:val="center"/>
              <w:textAlignment w:val="center"/>
              <w:rPr>
                <w:rFonts w:eastAsia="黑体"/>
                <w:sz w:val="20"/>
                <w:szCs w:val="20"/>
              </w:rPr>
            </w:pPr>
            <w:r>
              <w:rPr>
                <w:rFonts w:eastAsia="黑体"/>
                <w:color w:val="000000"/>
                <w:kern w:val="0"/>
                <w:sz w:val="20"/>
                <w:szCs w:val="20"/>
                <w:lang w:bidi="ar"/>
              </w:rPr>
              <w:t>发酵池1个，2010年9月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荣昌养猪场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沉淀池1个，2018年9月</w:t>
            </w:r>
          </w:p>
          <w:p>
            <w:pPr>
              <w:widowControl/>
              <w:jc w:val="center"/>
              <w:textAlignment w:val="center"/>
              <w:rPr>
                <w:rFonts w:eastAsia="黑体"/>
                <w:sz w:val="20"/>
                <w:szCs w:val="20"/>
              </w:rPr>
            </w:pPr>
            <w:r>
              <w:rPr>
                <w:rFonts w:eastAsia="黑体"/>
                <w:color w:val="000000"/>
                <w:kern w:val="0"/>
                <w:sz w:val="20"/>
                <w:szCs w:val="20"/>
                <w:lang w:bidi="ar"/>
              </w:rPr>
              <w:t>发酵池1个，2018年9月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顺利养猪场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三级沉淀池1个，2017年9月</w:t>
            </w:r>
          </w:p>
          <w:p>
            <w:pPr>
              <w:widowControl/>
              <w:jc w:val="center"/>
              <w:textAlignment w:val="center"/>
              <w:rPr>
                <w:rFonts w:eastAsia="黑体"/>
                <w:sz w:val="20"/>
                <w:szCs w:val="20"/>
              </w:rPr>
            </w:pPr>
            <w:r>
              <w:rPr>
                <w:rFonts w:eastAsia="黑体"/>
                <w:color w:val="000000"/>
                <w:kern w:val="0"/>
                <w:sz w:val="20"/>
                <w:szCs w:val="20"/>
                <w:lang w:bidi="ar"/>
              </w:rPr>
              <w:t>发酵池1个，2017年9月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孙宗茂</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三级沉淀池1个，2017年9月</w:t>
            </w:r>
          </w:p>
          <w:p>
            <w:pPr>
              <w:widowControl/>
              <w:jc w:val="center"/>
              <w:textAlignment w:val="center"/>
              <w:rPr>
                <w:rFonts w:eastAsia="黑体"/>
                <w:sz w:val="20"/>
                <w:szCs w:val="20"/>
              </w:rPr>
            </w:pPr>
            <w:r>
              <w:rPr>
                <w:rFonts w:eastAsia="黑体"/>
                <w:color w:val="000000"/>
                <w:kern w:val="0"/>
                <w:sz w:val="20"/>
                <w:szCs w:val="20"/>
                <w:lang w:bidi="ar"/>
              </w:rPr>
              <w:t>发酵池1个，2017年9月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16万元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保定市徐水区冀聚源奶牛农民专业合作社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干湿分离机1个，2018年5月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三级沉淀池1个，2018年5月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发酵池1个，2018年5月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发酵罐1个，2020年2月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一体化污水处理设备1个，2020年2月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多功能发酵机1个，2020年2月</w:t>
            </w:r>
          </w:p>
          <w:p>
            <w:pPr>
              <w:widowControl/>
              <w:jc w:val="center"/>
              <w:textAlignment w:val="center"/>
              <w:rPr>
                <w:rFonts w:eastAsia="黑体"/>
                <w:sz w:val="20"/>
                <w:szCs w:val="20"/>
              </w:rPr>
            </w:pPr>
            <w:r>
              <w:rPr>
                <w:rFonts w:eastAsia="黑体"/>
                <w:color w:val="000000"/>
                <w:kern w:val="0"/>
                <w:sz w:val="20"/>
                <w:szCs w:val="20"/>
                <w:lang w:bidi="ar"/>
              </w:rPr>
              <w:t>翻抛机1个，2020年2月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350万元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140万元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徐水县丽华奶牛专业合作社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干湿分离机2个，2016年7月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三级沉淀池1个，2016年7月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发酵池1个，2016年7月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发酵罐1个，2020年10月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一体化污水处理设备1个，2020年10月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多功能发酵机1个，2020年10月</w:t>
            </w:r>
          </w:p>
          <w:p>
            <w:pPr>
              <w:widowControl/>
              <w:jc w:val="center"/>
              <w:textAlignment w:val="center"/>
              <w:rPr>
                <w:rFonts w:eastAsia="黑体"/>
                <w:sz w:val="20"/>
                <w:szCs w:val="20"/>
              </w:rPr>
            </w:pPr>
            <w:r>
              <w:rPr>
                <w:rFonts w:eastAsia="黑体"/>
                <w:color w:val="000000"/>
                <w:kern w:val="0"/>
                <w:sz w:val="20"/>
                <w:szCs w:val="20"/>
                <w:lang w:bidi="ar"/>
              </w:rPr>
              <w:t>铲车2个，2020年10月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500万元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250万元</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保定市徐水区天晨饲养场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干湿分离机1个，2019年2月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三级沉淀池1个，2015年5月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发酵池1个，2015年5月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发酵罐1个，2019年2月</w:t>
            </w:r>
          </w:p>
          <w:p>
            <w:pPr>
              <w:widowControl/>
              <w:jc w:val="center"/>
              <w:textAlignment w:val="center"/>
              <w:rPr>
                <w:rFonts w:eastAsia="黑体"/>
                <w:sz w:val="20"/>
                <w:szCs w:val="20"/>
              </w:rPr>
            </w:pPr>
            <w:r>
              <w:rPr>
                <w:rFonts w:eastAsia="黑体"/>
                <w:color w:val="000000"/>
                <w:kern w:val="0"/>
                <w:sz w:val="20"/>
                <w:szCs w:val="20"/>
                <w:lang w:bidi="ar"/>
              </w:rPr>
              <w:t>铲车1个，2019年2月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260万元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50万元</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保定徐水区天晨养殖场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干湿分离机3个，2015年5月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三级沉淀池1个，2015年5月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发酵池1个，2015年7月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发酵罐1个，2020年5月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一体化污水处理设备1个，2021年6月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多功能发酵机1个，2021年6月</w:t>
            </w:r>
          </w:p>
          <w:p>
            <w:pPr>
              <w:widowControl/>
              <w:jc w:val="center"/>
              <w:textAlignment w:val="center"/>
              <w:rPr>
                <w:rFonts w:eastAsia="黑体"/>
                <w:sz w:val="20"/>
                <w:szCs w:val="20"/>
              </w:rPr>
            </w:pPr>
            <w:r>
              <w:rPr>
                <w:rFonts w:eastAsia="黑体"/>
                <w:color w:val="000000"/>
                <w:kern w:val="0"/>
                <w:sz w:val="20"/>
                <w:szCs w:val="20"/>
                <w:lang w:bidi="ar"/>
              </w:rPr>
              <w:t>铲车2个，2021年6月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380万元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170万元</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王赛养殖场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沉淀池1个，2017年11月</w:t>
            </w:r>
          </w:p>
          <w:p>
            <w:pPr>
              <w:widowControl/>
              <w:jc w:val="center"/>
              <w:textAlignment w:val="center"/>
              <w:rPr>
                <w:rFonts w:eastAsia="黑体"/>
                <w:sz w:val="20"/>
                <w:szCs w:val="20"/>
              </w:rPr>
            </w:pPr>
            <w:r>
              <w:rPr>
                <w:rFonts w:eastAsia="黑体"/>
                <w:color w:val="000000"/>
                <w:kern w:val="0"/>
                <w:sz w:val="20"/>
                <w:szCs w:val="20"/>
                <w:lang w:bidi="ar"/>
              </w:rPr>
              <w:t>发酵池1个，2017年11月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雪峰养猪场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沉淀池1个，2018年10月</w:t>
            </w:r>
          </w:p>
          <w:p>
            <w:pPr>
              <w:widowControl/>
              <w:jc w:val="center"/>
              <w:textAlignment w:val="center"/>
              <w:rPr>
                <w:rFonts w:eastAsia="黑体"/>
                <w:sz w:val="20"/>
                <w:szCs w:val="20"/>
              </w:rPr>
            </w:pPr>
            <w:r>
              <w:rPr>
                <w:rFonts w:eastAsia="黑体"/>
                <w:color w:val="000000"/>
                <w:kern w:val="0"/>
                <w:sz w:val="20"/>
                <w:szCs w:val="20"/>
                <w:lang w:bidi="ar"/>
              </w:rPr>
              <w:t>发酵池1个，2018年10月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pPr>
              <w:jc w:val="center"/>
              <w:rPr>
                <w:rFonts w:eastAsia="黑体"/>
                <w:sz w:val="20"/>
                <w:szCs w:val="20"/>
              </w:rPr>
            </w:pPr>
            <w:r>
              <w:rPr>
                <w:rFonts w:eastAsia="黑体"/>
                <w:sz w:val="20"/>
                <w:szCs w:val="20"/>
              </w:rPr>
              <w:t>/</w:t>
            </w:r>
          </w:p>
        </w:tc>
        <w:tc>
          <w:tcPr>
            <w:tcW w:w="1060" w:type="dxa"/>
            <w:vAlign w:val="center"/>
          </w:tcPr>
          <w:p>
            <w:pPr>
              <w:jc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保定韦氏农牧有限责任公司</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生产垫料/沼气池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抛洒车1个，2021年5月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50铲车1个，2021年5月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30铲车1个，2021年5月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刮粪板3个，2021年5月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固液分离机4个，2021年5月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卧式发酵罐1个，2021年5月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清粪车1个，2021年5月</w:t>
            </w:r>
          </w:p>
          <w:p>
            <w:pPr>
              <w:widowControl/>
              <w:jc w:val="center"/>
              <w:textAlignment w:val="center"/>
              <w:rPr>
                <w:rFonts w:eastAsia="黑体"/>
                <w:sz w:val="20"/>
                <w:szCs w:val="20"/>
              </w:rPr>
            </w:pPr>
            <w:r>
              <w:rPr>
                <w:rFonts w:eastAsia="黑体"/>
                <w:color w:val="000000"/>
                <w:kern w:val="0"/>
                <w:sz w:val="20"/>
                <w:szCs w:val="20"/>
                <w:lang w:bidi="ar"/>
              </w:rPr>
              <w:t>污水处理设备1个，2021年5月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514万元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255万元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西凡第一猪场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沉淀池2个，2017年9月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徐水县桂合奶牛专业合作社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沉淀池2个，2017年8月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堆肥发酵2个，2016年8月</w:t>
            </w:r>
          </w:p>
          <w:p>
            <w:pPr>
              <w:widowControl/>
              <w:jc w:val="center"/>
              <w:textAlignment w:val="center"/>
              <w:rPr>
                <w:rFonts w:eastAsia="黑体"/>
                <w:sz w:val="20"/>
                <w:szCs w:val="20"/>
              </w:rPr>
            </w:pPr>
            <w:r>
              <w:rPr>
                <w:rFonts w:eastAsia="黑体"/>
                <w:color w:val="000000"/>
                <w:kern w:val="0"/>
                <w:sz w:val="20"/>
                <w:szCs w:val="20"/>
                <w:lang w:bidi="ar"/>
              </w:rPr>
              <w:t>干湿分离机1个，2017年8月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20万元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保定市徐水区进田家庭农场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沉淀池1个，2018年3月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建强猪场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沉淀池2个，2017年9月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新农养殖场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沉淀池4个，2015年5月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5.5万元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152</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兴华养殖场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堆肥发酵/外售</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干粪车1个，2017年5月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6000元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153</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保定市徐水区古镇良种猪场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生产有机肥/外售</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畜禽粪便发酵处理机1个，2020年7月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45.78万元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27.46万元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154</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徐水县龙源奶牛专业合作社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堆肥发酵/生产有机肥/生产垫料/沉淀池/外售</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固液分离机2个，2021年6月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清粪车1个，2021年6月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推粪铲车2个，2021年7月</w:t>
            </w:r>
          </w:p>
          <w:p>
            <w:pPr>
              <w:widowControl/>
              <w:jc w:val="center"/>
              <w:textAlignment w:val="center"/>
              <w:rPr>
                <w:rFonts w:eastAsia="黑体"/>
                <w:sz w:val="20"/>
                <w:szCs w:val="20"/>
              </w:rPr>
            </w:pPr>
            <w:r>
              <w:rPr>
                <w:rFonts w:eastAsia="黑体"/>
                <w:color w:val="000000"/>
                <w:kern w:val="0"/>
                <w:sz w:val="20"/>
                <w:szCs w:val="20"/>
                <w:lang w:bidi="ar"/>
              </w:rPr>
              <w:t>粪污处理设施1个，2021年7月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288.02万元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124.44万元</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155</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保定市徐水区军英养殖场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堆积发酵池1个，2017年7月</w:t>
            </w:r>
          </w:p>
          <w:p>
            <w:pPr>
              <w:widowControl/>
              <w:jc w:val="center"/>
              <w:textAlignment w:val="center"/>
              <w:rPr>
                <w:rFonts w:eastAsia="黑体"/>
                <w:sz w:val="20"/>
                <w:szCs w:val="20"/>
              </w:rPr>
            </w:pPr>
            <w:r>
              <w:rPr>
                <w:rFonts w:eastAsia="黑体"/>
                <w:color w:val="000000"/>
                <w:kern w:val="0"/>
                <w:sz w:val="20"/>
                <w:szCs w:val="20"/>
                <w:lang w:bidi="ar"/>
              </w:rPr>
              <w:t>污水沉淀池1个，2017年7月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156</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姜建申猪场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外售</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w:t>
            </w:r>
          </w:p>
        </w:tc>
        <w:tc>
          <w:tcPr>
            <w:tcW w:w="1088"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157</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洪义养殖场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堆肥发酵池1个，2017年7月</w:t>
            </w:r>
          </w:p>
          <w:p>
            <w:pPr>
              <w:widowControl/>
              <w:jc w:val="center"/>
              <w:textAlignment w:val="center"/>
              <w:rPr>
                <w:rFonts w:eastAsia="黑体"/>
                <w:sz w:val="20"/>
                <w:szCs w:val="20"/>
              </w:rPr>
            </w:pPr>
            <w:r>
              <w:rPr>
                <w:rFonts w:eastAsia="黑体"/>
                <w:color w:val="000000"/>
                <w:kern w:val="0"/>
                <w:sz w:val="20"/>
                <w:szCs w:val="20"/>
                <w:lang w:bidi="ar"/>
              </w:rPr>
              <w:t>污水沉淀池1个，2017年7月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158</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刘金峰鸡场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堆肥发酵/外运集中处理</w:t>
            </w:r>
          </w:p>
        </w:tc>
        <w:tc>
          <w:tcPr>
            <w:tcW w:w="4782" w:type="dxa"/>
            <w:vAlign w:val="center"/>
          </w:tcPr>
          <w:p>
            <w:pPr>
              <w:widowControl/>
              <w:jc w:val="center"/>
              <w:textAlignment w:val="center"/>
              <w:rPr>
                <w:rFonts w:eastAsia="黑体"/>
                <w:sz w:val="20"/>
                <w:szCs w:val="20"/>
              </w:rPr>
            </w:pPr>
            <w:r>
              <w:rPr>
                <w:rFonts w:eastAsia="黑体"/>
                <w:color w:val="000000"/>
                <w:kern w:val="0"/>
                <w:sz w:val="20"/>
                <w:szCs w:val="20"/>
                <w:lang w:bidi="ar"/>
              </w:rPr>
              <w:t>发酵池1个，2014年8月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159</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保定市徐水区保刚奶牛农民专业合作社</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堆肥发酵/生产垫料/沉淀池/氧化塘</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三级沉淀池4个，2014年8月</w:t>
            </w:r>
          </w:p>
          <w:p>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干湿分离机3个，2014年8月</w:t>
            </w:r>
          </w:p>
          <w:p>
            <w:pPr>
              <w:widowControl/>
              <w:jc w:val="center"/>
              <w:textAlignment w:val="center"/>
              <w:rPr>
                <w:rFonts w:eastAsia="黑体"/>
                <w:sz w:val="20"/>
                <w:szCs w:val="20"/>
              </w:rPr>
            </w:pPr>
            <w:r>
              <w:rPr>
                <w:rFonts w:eastAsia="黑体"/>
                <w:color w:val="000000"/>
                <w:kern w:val="0"/>
                <w:sz w:val="20"/>
                <w:szCs w:val="20"/>
                <w:lang w:bidi="ar"/>
              </w:rPr>
              <w:t>发酵罐1个，2020年4月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600万元</w:t>
            </w:r>
          </w:p>
        </w:tc>
        <w:tc>
          <w:tcPr>
            <w:tcW w:w="1060" w:type="dxa"/>
            <w:vAlign w:val="center"/>
          </w:tcPr>
          <w:p>
            <w:pPr>
              <w:widowControl/>
              <w:jc w:val="center"/>
              <w:textAlignment w:val="center"/>
              <w:rPr>
                <w:rFonts w:eastAsia="黑体"/>
                <w:sz w:val="20"/>
                <w:szCs w:val="20"/>
              </w:rPr>
            </w:pPr>
            <w:r>
              <w:rPr>
                <w:rFonts w:eastAsia="黑体"/>
                <w:color w:val="000000"/>
                <w:kern w:val="0"/>
                <w:sz w:val="20"/>
                <w:szCs w:val="20"/>
                <w:lang w:bidi="ar"/>
              </w:rPr>
              <w:t>190万元</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160</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高艳国养猪场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沉淀池1个，2014年6月</w:t>
            </w:r>
          </w:p>
          <w:p>
            <w:pPr>
              <w:widowControl/>
              <w:jc w:val="center"/>
              <w:textAlignment w:val="center"/>
            </w:pPr>
            <w:r>
              <w:rPr>
                <w:rFonts w:eastAsia="黑体"/>
                <w:color w:val="000000"/>
                <w:kern w:val="0"/>
                <w:sz w:val="20"/>
                <w:szCs w:val="20"/>
                <w:lang w:bidi="ar"/>
              </w:rPr>
              <w:t>发酵池1个，2014年6月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color w:val="000000"/>
                <w:kern w:val="0"/>
                <w:sz w:val="20"/>
                <w:szCs w:val="20"/>
                <w:lang w:bidi="ar"/>
              </w:rPr>
            </w:pPr>
            <w:r>
              <w:rPr>
                <w:rFonts w:eastAsia="黑体"/>
                <w:sz w:val="20"/>
                <w:szCs w:val="20"/>
              </w:rPr>
              <w:t>无害化集中处理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161</w:t>
            </w:r>
          </w:p>
        </w:tc>
        <w:tc>
          <w:tcPr>
            <w:tcW w:w="2357" w:type="dxa"/>
            <w:vAlign w:val="center"/>
          </w:tcPr>
          <w:p>
            <w:pPr>
              <w:widowControl/>
              <w:jc w:val="center"/>
              <w:textAlignment w:val="center"/>
              <w:rPr>
                <w:rFonts w:eastAsia="黑体"/>
                <w:sz w:val="20"/>
                <w:szCs w:val="20"/>
              </w:rPr>
            </w:pPr>
            <w:r>
              <w:rPr>
                <w:rFonts w:eastAsia="黑体"/>
                <w:color w:val="000000"/>
                <w:kern w:val="0"/>
                <w:sz w:val="20"/>
                <w:szCs w:val="20"/>
                <w:lang w:bidi="ar"/>
              </w:rPr>
              <w:t>保市徐水区顺发养殖场</w:t>
            </w:r>
          </w:p>
        </w:tc>
        <w:tc>
          <w:tcPr>
            <w:tcW w:w="2543" w:type="dxa"/>
            <w:vAlign w:val="center"/>
          </w:tcPr>
          <w:p>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沉淀池2个，2012年6月</w:t>
            </w:r>
          </w:p>
          <w:p>
            <w:pPr>
              <w:widowControl/>
              <w:jc w:val="center"/>
              <w:textAlignment w:val="center"/>
              <w:rPr>
                <w:rFonts w:eastAsia="黑体"/>
                <w:sz w:val="20"/>
                <w:szCs w:val="20"/>
              </w:rPr>
            </w:pPr>
            <w:r>
              <w:rPr>
                <w:rFonts w:eastAsia="黑体"/>
                <w:color w:val="000000"/>
                <w:kern w:val="0"/>
                <w:sz w:val="20"/>
                <w:szCs w:val="20"/>
                <w:lang w:bidi="ar"/>
              </w:rPr>
              <w:t>发酵池2个，2012年6月</w:t>
            </w:r>
          </w:p>
        </w:tc>
        <w:tc>
          <w:tcPr>
            <w:tcW w:w="1088" w:type="dxa"/>
            <w:vAlign w:val="center"/>
          </w:tcPr>
          <w:p>
            <w:pPr>
              <w:widowControl/>
              <w:jc w:val="center"/>
              <w:textAlignment w:val="center"/>
              <w:rPr>
                <w:rFonts w:eastAsia="黑体"/>
                <w:sz w:val="20"/>
                <w:szCs w:val="20"/>
              </w:rPr>
            </w:pPr>
            <w:r>
              <w:rPr>
                <w:rFonts w:eastAsia="黑体"/>
                <w:color w:val="000000"/>
                <w:kern w:val="0"/>
                <w:sz w:val="20"/>
                <w:szCs w:val="20"/>
                <w:lang w:bidi="ar"/>
              </w:rPr>
              <w:t>30万元</w:t>
            </w:r>
          </w:p>
        </w:tc>
        <w:tc>
          <w:tcPr>
            <w:tcW w:w="1060" w:type="dxa"/>
            <w:vAlign w:val="center"/>
          </w:tcPr>
          <w:p>
            <w:pPr>
              <w:widowControl/>
              <w:jc w:val="center"/>
              <w:textAlignment w:val="center"/>
              <w:rPr>
                <w:rFonts w:eastAsia="黑体"/>
                <w:sz w:val="20"/>
                <w:szCs w:val="20"/>
              </w:rPr>
            </w:pPr>
            <w:r>
              <w:rPr>
                <w:rFonts w:eastAsia="黑体"/>
                <w:sz w:val="20"/>
                <w:szCs w:val="20"/>
              </w:rPr>
              <w:t>/</w:t>
            </w:r>
          </w:p>
        </w:tc>
        <w:tc>
          <w:tcPr>
            <w:tcW w:w="1060" w:type="dxa"/>
            <w:vAlign w:val="center"/>
          </w:tcPr>
          <w:p>
            <w:pPr>
              <w:widowControl/>
              <w:jc w:val="center"/>
              <w:textAlignment w:val="center"/>
              <w:rPr>
                <w:rFonts w:eastAsia="黑体"/>
                <w:sz w:val="20"/>
                <w:szCs w:val="20"/>
              </w:rPr>
            </w:pPr>
            <w:r>
              <w:rPr>
                <w:rFonts w:eastAsia="黑体"/>
                <w:sz w:val="20"/>
                <w:szCs w:val="20"/>
              </w:rPr>
              <w:t>无害化集中处理</w:t>
            </w:r>
          </w:p>
        </w:tc>
      </w:tr>
    </w:tbl>
    <w:p>
      <w:pPr>
        <w:spacing w:line="360" w:lineRule="auto"/>
        <w:jc w:val="center"/>
        <w:rPr>
          <w:sz w:val="28"/>
          <w:szCs w:val="28"/>
        </w:rPr>
        <w:sectPr>
          <w:pgSz w:w="16838" w:h="11906" w:orient="landscape"/>
          <w:pgMar w:top="1701" w:right="1701" w:bottom="1417" w:left="1417" w:header="851" w:footer="283" w:gutter="0"/>
          <w:cols w:space="720" w:num="1"/>
          <w:docGrid w:type="lines" w:linePitch="312" w:charSpace="0"/>
        </w:sectPr>
      </w:pPr>
    </w:p>
    <w:p>
      <w:pPr>
        <w:spacing w:line="360" w:lineRule="auto"/>
        <w:jc w:val="center"/>
        <w:rPr>
          <w:sz w:val="28"/>
          <w:szCs w:val="28"/>
        </w:rPr>
      </w:pPr>
    </w:p>
    <w:p>
      <w:pPr>
        <w:spacing w:line="360" w:lineRule="auto"/>
        <w:jc w:val="center"/>
        <w:rPr>
          <w:sz w:val="28"/>
          <w:szCs w:val="28"/>
        </w:rPr>
      </w:pPr>
      <w:r>
        <w:rPr>
          <w:sz w:val="28"/>
          <w:szCs w:val="28"/>
        </w:rPr>
        <w:drawing>
          <wp:inline distT="0" distB="0" distL="114300" distR="114300">
            <wp:extent cx="4679315" cy="3388995"/>
            <wp:effectExtent l="28575" t="28575" r="35560" b="30480"/>
            <wp:docPr id="3" name="图片 48" descr="徐水行政区划图(x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descr="徐水行政区划图(xiao"/>
                    <pic:cNvPicPr>
                      <a:picLocks noChangeAspect="1"/>
                    </pic:cNvPicPr>
                  </pic:nvPicPr>
                  <pic:blipFill>
                    <a:blip r:embed="rId22"/>
                    <a:stretch>
                      <a:fillRect/>
                    </a:stretch>
                  </pic:blipFill>
                  <pic:spPr>
                    <a:xfrm>
                      <a:off x="0" y="0"/>
                      <a:ext cx="4679315" cy="3388995"/>
                    </a:xfrm>
                    <a:prstGeom prst="rect">
                      <a:avLst/>
                    </a:prstGeom>
                    <a:noFill/>
                    <a:ln w="28575" cmpd="sng">
                      <a:solidFill>
                        <a:schemeClr val="tx1"/>
                      </a:solidFill>
                      <a:prstDash val="solid"/>
                    </a:ln>
                  </pic:spPr>
                </pic:pic>
              </a:graphicData>
            </a:graphic>
          </wp:inline>
        </w:drawing>
      </w:r>
    </w:p>
    <w:p>
      <w:pPr>
        <w:spacing w:line="360" w:lineRule="auto"/>
        <w:jc w:val="center"/>
        <w:rPr>
          <w:rFonts w:eastAsia="黑体"/>
          <w:sz w:val="28"/>
          <w:szCs w:val="28"/>
        </w:rPr>
      </w:pPr>
      <w:r>
        <w:rPr>
          <w:rFonts w:eastAsia="黑体"/>
          <w:sz w:val="28"/>
          <w:szCs w:val="28"/>
        </w:rPr>
        <w:t>附图1：行政区划图</w:t>
      </w:r>
    </w:p>
    <w:p>
      <w:pPr>
        <w:pStyle w:val="2"/>
        <w:ind w:firstLine="0"/>
        <w:jc w:val="center"/>
        <w:rPr>
          <w:rFonts w:ascii="Times New Roman" w:hAnsi="Times New Roman"/>
          <w:sz w:val="28"/>
          <w:szCs w:val="28"/>
          <w:lang w:val="en-US"/>
        </w:rPr>
      </w:pPr>
      <w:r>
        <w:rPr>
          <w:rFonts w:ascii="Times New Roman" w:hAnsi="Times New Roman"/>
          <w:sz w:val="28"/>
          <w:szCs w:val="28"/>
          <w:lang w:val="en-US"/>
        </w:rPr>
        <w:drawing>
          <wp:inline distT="0" distB="0" distL="114300" distR="114300">
            <wp:extent cx="4773930" cy="3376295"/>
            <wp:effectExtent l="28575" t="28575" r="36195" b="43180"/>
            <wp:docPr id="4" name="图片 50" descr="徐水区水系图带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descr="徐水区水系图带图例"/>
                    <pic:cNvPicPr>
                      <a:picLocks noChangeAspect="1"/>
                    </pic:cNvPicPr>
                  </pic:nvPicPr>
                  <pic:blipFill>
                    <a:blip r:embed="rId23"/>
                    <a:stretch>
                      <a:fillRect/>
                    </a:stretch>
                  </pic:blipFill>
                  <pic:spPr>
                    <a:xfrm>
                      <a:off x="0" y="0"/>
                      <a:ext cx="4773930" cy="3376295"/>
                    </a:xfrm>
                    <a:prstGeom prst="rect">
                      <a:avLst/>
                    </a:prstGeom>
                    <a:noFill/>
                    <a:ln w="28575" cmpd="sng">
                      <a:solidFill>
                        <a:schemeClr val="tx1"/>
                      </a:solidFill>
                      <a:prstDash val="solid"/>
                    </a:ln>
                  </pic:spPr>
                </pic:pic>
              </a:graphicData>
            </a:graphic>
          </wp:inline>
        </w:drawing>
      </w:r>
    </w:p>
    <w:p>
      <w:pPr>
        <w:spacing w:line="360" w:lineRule="auto"/>
        <w:jc w:val="center"/>
        <w:rPr>
          <w:rFonts w:eastAsia="黑体"/>
          <w:sz w:val="28"/>
          <w:szCs w:val="28"/>
        </w:rPr>
        <w:sectPr>
          <w:pgSz w:w="11906" w:h="16838"/>
          <w:pgMar w:top="1701" w:right="1417" w:bottom="1417" w:left="1701" w:header="851" w:footer="283" w:gutter="0"/>
          <w:cols w:space="720" w:num="1"/>
          <w:docGrid w:type="lines" w:linePitch="312" w:charSpace="0"/>
        </w:sectPr>
      </w:pPr>
      <w:r>
        <w:rPr>
          <w:rFonts w:eastAsia="黑体"/>
          <w:sz w:val="28"/>
          <w:szCs w:val="28"/>
        </w:rPr>
        <w:t>附图2：水功能区划图</w:t>
      </w:r>
    </w:p>
    <w:p>
      <w:pPr>
        <w:spacing w:line="360" w:lineRule="auto"/>
        <w:jc w:val="center"/>
        <w:rPr>
          <w:sz w:val="24"/>
        </w:rPr>
      </w:pPr>
      <w:r>
        <w:rPr>
          <w:sz w:val="24"/>
        </w:rPr>
        <w:drawing>
          <wp:inline distT="0" distB="0" distL="0" distR="0">
            <wp:extent cx="8098790" cy="5023485"/>
            <wp:effectExtent l="0" t="0" r="0" b="5715"/>
            <wp:docPr id="23" name="图片 2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地图&#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105917" cy="5027796"/>
                    </a:xfrm>
                    <a:prstGeom prst="rect">
                      <a:avLst/>
                    </a:prstGeom>
                    <a:noFill/>
                    <a:ln>
                      <a:noFill/>
                    </a:ln>
                  </pic:spPr>
                </pic:pic>
              </a:graphicData>
            </a:graphic>
          </wp:inline>
        </w:drawing>
      </w:r>
    </w:p>
    <w:p>
      <w:pPr>
        <w:spacing w:line="360" w:lineRule="auto"/>
        <w:jc w:val="center"/>
        <w:rPr>
          <w:rFonts w:eastAsia="黑体"/>
          <w:sz w:val="28"/>
          <w:szCs w:val="28"/>
        </w:rPr>
        <w:sectPr>
          <w:pgSz w:w="16838" w:h="11906" w:orient="landscape"/>
          <w:pgMar w:top="1701" w:right="1701" w:bottom="1417" w:left="1417" w:header="851" w:footer="283" w:gutter="0"/>
          <w:cols w:space="720" w:num="1"/>
          <w:docGrid w:type="lines" w:linePitch="312" w:charSpace="0"/>
        </w:sectPr>
      </w:pPr>
      <w:r>
        <w:rPr>
          <w:rFonts w:eastAsia="黑体"/>
          <w:sz w:val="28"/>
          <w:szCs w:val="28"/>
        </w:rPr>
        <w:t>附图3：禁养区分布</w:t>
      </w:r>
    </w:p>
    <w:p>
      <w:pPr>
        <w:spacing w:line="360" w:lineRule="auto"/>
        <w:jc w:val="center"/>
        <w:rPr>
          <w:rFonts w:eastAsia="黑体"/>
          <w:sz w:val="24"/>
        </w:rPr>
      </w:pPr>
    </w:p>
    <w:p>
      <w:pPr>
        <w:pStyle w:val="2"/>
        <w:ind w:firstLine="0"/>
        <w:jc w:val="center"/>
        <w:rPr>
          <w:rFonts w:ascii="Times New Roman" w:hAnsi="Times New Roman" w:eastAsia="黑体"/>
          <w:sz w:val="28"/>
          <w:szCs w:val="28"/>
        </w:rPr>
      </w:pPr>
      <w:r>
        <w:rPr>
          <w:rFonts w:ascii="Times New Roman" w:hAnsi="Times New Roman" w:eastAsia="黑体"/>
          <w:sz w:val="28"/>
          <w:szCs w:val="28"/>
        </w:rPr>
        <w:drawing>
          <wp:inline distT="0" distB="0" distL="114300" distR="114300">
            <wp:extent cx="6424930" cy="3981450"/>
            <wp:effectExtent l="0" t="0" r="13970" b="0"/>
            <wp:docPr id="16" name="图片 16" descr="禁养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禁养区图"/>
                    <pic:cNvPicPr>
                      <a:picLocks noChangeAspect="1"/>
                    </pic:cNvPicPr>
                  </pic:nvPicPr>
                  <pic:blipFill>
                    <a:blip r:embed="rId25"/>
                    <a:stretch>
                      <a:fillRect/>
                    </a:stretch>
                  </pic:blipFill>
                  <pic:spPr>
                    <a:xfrm>
                      <a:off x="0" y="0"/>
                      <a:ext cx="6424930" cy="3981450"/>
                    </a:xfrm>
                    <a:prstGeom prst="rect">
                      <a:avLst/>
                    </a:prstGeom>
                  </pic:spPr>
                </pic:pic>
              </a:graphicData>
            </a:graphic>
          </wp:inline>
        </w:drawing>
      </w:r>
    </w:p>
    <w:p>
      <w:pPr>
        <w:pStyle w:val="2"/>
        <w:ind w:firstLine="0"/>
        <w:jc w:val="center"/>
        <w:rPr>
          <w:rFonts w:ascii="Times New Roman" w:hAnsi="Times New Roman" w:eastAsia="黑体"/>
          <w:sz w:val="28"/>
          <w:szCs w:val="28"/>
        </w:rPr>
      </w:pPr>
    </w:p>
    <w:tbl>
      <w:tblPr>
        <w:tblStyle w:val="23"/>
        <w:tblW w:w="8688" w:type="dxa"/>
        <w:jc w:val="center"/>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108" w:type="dxa"/>
          <w:bottom w:w="0" w:type="dxa"/>
          <w:right w:w="108" w:type="dxa"/>
        </w:tblCellMar>
      </w:tblPr>
      <w:tblGrid>
        <w:gridCol w:w="481"/>
        <w:gridCol w:w="2052"/>
        <w:gridCol w:w="481"/>
        <w:gridCol w:w="2294"/>
        <w:gridCol w:w="481"/>
        <w:gridCol w:w="2899"/>
      </w:tblGrid>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tcBorders>
              <w:tl2br w:val="nil"/>
              <w:tr2bl w:val="nil"/>
            </w:tcBorders>
            <w:vAlign w:val="center"/>
          </w:tcPr>
          <w:p>
            <w:pPr>
              <w:widowControl/>
              <w:jc w:val="center"/>
              <w:textAlignment w:val="center"/>
              <w:rPr>
                <w:rFonts w:eastAsia="黑体"/>
                <w:b/>
                <w:bCs/>
                <w:sz w:val="11"/>
                <w:szCs w:val="11"/>
              </w:rPr>
            </w:pPr>
            <w:r>
              <w:rPr>
                <w:rFonts w:eastAsia="黑体"/>
                <w:b/>
                <w:bCs/>
                <w:color w:val="000000"/>
                <w:kern w:val="0"/>
                <w:sz w:val="11"/>
                <w:szCs w:val="11"/>
                <w:lang w:bidi="ar"/>
              </w:rPr>
              <w:t>序号</w:t>
            </w:r>
          </w:p>
        </w:tc>
        <w:tc>
          <w:tcPr>
            <w:tcW w:w="2052" w:type="dxa"/>
            <w:tcBorders>
              <w:tl2br w:val="nil"/>
              <w:tr2bl w:val="nil"/>
            </w:tcBorders>
            <w:vAlign w:val="center"/>
          </w:tcPr>
          <w:p>
            <w:pPr>
              <w:widowControl/>
              <w:jc w:val="center"/>
              <w:textAlignment w:val="center"/>
              <w:rPr>
                <w:rFonts w:eastAsia="黑体"/>
                <w:b/>
                <w:bCs/>
                <w:sz w:val="11"/>
                <w:szCs w:val="11"/>
              </w:rPr>
            </w:pPr>
            <w:r>
              <w:rPr>
                <w:rFonts w:eastAsia="黑体"/>
                <w:b/>
                <w:bCs/>
                <w:color w:val="000000"/>
                <w:kern w:val="0"/>
                <w:sz w:val="11"/>
                <w:szCs w:val="11"/>
                <w:lang w:bidi="ar"/>
              </w:rPr>
              <w:t>养殖场名称</w:t>
            </w:r>
          </w:p>
        </w:tc>
        <w:tc>
          <w:tcPr>
            <w:tcW w:w="481" w:type="dxa"/>
            <w:tcBorders>
              <w:tl2br w:val="nil"/>
              <w:tr2bl w:val="nil"/>
            </w:tcBorders>
            <w:vAlign w:val="center"/>
          </w:tcPr>
          <w:p>
            <w:pPr>
              <w:widowControl/>
              <w:jc w:val="center"/>
              <w:textAlignment w:val="center"/>
              <w:rPr>
                <w:rFonts w:eastAsia="黑体"/>
                <w:b/>
                <w:bCs/>
                <w:color w:val="000000"/>
                <w:kern w:val="0"/>
                <w:sz w:val="11"/>
                <w:szCs w:val="11"/>
                <w:lang w:bidi="ar"/>
              </w:rPr>
            </w:pPr>
            <w:r>
              <w:rPr>
                <w:rFonts w:eastAsia="黑体"/>
                <w:b/>
                <w:bCs/>
                <w:color w:val="000000"/>
                <w:kern w:val="0"/>
                <w:sz w:val="11"/>
                <w:szCs w:val="11"/>
                <w:lang w:bidi="ar"/>
              </w:rPr>
              <w:t>序号</w:t>
            </w:r>
          </w:p>
        </w:tc>
        <w:tc>
          <w:tcPr>
            <w:tcW w:w="2294" w:type="dxa"/>
            <w:tcBorders>
              <w:tl2br w:val="nil"/>
              <w:tr2bl w:val="nil"/>
            </w:tcBorders>
            <w:vAlign w:val="center"/>
          </w:tcPr>
          <w:p>
            <w:pPr>
              <w:widowControl/>
              <w:jc w:val="center"/>
              <w:textAlignment w:val="center"/>
              <w:rPr>
                <w:rFonts w:eastAsia="黑体"/>
                <w:b/>
                <w:bCs/>
                <w:color w:val="000000"/>
                <w:kern w:val="0"/>
                <w:sz w:val="11"/>
                <w:szCs w:val="11"/>
                <w:lang w:bidi="ar"/>
              </w:rPr>
            </w:pPr>
            <w:r>
              <w:rPr>
                <w:rFonts w:eastAsia="黑体"/>
                <w:b/>
                <w:bCs/>
                <w:color w:val="000000"/>
                <w:kern w:val="0"/>
                <w:sz w:val="11"/>
                <w:szCs w:val="11"/>
                <w:lang w:bidi="ar"/>
              </w:rPr>
              <w:t>养殖场名称</w:t>
            </w:r>
          </w:p>
        </w:tc>
        <w:tc>
          <w:tcPr>
            <w:tcW w:w="481" w:type="dxa"/>
            <w:tcBorders>
              <w:tl2br w:val="nil"/>
              <w:tr2bl w:val="nil"/>
            </w:tcBorders>
            <w:vAlign w:val="center"/>
          </w:tcPr>
          <w:p>
            <w:pPr>
              <w:widowControl/>
              <w:jc w:val="center"/>
              <w:textAlignment w:val="center"/>
              <w:rPr>
                <w:rFonts w:eastAsia="黑体"/>
                <w:b/>
                <w:bCs/>
                <w:color w:val="000000"/>
                <w:kern w:val="0"/>
                <w:sz w:val="11"/>
                <w:szCs w:val="11"/>
                <w:lang w:bidi="ar"/>
              </w:rPr>
            </w:pPr>
            <w:r>
              <w:rPr>
                <w:rFonts w:eastAsia="黑体"/>
                <w:b/>
                <w:bCs/>
                <w:color w:val="000000"/>
                <w:kern w:val="0"/>
                <w:sz w:val="11"/>
                <w:szCs w:val="11"/>
                <w:lang w:bidi="ar"/>
              </w:rPr>
              <w:t>序号</w:t>
            </w:r>
          </w:p>
        </w:tc>
        <w:tc>
          <w:tcPr>
            <w:tcW w:w="2899" w:type="dxa"/>
            <w:tcBorders>
              <w:tl2br w:val="nil"/>
              <w:tr2bl w:val="nil"/>
            </w:tcBorders>
            <w:vAlign w:val="center"/>
          </w:tcPr>
          <w:p>
            <w:pPr>
              <w:widowControl/>
              <w:jc w:val="center"/>
              <w:textAlignment w:val="center"/>
              <w:rPr>
                <w:rFonts w:eastAsia="黑体"/>
                <w:b/>
                <w:bCs/>
                <w:color w:val="000000"/>
                <w:kern w:val="0"/>
                <w:sz w:val="11"/>
                <w:szCs w:val="11"/>
                <w:lang w:bidi="ar"/>
              </w:rPr>
            </w:pPr>
            <w:r>
              <w:rPr>
                <w:rFonts w:eastAsia="黑体"/>
                <w:b/>
                <w:bCs/>
                <w:color w:val="000000"/>
                <w:kern w:val="0"/>
                <w:sz w:val="11"/>
                <w:szCs w:val="11"/>
                <w:lang w:bidi="ar"/>
              </w:rPr>
              <w:t>养殖场名称</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振山养殖场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55</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安红建猪场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109</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张东阁</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吉吉养殖场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56</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保定宏宣畜牧养殖场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110</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李会明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徐水县田增元养殖场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57</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李永伟猪场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111</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李会强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徐水县泽辰生猪专业合作社</w:t>
            </w:r>
          </w:p>
        </w:tc>
        <w:tc>
          <w:tcPr>
            <w:tcW w:w="481" w:type="dxa"/>
            <w:vAlign w:val="center"/>
          </w:tcPr>
          <w:p>
            <w:pPr>
              <w:widowControl/>
              <w:jc w:val="center"/>
              <w:textAlignment w:val="center"/>
              <w:rPr>
                <w:rFonts w:eastAsia="黑体"/>
                <w:sz w:val="11"/>
                <w:szCs w:val="11"/>
              </w:rPr>
            </w:pPr>
            <w:r>
              <w:rPr>
                <w:color w:val="000000"/>
                <w:kern w:val="0"/>
                <w:sz w:val="11"/>
                <w:szCs w:val="11"/>
                <w:lang w:bidi="ar"/>
              </w:rPr>
              <w:t>58</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烽运养殖场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112</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李志坡</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5</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保定市徐水区继明养殖有限公司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59</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闫小秃羊场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113</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王二茹猪场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6</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家旺养殖场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60</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赵宽成鸡场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114</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郑宝玉猪场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7</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刘银峰养殖场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61</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王赶良猪场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115</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刘学东</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8</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王海辉养殖场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62</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王雄光猪场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116</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徐水县宝磊奶牛专业合作社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9</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王景如养殖场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63</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保定市徐水区禾鑫奶牛农民专业合作社</w:t>
            </w:r>
          </w:p>
        </w:tc>
        <w:tc>
          <w:tcPr>
            <w:tcW w:w="481" w:type="dxa"/>
            <w:vAlign w:val="center"/>
          </w:tcPr>
          <w:p>
            <w:pPr>
              <w:widowControl/>
              <w:jc w:val="center"/>
              <w:textAlignment w:val="center"/>
              <w:rPr>
                <w:rFonts w:eastAsia="黑体"/>
                <w:sz w:val="11"/>
                <w:szCs w:val="11"/>
              </w:rPr>
            </w:pPr>
            <w:r>
              <w:rPr>
                <w:color w:val="000000"/>
                <w:kern w:val="0"/>
                <w:sz w:val="11"/>
                <w:szCs w:val="11"/>
                <w:lang w:bidi="ar"/>
              </w:rPr>
              <w:t>117</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绿康养殖场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10</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宝忠养殖场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64</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保定孟扬养殖有限公司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118</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张小江</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11</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王顺刚</w:t>
            </w:r>
          </w:p>
        </w:tc>
        <w:tc>
          <w:tcPr>
            <w:tcW w:w="481" w:type="dxa"/>
            <w:vAlign w:val="center"/>
          </w:tcPr>
          <w:p>
            <w:pPr>
              <w:widowControl/>
              <w:jc w:val="center"/>
              <w:textAlignment w:val="center"/>
              <w:rPr>
                <w:rFonts w:eastAsia="黑体"/>
                <w:sz w:val="11"/>
                <w:szCs w:val="11"/>
              </w:rPr>
            </w:pPr>
            <w:r>
              <w:rPr>
                <w:color w:val="000000"/>
                <w:kern w:val="0"/>
                <w:sz w:val="11"/>
                <w:szCs w:val="11"/>
                <w:lang w:bidi="ar"/>
              </w:rPr>
              <w:t>65</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徐水县华艺奶牛专业合作社</w:t>
            </w:r>
          </w:p>
        </w:tc>
        <w:tc>
          <w:tcPr>
            <w:tcW w:w="481" w:type="dxa"/>
            <w:vAlign w:val="center"/>
          </w:tcPr>
          <w:p>
            <w:pPr>
              <w:widowControl/>
              <w:jc w:val="center"/>
              <w:textAlignment w:val="center"/>
              <w:rPr>
                <w:rFonts w:eastAsia="黑体"/>
                <w:sz w:val="11"/>
                <w:szCs w:val="11"/>
              </w:rPr>
            </w:pPr>
            <w:r>
              <w:rPr>
                <w:color w:val="000000"/>
                <w:kern w:val="0"/>
                <w:sz w:val="11"/>
                <w:szCs w:val="11"/>
                <w:lang w:bidi="ar"/>
              </w:rPr>
              <w:t>119</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祖志强猪场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12</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王薪宇养殖场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66</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丰硕猪场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120</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柏继安养猪场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13</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吴建设</w:t>
            </w:r>
          </w:p>
        </w:tc>
        <w:tc>
          <w:tcPr>
            <w:tcW w:w="481" w:type="dxa"/>
            <w:vAlign w:val="center"/>
          </w:tcPr>
          <w:p>
            <w:pPr>
              <w:widowControl/>
              <w:jc w:val="center"/>
              <w:textAlignment w:val="center"/>
              <w:rPr>
                <w:rFonts w:eastAsia="黑体"/>
                <w:sz w:val="11"/>
                <w:szCs w:val="11"/>
              </w:rPr>
            </w:pPr>
            <w:r>
              <w:rPr>
                <w:color w:val="000000"/>
                <w:kern w:val="0"/>
                <w:sz w:val="11"/>
                <w:szCs w:val="11"/>
                <w:lang w:bidi="ar"/>
              </w:rPr>
              <w:t>67</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孟君猪场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121</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陈金贵</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14</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徐水区顺良养殖场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68</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坡子养猪场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122</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顺元家庭农场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15</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徐水区昱润家庭养殖场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69</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民会猪场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123</w:t>
            </w:r>
          </w:p>
        </w:tc>
        <w:tc>
          <w:tcPr>
            <w:tcW w:w="2899" w:type="dxa"/>
            <w:vAlign w:val="center"/>
          </w:tcPr>
          <w:p>
            <w:pPr>
              <w:widowControl/>
              <w:jc w:val="center"/>
              <w:textAlignment w:val="center"/>
              <w:rPr>
                <w:rFonts w:eastAsia="黑体"/>
                <w:sz w:val="11"/>
                <w:szCs w:val="11"/>
              </w:rPr>
            </w:pPr>
            <w:r>
              <w:rPr>
                <w:rFonts w:eastAsia="黑体"/>
                <w:sz w:val="11"/>
                <w:szCs w:val="11"/>
              </w:rPr>
              <w:t>保定兴芮农牧发展有限公司商品代蛋鸡场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16</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李东养殖场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70</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保定市徐水区五兴奶牛农民专业合作社</w:t>
            </w:r>
          </w:p>
        </w:tc>
        <w:tc>
          <w:tcPr>
            <w:tcW w:w="481" w:type="dxa"/>
            <w:vAlign w:val="center"/>
          </w:tcPr>
          <w:p>
            <w:pPr>
              <w:widowControl/>
              <w:jc w:val="center"/>
              <w:textAlignment w:val="center"/>
              <w:rPr>
                <w:rFonts w:eastAsia="黑体"/>
                <w:sz w:val="11"/>
                <w:szCs w:val="11"/>
              </w:rPr>
            </w:pPr>
            <w:r>
              <w:rPr>
                <w:color w:val="000000"/>
                <w:kern w:val="0"/>
                <w:sz w:val="11"/>
                <w:szCs w:val="11"/>
                <w:lang w:bidi="ar"/>
              </w:rPr>
              <w:t>124</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李大军</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17</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周连生</w:t>
            </w:r>
          </w:p>
        </w:tc>
        <w:tc>
          <w:tcPr>
            <w:tcW w:w="481" w:type="dxa"/>
            <w:vAlign w:val="center"/>
          </w:tcPr>
          <w:p>
            <w:pPr>
              <w:widowControl/>
              <w:jc w:val="center"/>
              <w:textAlignment w:val="center"/>
              <w:rPr>
                <w:rFonts w:eastAsia="黑体"/>
                <w:sz w:val="11"/>
                <w:szCs w:val="11"/>
              </w:rPr>
            </w:pPr>
            <w:r>
              <w:rPr>
                <w:color w:val="000000"/>
                <w:kern w:val="0"/>
                <w:sz w:val="11"/>
                <w:szCs w:val="11"/>
                <w:lang w:bidi="ar"/>
              </w:rPr>
              <w:t>71</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民水猪场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125</w:t>
            </w:r>
          </w:p>
        </w:tc>
        <w:tc>
          <w:tcPr>
            <w:tcW w:w="2899" w:type="dxa"/>
            <w:vAlign w:val="center"/>
          </w:tcPr>
          <w:p>
            <w:pPr>
              <w:widowControl/>
              <w:jc w:val="center"/>
              <w:textAlignment w:val="center"/>
              <w:rPr>
                <w:rFonts w:eastAsia="黑体"/>
                <w:sz w:val="11"/>
                <w:szCs w:val="11"/>
              </w:rPr>
            </w:pPr>
            <w:r>
              <w:rPr>
                <w:rFonts w:eastAsia="黑体"/>
                <w:sz w:val="11"/>
                <w:szCs w:val="11"/>
              </w:rPr>
              <w:t>保定兴芮农牧发展有限公司</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18</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浩胜旺达</w:t>
            </w:r>
          </w:p>
        </w:tc>
        <w:tc>
          <w:tcPr>
            <w:tcW w:w="481" w:type="dxa"/>
            <w:vAlign w:val="center"/>
          </w:tcPr>
          <w:p>
            <w:pPr>
              <w:widowControl/>
              <w:jc w:val="center"/>
              <w:textAlignment w:val="center"/>
              <w:rPr>
                <w:rFonts w:eastAsia="黑体"/>
                <w:sz w:val="11"/>
                <w:szCs w:val="11"/>
              </w:rPr>
            </w:pPr>
            <w:r>
              <w:rPr>
                <w:color w:val="000000"/>
                <w:kern w:val="0"/>
                <w:sz w:val="11"/>
                <w:szCs w:val="11"/>
                <w:lang w:bidi="ar"/>
              </w:rPr>
              <w:t>72</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崔广汉</w:t>
            </w:r>
          </w:p>
        </w:tc>
        <w:tc>
          <w:tcPr>
            <w:tcW w:w="481" w:type="dxa"/>
            <w:vAlign w:val="center"/>
          </w:tcPr>
          <w:p>
            <w:pPr>
              <w:widowControl/>
              <w:jc w:val="center"/>
              <w:textAlignment w:val="center"/>
              <w:rPr>
                <w:rFonts w:eastAsia="黑体"/>
                <w:sz w:val="11"/>
                <w:szCs w:val="11"/>
              </w:rPr>
            </w:pPr>
            <w:r>
              <w:rPr>
                <w:color w:val="000000"/>
                <w:kern w:val="0"/>
                <w:sz w:val="11"/>
                <w:szCs w:val="11"/>
                <w:lang w:bidi="ar"/>
              </w:rPr>
              <w:t>126</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徐水县继文奶牛养殖场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19</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华杨饲养场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73</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崔广学猪场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127</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马江</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20</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佳鑫养殖场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74</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崔海迎</w:t>
            </w:r>
          </w:p>
        </w:tc>
        <w:tc>
          <w:tcPr>
            <w:tcW w:w="481" w:type="dxa"/>
            <w:vAlign w:val="center"/>
          </w:tcPr>
          <w:p>
            <w:pPr>
              <w:widowControl/>
              <w:jc w:val="center"/>
              <w:textAlignment w:val="center"/>
              <w:rPr>
                <w:rFonts w:eastAsia="黑体"/>
                <w:sz w:val="11"/>
                <w:szCs w:val="11"/>
              </w:rPr>
            </w:pPr>
            <w:r>
              <w:rPr>
                <w:color w:val="000000"/>
                <w:kern w:val="0"/>
                <w:sz w:val="11"/>
                <w:szCs w:val="11"/>
                <w:lang w:bidi="ar"/>
              </w:rPr>
              <w:t>128</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田江武</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21</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瑞兴养殖场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75</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徐水俊龙养殖有限公司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129</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徐水县兴盛奶牛专业合作社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22</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李俊英养殖场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76</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保定百丰养殖有限公司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130</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贾同振</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23</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瑞海养殖场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77</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韩保国</w:t>
            </w:r>
          </w:p>
        </w:tc>
        <w:tc>
          <w:tcPr>
            <w:tcW w:w="481" w:type="dxa"/>
            <w:vAlign w:val="center"/>
          </w:tcPr>
          <w:p>
            <w:pPr>
              <w:widowControl/>
              <w:jc w:val="center"/>
              <w:textAlignment w:val="center"/>
              <w:rPr>
                <w:rFonts w:eastAsia="黑体"/>
                <w:sz w:val="11"/>
                <w:szCs w:val="11"/>
              </w:rPr>
            </w:pPr>
            <w:r>
              <w:rPr>
                <w:color w:val="000000"/>
                <w:kern w:val="0"/>
                <w:sz w:val="11"/>
                <w:szCs w:val="11"/>
                <w:lang w:bidi="ar"/>
              </w:rPr>
              <w:t>131</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冯俊山</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24</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徐水县章雨养殖场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78</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霍磊</w:t>
            </w:r>
          </w:p>
        </w:tc>
        <w:tc>
          <w:tcPr>
            <w:tcW w:w="481" w:type="dxa"/>
            <w:vAlign w:val="center"/>
          </w:tcPr>
          <w:p>
            <w:pPr>
              <w:widowControl/>
              <w:jc w:val="center"/>
              <w:textAlignment w:val="center"/>
              <w:rPr>
                <w:rFonts w:eastAsia="黑体"/>
                <w:sz w:val="11"/>
                <w:szCs w:val="11"/>
              </w:rPr>
            </w:pPr>
            <w:r>
              <w:rPr>
                <w:color w:val="000000"/>
                <w:kern w:val="0"/>
                <w:sz w:val="11"/>
                <w:szCs w:val="11"/>
                <w:lang w:bidi="ar"/>
              </w:rPr>
              <w:t>132</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陆永明</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25</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徐水县中义养殖场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79</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李卜</w:t>
            </w:r>
          </w:p>
        </w:tc>
        <w:tc>
          <w:tcPr>
            <w:tcW w:w="481" w:type="dxa"/>
            <w:vAlign w:val="center"/>
          </w:tcPr>
          <w:p>
            <w:pPr>
              <w:widowControl/>
              <w:jc w:val="center"/>
              <w:textAlignment w:val="center"/>
              <w:rPr>
                <w:rFonts w:eastAsia="黑体"/>
                <w:sz w:val="11"/>
                <w:szCs w:val="11"/>
              </w:rPr>
            </w:pPr>
            <w:r>
              <w:rPr>
                <w:color w:val="000000"/>
                <w:kern w:val="0"/>
                <w:sz w:val="11"/>
                <w:szCs w:val="11"/>
                <w:lang w:bidi="ar"/>
              </w:rPr>
              <w:t>133</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陆振德</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26</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保定诚民养殖有限公司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80</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李二峰</w:t>
            </w:r>
          </w:p>
        </w:tc>
        <w:tc>
          <w:tcPr>
            <w:tcW w:w="481" w:type="dxa"/>
            <w:vAlign w:val="center"/>
          </w:tcPr>
          <w:p>
            <w:pPr>
              <w:widowControl/>
              <w:jc w:val="center"/>
              <w:textAlignment w:val="center"/>
              <w:rPr>
                <w:rFonts w:eastAsia="黑体"/>
                <w:sz w:val="11"/>
                <w:szCs w:val="11"/>
              </w:rPr>
            </w:pPr>
            <w:r>
              <w:rPr>
                <w:color w:val="000000"/>
                <w:kern w:val="0"/>
                <w:sz w:val="11"/>
                <w:szCs w:val="11"/>
                <w:lang w:bidi="ar"/>
              </w:rPr>
              <w:t>134</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河北涛涛家禽饲养有限公司</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27</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河北天正养殖有限公司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81</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李章壮</w:t>
            </w:r>
          </w:p>
        </w:tc>
        <w:tc>
          <w:tcPr>
            <w:tcW w:w="481" w:type="dxa"/>
            <w:vAlign w:val="center"/>
          </w:tcPr>
          <w:p>
            <w:pPr>
              <w:widowControl/>
              <w:jc w:val="center"/>
              <w:textAlignment w:val="center"/>
              <w:rPr>
                <w:rFonts w:eastAsia="黑体"/>
                <w:sz w:val="11"/>
                <w:szCs w:val="11"/>
              </w:rPr>
            </w:pPr>
            <w:r>
              <w:rPr>
                <w:color w:val="000000"/>
                <w:kern w:val="0"/>
                <w:sz w:val="11"/>
                <w:szCs w:val="11"/>
                <w:lang w:bidi="ar"/>
              </w:rPr>
              <w:t>135</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安长辉</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28</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保定市徐水区康丰养猪场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82</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魏宏亮</w:t>
            </w:r>
          </w:p>
        </w:tc>
        <w:tc>
          <w:tcPr>
            <w:tcW w:w="481" w:type="dxa"/>
            <w:vAlign w:val="center"/>
          </w:tcPr>
          <w:p>
            <w:pPr>
              <w:widowControl/>
              <w:jc w:val="center"/>
              <w:textAlignment w:val="center"/>
              <w:rPr>
                <w:rFonts w:eastAsia="黑体"/>
                <w:sz w:val="11"/>
                <w:szCs w:val="11"/>
              </w:rPr>
            </w:pPr>
            <w:r>
              <w:rPr>
                <w:color w:val="000000"/>
                <w:kern w:val="0"/>
                <w:sz w:val="11"/>
                <w:szCs w:val="11"/>
                <w:lang w:bidi="ar"/>
              </w:rPr>
              <w:t>136</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荣昌养猪场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29</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永利猪场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83</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魏军营</w:t>
            </w:r>
          </w:p>
        </w:tc>
        <w:tc>
          <w:tcPr>
            <w:tcW w:w="481" w:type="dxa"/>
            <w:vAlign w:val="center"/>
          </w:tcPr>
          <w:p>
            <w:pPr>
              <w:widowControl/>
              <w:jc w:val="center"/>
              <w:textAlignment w:val="center"/>
              <w:rPr>
                <w:rFonts w:eastAsia="黑体"/>
                <w:sz w:val="11"/>
                <w:szCs w:val="11"/>
              </w:rPr>
            </w:pPr>
            <w:r>
              <w:rPr>
                <w:color w:val="000000"/>
                <w:kern w:val="0"/>
                <w:sz w:val="11"/>
                <w:szCs w:val="11"/>
                <w:lang w:bidi="ar"/>
              </w:rPr>
              <w:t>137</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顺利养猪场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30</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王登平牛场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84</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徐水县建民养殖有限公司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138</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孙宗茂</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31</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徐水县泓森奶牛养殖有限公司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85</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徐水县绿安蒂养殖场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139</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保定市徐水区冀聚源奶牛农民专业合作社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32</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郭宝来猪场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86</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大午畜牧有限公司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140</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徐水县丽华奶牛专业合作社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33</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徐水县双亚奶牛养殖场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87</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新兴养猪场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141</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保定市徐水区天晨饲养场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34</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保定圣美奶牛专业合作业</w:t>
            </w:r>
          </w:p>
        </w:tc>
        <w:tc>
          <w:tcPr>
            <w:tcW w:w="481" w:type="dxa"/>
            <w:vAlign w:val="center"/>
          </w:tcPr>
          <w:p>
            <w:pPr>
              <w:widowControl/>
              <w:jc w:val="center"/>
              <w:textAlignment w:val="center"/>
              <w:rPr>
                <w:rFonts w:eastAsia="黑体"/>
                <w:sz w:val="11"/>
                <w:szCs w:val="11"/>
              </w:rPr>
            </w:pPr>
            <w:r>
              <w:rPr>
                <w:color w:val="000000"/>
                <w:kern w:val="0"/>
                <w:sz w:val="11"/>
                <w:szCs w:val="11"/>
                <w:lang w:bidi="ar"/>
              </w:rPr>
              <w:t>88</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正旺养殖场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142</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保定徐水区天晨养殖场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35</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保定洲赛奶牛养殖有限责任公司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89</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张金来</w:t>
            </w:r>
          </w:p>
        </w:tc>
        <w:tc>
          <w:tcPr>
            <w:tcW w:w="481" w:type="dxa"/>
            <w:vAlign w:val="center"/>
          </w:tcPr>
          <w:p>
            <w:pPr>
              <w:widowControl/>
              <w:jc w:val="center"/>
              <w:textAlignment w:val="center"/>
              <w:rPr>
                <w:rFonts w:eastAsia="黑体"/>
                <w:sz w:val="11"/>
                <w:szCs w:val="11"/>
              </w:rPr>
            </w:pPr>
            <w:r>
              <w:rPr>
                <w:color w:val="000000"/>
                <w:kern w:val="0"/>
                <w:sz w:val="11"/>
                <w:szCs w:val="11"/>
                <w:lang w:bidi="ar"/>
              </w:rPr>
              <w:t>143</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王赛养殖场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36</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李元猪场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90</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保定康泽养殖有限公司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144</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雪峰养猪场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37</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刘焕猪场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91</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保定市三合奶牛农民专业合作社</w:t>
            </w:r>
          </w:p>
        </w:tc>
        <w:tc>
          <w:tcPr>
            <w:tcW w:w="481" w:type="dxa"/>
            <w:vAlign w:val="center"/>
          </w:tcPr>
          <w:p>
            <w:pPr>
              <w:widowControl/>
              <w:jc w:val="center"/>
              <w:textAlignment w:val="center"/>
              <w:rPr>
                <w:rFonts w:eastAsia="黑体"/>
                <w:sz w:val="11"/>
                <w:szCs w:val="11"/>
              </w:rPr>
            </w:pPr>
            <w:r>
              <w:rPr>
                <w:color w:val="000000"/>
                <w:kern w:val="0"/>
                <w:sz w:val="11"/>
                <w:szCs w:val="11"/>
                <w:lang w:bidi="ar"/>
              </w:rPr>
              <w:t>145</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保定韦氏农牧有限责任公司</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38</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秦宝利猪场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92</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金泽猪场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146</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西凡第一猪场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39</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于连军猪场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93</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腾达养猪场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147</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徐水县桂合奶牛专业合作社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40</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苑宝忠猪场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94</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保定千秋和谐奶牛专业合作社</w:t>
            </w:r>
          </w:p>
        </w:tc>
        <w:tc>
          <w:tcPr>
            <w:tcW w:w="481" w:type="dxa"/>
            <w:vAlign w:val="center"/>
          </w:tcPr>
          <w:p>
            <w:pPr>
              <w:widowControl/>
              <w:jc w:val="center"/>
              <w:textAlignment w:val="center"/>
              <w:rPr>
                <w:rFonts w:eastAsia="黑体"/>
                <w:sz w:val="11"/>
                <w:szCs w:val="11"/>
              </w:rPr>
            </w:pPr>
            <w:r>
              <w:rPr>
                <w:color w:val="000000"/>
                <w:kern w:val="0"/>
                <w:sz w:val="11"/>
                <w:szCs w:val="11"/>
                <w:lang w:bidi="ar"/>
              </w:rPr>
              <w:t>148</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保定市徐水区进田家庭农场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41</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苑丽清猪场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95</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刘保江</w:t>
            </w:r>
          </w:p>
        </w:tc>
        <w:tc>
          <w:tcPr>
            <w:tcW w:w="481" w:type="dxa"/>
            <w:vAlign w:val="center"/>
          </w:tcPr>
          <w:p>
            <w:pPr>
              <w:widowControl/>
              <w:jc w:val="center"/>
              <w:textAlignment w:val="center"/>
              <w:rPr>
                <w:rFonts w:eastAsia="黑体"/>
                <w:sz w:val="11"/>
                <w:szCs w:val="11"/>
              </w:rPr>
            </w:pPr>
            <w:r>
              <w:rPr>
                <w:color w:val="000000"/>
                <w:kern w:val="0"/>
                <w:sz w:val="11"/>
                <w:szCs w:val="11"/>
                <w:lang w:bidi="ar"/>
              </w:rPr>
              <w:t>149</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建强猪场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42</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徐水县利农奶牛专业合作社</w:t>
            </w:r>
          </w:p>
        </w:tc>
        <w:tc>
          <w:tcPr>
            <w:tcW w:w="481" w:type="dxa"/>
            <w:vAlign w:val="center"/>
          </w:tcPr>
          <w:p>
            <w:pPr>
              <w:widowControl/>
              <w:jc w:val="center"/>
              <w:textAlignment w:val="center"/>
              <w:rPr>
                <w:rFonts w:eastAsia="黑体"/>
                <w:sz w:val="11"/>
                <w:szCs w:val="11"/>
              </w:rPr>
            </w:pPr>
            <w:r>
              <w:rPr>
                <w:color w:val="000000"/>
                <w:kern w:val="0"/>
                <w:sz w:val="11"/>
                <w:szCs w:val="11"/>
                <w:lang w:bidi="ar"/>
              </w:rPr>
              <w:t>96</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保定市申友养殖有限公司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150</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新农养殖场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43</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保定玉洁农牧有限公司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97</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崔振岭</w:t>
            </w:r>
          </w:p>
        </w:tc>
        <w:tc>
          <w:tcPr>
            <w:tcW w:w="481" w:type="dxa"/>
            <w:vAlign w:val="center"/>
          </w:tcPr>
          <w:p>
            <w:pPr>
              <w:widowControl/>
              <w:jc w:val="center"/>
              <w:textAlignment w:val="center"/>
              <w:rPr>
                <w:rFonts w:eastAsia="黑体"/>
                <w:sz w:val="11"/>
                <w:szCs w:val="11"/>
              </w:rPr>
            </w:pPr>
            <w:r>
              <w:rPr>
                <w:color w:val="000000"/>
                <w:kern w:val="0"/>
                <w:sz w:val="11"/>
                <w:szCs w:val="11"/>
                <w:lang w:bidi="ar"/>
              </w:rPr>
              <w:t>151</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兴华养殖场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44</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汤山河鸡场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98</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旺源猪场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152</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保定市徐水区古镇良种猪场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45</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田磊鸡场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99</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于海峰</w:t>
            </w:r>
          </w:p>
        </w:tc>
        <w:tc>
          <w:tcPr>
            <w:tcW w:w="481" w:type="dxa"/>
            <w:vAlign w:val="center"/>
          </w:tcPr>
          <w:p>
            <w:pPr>
              <w:widowControl/>
              <w:jc w:val="center"/>
              <w:textAlignment w:val="center"/>
              <w:rPr>
                <w:rFonts w:eastAsia="黑体"/>
                <w:sz w:val="11"/>
                <w:szCs w:val="11"/>
              </w:rPr>
            </w:pPr>
            <w:r>
              <w:rPr>
                <w:color w:val="000000"/>
                <w:kern w:val="0"/>
                <w:sz w:val="11"/>
                <w:szCs w:val="11"/>
                <w:lang w:bidi="ar"/>
              </w:rPr>
              <w:t>153</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徐水县龙源奶牛专业合作社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46</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田振忠鸡场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100</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新瑞德养殖场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154</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保定市徐水区军英养殖场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47</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朱大林猪场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101</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青霞养猪场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155</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姜建申猪场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48</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保定市海通奶牛养殖场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102</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王占军猪场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156</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洪义养殖场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49</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保定市安安生态农业发展有限公司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103</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韩顺堂</w:t>
            </w:r>
          </w:p>
        </w:tc>
        <w:tc>
          <w:tcPr>
            <w:tcW w:w="481" w:type="dxa"/>
            <w:vAlign w:val="center"/>
          </w:tcPr>
          <w:p>
            <w:pPr>
              <w:widowControl/>
              <w:jc w:val="center"/>
              <w:textAlignment w:val="center"/>
              <w:rPr>
                <w:rFonts w:eastAsia="黑体"/>
                <w:sz w:val="11"/>
                <w:szCs w:val="11"/>
              </w:rPr>
            </w:pPr>
            <w:r>
              <w:rPr>
                <w:color w:val="000000"/>
                <w:kern w:val="0"/>
                <w:sz w:val="11"/>
                <w:szCs w:val="11"/>
                <w:lang w:bidi="ar"/>
              </w:rPr>
              <w:t>157</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刘金峰鸡场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50</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陈小磊猪场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104</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刘德志猪场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158</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保定市徐水区保刚奶牛农民专业合作社</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51</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赵宝义鸡场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105</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崔连中</w:t>
            </w:r>
          </w:p>
        </w:tc>
        <w:tc>
          <w:tcPr>
            <w:tcW w:w="481" w:type="dxa"/>
            <w:vAlign w:val="center"/>
          </w:tcPr>
          <w:p>
            <w:pPr>
              <w:widowControl/>
              <w:jc w:val="center"/>
              <w:textAlignment w:val="center"/>
              <w:rPr>
                <w:rFonts w:eastAsia="黑体"/>
                <w:sz w:val="11"/>
                <w:szCs w:val="11"/>
              </w:rPr>
            </w:pPr>
            <w:r>
              <w:rPr>
                <w:color w:val="000000"/>
                <w:kern w:val="0"/>
                <w:sz w:val="11"/>
                <w:szCs w:val="11"/>
                <w:lang w:bidi="ar"/>
              </w:rPr>
              <w:t>159</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高艳国养猪场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52</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赵树新猪场</w:t>
            </w:r>
          </w:p>
        </w:tc>
        <w:tc>
          <w:tcPr>
            <w:tcW w:w="481" w:type="dxa"/>
            <w:vAlign w:val="center"/>
          </w:tcPr>
          <w:p>
            <w:pPr>
              <w:widowControl/>
              <w:jc w:val="center"/>
              <w:textAlignment w:val="center"/>
              <w:rPr>
                <w:rFonts w:eastAsia="黑体"/>
                <w:sz w:val="11"/>
                <w:szCs w:val="11"/>
              </w:rPr>
            </w:pPr>
            <w:r>
              <w:rPr>
                <w:color w:val="000000"/>
                <w:kern w:val="0"/>
                <w:sz w:val="11"/>
                <w:szCs w:val="11"/>
                <w:lang w:bidi="ar"/>
              </w:rPr>
              <w:t>106</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李占峰</w:t>
            </w:r>
          </w:p>
        </w:tc>
        <w:tc>
          <w:tcPr>
            <w:tcW w:w="481" w:type="dxa"/>
            <w:vAlign w:val="center"/>
          </w:tcPr>
          <w:p>
            <w:pPr>
              <w:widowControl/>
              <w:jc w:val="center"/>
              <w:textAlignment w:val="center"/>
              <w:rPr>
                <w:rFonts w:eastAsia="黑体"/>
                <w:sz w:val="11"/>
                <w:szCs w:val="11"/>
              </w:rPr>
            </w:pPr>
            <w:r>
              <w:rPr>
                <w:color w:val="000000"/>
                <w:kern w:val="0"/>
                <w:sz w:val="11"/>
                <w:szCs w:val="11"/>
                <w:lang w:bidi="ar"/>
              </w:rPr>
              <w:t>160</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保市徐水区顺发养殖场</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53</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保定腾佳养殖有限公司</w:t>
            </w:r>
          </w:p>
        </w:tc>
        <w:tc>
          <w:tcPr>
            <w:tcW w:w="481" w:type="dxa"/>
            <w:vAlign w:val="center"/>
          </w:tcPr>
          <w:p>
            <w:pPr>
              <w:widowControl/>
              <w:jc w:val="center"/>
              <w:textAlignment w:val="center"/>
              <w:rPr>
                <w:rFonts w:eastAsia="黑体"/>
                <w:sz w:val="11"/>
                <w:szCs w:val="11"/>
              </w:rPr>
            </w:pPr>
            <w:r>
              <w:rPr>
                <w:color w:val="000000"/>
                <w:kern w:val="0"/>
                <w:sz w:val="11"/>
                <w:szCs w:val="11"/>
                <w:lang w:bidi="ar"/>
              </w:rPr>
              <w:t>107</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李正</w:t>
            </w:r>
          </w:p>
        </w:tc>
        <w:tc>
          <w:tcPr>
            <w:tcW w:w="481" w:type="dxa"/>
            <w:vAlign w:val="center"/>
          </w:tcPr>
          <w:p>
            <w:pPr>
              <w:widowControl/>
              <w:jc w:val="center"/>
              <w:textAlignment w:val="center"/>
              <w:rPr>
                <w:rFonts w:eastAsia="黑体"/>
                <w:sz w:val="11"/>
                <w:szCs w:val="11"/>
              </w:rPr>
            </w:pPr>
            <w:r>
              <w:rPr>
                <w:color w:val="000000"/>
                <w:kern w:val="0"/>
                <w:sz w:val="11"/>
                <w:szCs w:val="11"/>
                <w:lang w:bidi="ar"/>
              </w:rPr>
              <w:t>161</w:t>
            </w:r>
          </w:p>
        </w:tc>
        <w:tc>
          <w:tcPr>
            <w:tcW w:w="2899" w:type="dxa"/>
            <w:vAlign w:val="center"/>
          </w:tcPr>
          <w:p>
            <w:pPr>
              <w:widowControl/>
              <w:jc w:val="center"/>
              <w:textAlignment w:val="center"/>
              <w:rPr>
                <w:rFonts w:eastAsia="黑体"/>
                <w:sz w:val="11"/>
                <w:szCs w:val="11"/>
              </w:rPr>
            </w:pPr>
            <w:r>
              <w:rPr>
                <w:rFonts w:eastAsia="黑体"/>
                <w:color w:val="000000"/>
                <w:kern w:val="0"/>
                <w:sz w:val="11"/>
                <w:szCs w:val="11"/>
                <w:lang w:bidi="ar"/>
              </w:rPr>
              <w:t>徐水县宏盛养殖有限公司</w:t>
            </w:r>
          </w:p>
        </w:tc>
      </w:tr>
      <w:tr>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pPr>
              <w:widowControl/>
              <w:jc w:val="center"/>
              <w:textAlignment w:val="center"/>
              <w:rPr>
                <w:rFonts w:eastAsia="黑体"/>
                <w:sz w:val="11"/>
                <w:szCs w:val="11"/>
              </w:rPr>
            </w:pPr>
            <w:r>
              <w:rPr>
                <w:color w:val="000000"/>
                <w:kern w:val="0"/>
                <w:sz w:val="11"/>
                <w:szCs w:val="11"/>
                <w:lang w:bidi="ar"/>
              </w:rPr>
              <w:t>54</w:t>
            </w:r>
          </w:p>
        </w:tc>
        <w:tc>
          <w:tcPr>
            <w:tcW w:w="2052" w:type="dxa"/>
            <w:vAlign w:val="center"/>
          </w:tcPr>
          <w:p>
            <w:pPr>
              <w:widowControl/>
              <w:jc w:val="center"/>
              <w:textAlignment w:val="center"/>
              <w:rPr>
                <w:rFonts w:eastAsia="黑体"/>
                <w:sz w:val="11"/>
                <w:szCs w:val="11"/>
              </w:rPr>
            </w:pPr>
            <w:r>
              <w:rPr>
                <w:rFonts w:eastAsia="黑体"/>
                <w:color w:val="000000"/>
                <w:kern w:val="0"/>
                <w:sz w:val="11"/>
                <w:szCs w:val="11"/>
                <w:lang w:bidi="ar"/>
              </w:rPr>
              <w:t>徐水县昕牧养猪合作社</w:t>
            </w:r>
          </w:p>
        </w:tc>
        <w:tc>
          <w:tcPr>
            <w:tcW w:w="481" w:type="dxa"/>
            <w:vAlign w:val="center"/>
          </w:tcPr>
          <w:p>
            <w:pPr>
              <w:widowControl/>
              <w:jc w:val="center"/>
              <w:textAlignment w:val="center"/>
              <w:rPr>
                <w:rFonts w:eastAsia="黑体"/>
                <w:sz w:val="11"/>
                <w:szCs w:val="11"/>
              </w:rPr>
            </w:pPr>
            <w:r>
              <w:rPr>
                <w:color w:val="000000"/>
                <w:kern w:val="0"/>
                <w:sz w:val="11"/>
                <w:szCs w:val="11"/>
                <w:lang w:bidi="ar"/>
              </w:rPr>
              <w:t>108</w:t>
            </w:r>
          </w:p>
        </w:tc>
        <w:tc>
          <w:tcPr>
            <w:tcW w:w="2294" w:type="dxa"/>
            <w:vAlign w:val="center"/>
          </w:tcPr>
          <w:p>
            <w:pPr>
              <w:widowControl/>
              <w:jc w:val="center"/>
              <w:textAlignment w:val="center"/>
              <w:rPr>
                <w:rFonts w:eastAsia="黑体"/>
                <w:sz w:val="11"/>
                <w:szCs w:val="11"/>
              </w:rPr>
            </w:pPr>
            <w:r>
              <w:rPr>
                <w:rFonts w:eastAsia="黑体"/>
                <w:color w:val="000000"/>
                <w:kern w:val="0"/>
                <w:sz w:val="11"/>
                <w:szCs w:val="11"/>
                <w:lang w:bidi="ar"/>
              </w:rPr>
              <w:t>张建柱</w:t>
            </w:r>
          </w:p>
        </w:tc>
        <w:tc>
          <w:tcPr>
            <w:tcW w:w="481" w:type="dxa"/>
            <w:vAlign w:val="center"/>
          </w:tcPr>
          <w:p>
            <w:pPr>
              <w:widowControl/>
              <w:jc w:val="center"/>
              <w:textAlignment w:val="center"/>
              <w:rPr>
                <w:rFonts w:eastAsia="黑体"/>
                <w:sz w:val="11"/>
                <w:szCs w:val="11"/>
              </w:rPr>
            </w:pPr>
          </w:p>
        </w:tc>
        <w:tc>
          <w:tcPr>
            <w:tcW w:w="2899" w:type="dxa"/>
            <w:vAlign w:val="center"/>
          </w:tcPr>
          <w:p>
            <w:pPr>
              <w:widowControl/>
              <w:jc w:val="center"/>
              <w:textAlignment w:val="center"/>
              <w:rPr>
                <w:rFonts w:eastAsia="黑体"/>
                <w:sz w:val="11"/>
                <w:szCs w:val="11"/>
              </w:rPr>
            </w:pPr>
          </w:p>
        </w:tc>
      </w:tr>
    </w:tbl>
    <w:p>
      <w:pPr>
        <w:spacing w:line="360" w:lineRule="auto"/>
        <w:jc w:val="center"/>
        <w:rPr>
          <w:rFonts w:eastAsia="黑体"/>
          <w:sz w:val="28"/>
          <w:szCs w:val="28"/>
        </w:rPr>
      </w:pPr>
      <w:r>
        <w:rPr>
          <w:rFonts w:eastAsia="黑体"/>
          <w:sz w:val="28"/>
          <w:szCs w:val="28"/>
        </w:rPr>
        <w:t>附图4：规模化养殖场分布图</w:t>
      </w:r>
    </w:p>
    <w:p>
      <w:pPr>
        <w:spacing w:line="360" w:lineRule="auto"/>
        <w:jc w:val="center"/>
        <w:rPr>
          <w:rFonts w:eastAsia="黑体"/>
          <w:sz w:val="24"/>
        </w:rPr>
      </w:pPr>
    </w:p>
    <w:p>
      <w:pPr>
        <w:spacing w:line="360" w:lineRule="auto"/>
        <w:jc w:val="center"/>
        <w:rPr>
          <w:rFonts w:eastAsia="黑体"/>
          <w:sz w:val="24"/>
        </w:rPr>
        <w:sectPr>
          <w:pgSz w:w="23811" w:h="16838" w:orient="landscape"/>
          <w:pgMar w:top="1440" w:right="799" w:bottom="1440" w:left="1366" w:header="851" w:footer="283" w:gutter="0"/>
          <w:cols w:equalWidth="0" w:num="2">
            <w:col w:w="10610" w:space="425"/>
            <w:col w:w="10610"/>
          </w:cols>
          <w:docGrid w:type="lines" w:linePitch="312" w:charSpace="0"/>
        </w:sectPr>
      </w:pPr>
    </w:p>
    <w:p>
      <w:pPr>
        <w:spacing w:line="360" w:lineRule="auto"/>
        <w:jc w:val="center"/>
        <w:rPr>
          <w:rFonts w:eastAsia="黑体"/>
          <w:sz w:val="24"/>
        </w:rPr>
      </w:pPr>
      <w:r>
        <w:rPr>
          <w:rFonts w:eastAsia="黑体"/>
          <w:sz w:val="24"/>
        </w:rPr>
        <w:drawing>
          <wp:inline distT="0" distB="0" distL="114300" distR="114300">
            <wp:extent cx="7651115" cy="5051425"/>
            <wp:effectExtent l="28575" t="28575" r="35560" b="44450"/>
            <wp:docPr id="17" name="图片 17" descr="耕园林草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耕园林草分布图"/>
                    <pic:cNvPicPr>
                      <a:picLocks noChangeAspect="1"/>
                    </pic:cNvPicPr>
                  </pic:nvPicPr>
                  <pic:blipFill>
                    <a:blip r:embed="rId26"/>
                    <a:stretch>
                      <a:fillRect/>
                    </a:stretch>
                  </pic:blipFill>
                  <pic:spPr>
                    <a:xfrm>
                      <a:off x="0" y="0"/>
                      <a:ext cx="7651115" cy="5051425"/>
                    </a:xfrm>
                    <a:prstGeom prst="rect">
                      <a:avLst/>
                    </a:prstGeom>
                    <a:ln w="28575" cmpd="sng">
                      <a:solidFill>
                        <a:schemeClr val="tx1"/>
                      </a:solidFill>
                      <a:prstDash val="solid"/>
                    </a:ln>
                  </pic:spPr>
                </pic:pic>
              </a:graphicData>
            </a:graphic>
          </wp:inline>
        </w:drawing>
      </w:r>
    </w:p>
    <w:p>
      <w:pPr>
        <w:spacing w:line="360" w:lineRule="auto"/>
        <w:jc w:val="center"/>
        <w:rPr>
          <w:rFonts w:eastAsia="黑体"/>
          <w:sz w:val="28"/>
          <w:szCs w:val="28"/>
        </w:rPr>
        <w:sectPr>
          <w:pgSz w:w="16838" w:h="11906" w:orient="landscape"/>
          <w:pgMar w:top="1701" w:right="1701" w:bottom="1417" w:left="1417" w:header="851" w:footer="283" w:gutter="0"/>
          <w:cols w:space="720" w:num="1"/>
          <w:docGrid w:type="lines" w:linePitch="312" w:charSpace="0"/>
        </w:sectPr>
      </w:pPr>
      <w:r>
        <w:rPr>
          <w:rFonts w:eastAsia="黑体"/>
          <w:sz w:val="28"/>
          <w:szCs w:val="28"/>
        </w:rPr>
        <w:t>附图5：耕地、园地、林地、草地分布图</w:t>
      </w:r>
    </w:p>
    <w:p>
      <w:pPr>
        <w:pStyle w:val="4"/>
        <w:spacing w:before="319" w:after="319"/>
        <w:rPr>
          <w:rFonts w:ascii="Times New Roman" w:hAnsi="Times New Roman"/>
          <w:lang w:val="en-US"/>
        </w:rPr>
      </w:pPr>
      <w:bookmarkStart w:id="452" w:name="_Toc2260"/>
      <w:bookmarkStart w:id="453" w:name="_Toc16099"/>
      <w:bookmarkStart w:id="454" w:name="_Toc22767"/>
      <w:bookmarkStart w:id="455" w:name="_Toc14743"/>
      <w:r>
        <w:rPr>
          <w:rFonts w:ascii="Times New Roman" w:hAnsi="Times New Roman"/>
          <w:lang w:val="en-US"/>
        </w:rPr>
        <w:t>附件2：耕地、园地、林地、草地面积清单</w:t>
      </w:r>
      <w:bookmarkEnd w:id="452"/>
      <w:bookmarkEnd w:id="453"/>
      <w:bookmarkEnd w:id="454"/>
      <w:bookmarkEnd w:id="455"/>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074"/>
        <w:gridCol w:w="889"/>
        <w:gridCol w:w="975"/>
        <w:gridCol w:w="1029"/>
        <w:gridCol w:w="1061"/>
        <w:gridCol w:w="1125"/>
        <w:gridCol w:w="1039"/>
        <w:gridCol w:w="1018"/>
        <w:gridCol w:w="1028"/>
        <w:gridCol w:w="1018"/>
        <w:gridCol w:w="932"/>
        <w:gridCol w:w="1018"/>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Merge w:val="restart"/>
            <w:vAlign w:val="center"/>
          </w:tcPr>
          <w:p>
            <w:pPr>
              <w:jc w:val="center"/>
              <w:rPr>
                <w:rFonts w:eastAsia="黑体"/>
                <w:b/>
                <w:bCs/>
                <w:sz w:val="18"/>
                <w:szCs w:val="21"/>
              </w:rPr>
            </w:pPr>
            <w:r>
              <w:rPr>
                <w:rFonts w:eastAsia="黑体"/>
                <w:b/>
                <w:bCs/>
                <w:sz w:val="18"/>
                <w:szCs w:val="21"/>
              </w:rPr>
              <w:t>名称</w:t>
            </w:r>
          </w:p>
        </w:tc>
        <w:tc>
          <w:tcPr>
            <w:tcW w:w="1074" w:type="dxa"/>
            <w:vMerge w:val="restart"/>
            <w:vAlign w:val="center"/>
          </w:tcPr>
          <w:p>
            <w:pPr>
              <w:jc w:val="center"/>
              <w:rPr>
                <w:rFonts w:eastAsia="黑体"/>
                <w:b/>
                <w:bCs/>
                <w:sz w:val="18"/>
                <w:szCs w:val="21"/>
              </w:rPr>
            </w:pPr>
            <w:r>
              <w:rPr>
                <w:rFonts w:eastAsia="黑体"/>
                <w:b/>
                <w:bCs/>
                <w:sz w:val="18"/>
                <w:szCs w:val="21"/>
              </w:rPr>
              <w:t>代码</w:t>
            </w:r>
          </w:p>
        </w:tc>
        <w:tc>
          <w:tcPr>
            <w:tcW w:w="2893" w:type="dxa"/>
            <w:gridSpan w:val="3"/>
            <w:vAlign w:val="center"/>
          </w:tcPr>
          <w:p>
            <w:pPr>
              <w:jc w:val="center"/>
              <w:rPr>
                <w:rFonts w:eastAsia="黑体"/>
                <w:b/>
                <w:bCs/>
                <w:sz w:val="18"/>
                <w:szCs w:val="21"/>
              </w:rPr>
            </w:pPr>
            <w:r>
              <w:rPr>
                <w:rFonts w:eastAsia="黑体"/>
                <w:b/>
                <w:bCs/>
                <w:sz w:val="18"/>
                <w:szCs w:val="21"/>
              </w:rPr>
              <w:t>耕地（01） 单位：公顷</w:t>
            </w:r>
          </w:p>
        </w:tc>
        <w:tc>
          <w:tcPr>
            <w:tcW w:w="3225" w:type="dxa"/>
            <w:gridSpan w:val="3"/>
            <w:vAlign w:val="center"/>
          </w:tcPr>
          <w:p>
            <w:pPr>
              <w:jc w:val="center"/>
              <w:rPr>
                <w:rFonts w:eastAsia="黑体"/>
                <w:b/>
                <w:bCs/>
                <w:sz w:val="18"/>
                <w:szCs w:val="21"/>
              </w:rPr>
            </w:pPr>
            <w:r>
              <w:rPr>
                <w:rFonts w:eastAsia="黑体"/>
                <w:b/>
                <w:bCs/>
                <w:sz w:val="18"/>
                <w:szCs w:val="21"/>
              </w:rPr>
              <w:t>种植园用地（02） 单位：公顷</w:t>
            </w:r>
          </w:p>
        </w:tc>
        <w:tc>
          <w:tcPr>
            <w:tcW w:w="3064" w:type="dxa"/>
            <w:gridSpan w:val="3"/>
            <w:vAlign w:val="center"/>
          </w:tcPr>
          <w:p>
            <w:pPr>
              <w:jc w:val="center"/>
              <w:rPr>
                <w:rFonts w:eastAsia="黑体"/>
                <w:b/>
                <w:bCs/>
                <w:sz w:val="18"/>
                <w:szCs w:val="21"/>
              </w:rPr>
            </w:pPr>
            <w:r>
              <w:rPr>
                <w:rFonts w:eastAsia="黑体"/>
                <w:b/>
                <w:bCs/>
                <w:sz w:val="18"/>
                <w:szCs w:val="21"/>
              </w:rPr>
              <w:t>林地（03） 单位：公顷</w:t>
            </w:r>
          </w:p>
        </w:tc>
        <w:tc>
          <w:tcPr>
            <w:tcW w:w="2953" w:type="dxa"/>
            <w:gridSpan w:val="3"/>
            <w:vAlign w:val="center"/>
          </w:tcPr>
          <w:p>
            <w:pPr>
              <w:jc w:val="center"/>
              <w:rPr>
                <w:rFonts w:eastAsia="黑体"/>
                <w:b/>
                <w:bCs/>
                <w:sz w:val="18"/>
                <w:szCs w:val="21"/>
              </w:rPr>
            </w:pPr>
            <w:r>
              <w:rPr>
                <w:rFonts w:eastAsia="黑体"/>
                <w:b/>
                <w:bCs/>
                <w:sz w:val="18"/>
                <w:szCs w:val="21"/>
              </w:rPr>
              <w:t>草地（04） 单位：公顷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Merge w:val="continue"/>
            <w:vAlign w:val="center"/>
          </w:tcPr>
          <w:p>
            <w:pPr>
              <w:jc w:val="center"/>
              <w:rPr>
                <w:rFonts w:eastAsia="黑体"/>
                <w:b/>
                <w:bCs/>
                <w:sz w:val="18"/>
                <w:szCs w:val="21"/>
              </w:rPr>
            </w:pPr>
          </w:p>
        </w:tc>
        <w:tc>
          <w:tcPr>
            <w:tcW w:w="1074" w:type="dxa"/>
            <w:vMerge w:val="continue"/>
            <w:vAlign w:val="center"/>
          </w:tcPr>
          <w:p>
            <w:pPr>
              <w:jc w:val="center"/>
              <w:rPr>
                <w:rFonts w:eastAsia="黑体"/>
                <w:b/>
                <w:bCs/>
                <w:sz w:val="18"/>
                <w:szCs w:val="21"/>
              </w:rPr>
            </w:pPr>
          </w:p>
        </w:tc>
        <w:tc>
          <w:tcPr>
            <w:tcW w:w="889" w:type="dxa"/>
            <w:vAlign w:val="center"/>
          </w:tcPr>
          <w:p>
            <w:pPr>
              <w:jc w:val="center"/>
              <w:rPr>
                <w:rFonts w:eastAsia="黑体"/>
                <w:b/>
                <w:bCs/>
                <w:sz w:val="18"/>
                <w:szCs w:val="21"/>
              </w:rPr>
            </w:pPr>
            <w:r>
              <w:rPr>
                <w:rFonts w:eastAsia="黑体"/>
                <w:b/>
                <w:bCs/>
                <w:sz w:val="18"/>
                <w:szCs w:val="21"/>
              </w:rPr>
              <w:t>小计</w:t>
            </w:r>
          </w:p>
        </w:tc>
        <w:tc>
          <w:tcPr>
            <w:tcW w:w="975" w:type="dxa"/>
            <w:vAlign w:val="center"/>
          </w:tcPr>
          <w:p>
            <w:pPr>
              <w:jc w:val="center"/>
              <w:rPr>
                <w:rFonts w:eastAsia="黑体"/>
                <w:b/>
                <w:bCs/>
                <w:sz w:val="18"/>
                <w:szCs w:val="21"/>
              </w:rPr>
            </w:pPr>
            <w:r>
              <w:rPr>
                <w:rFonts w:eastAsia="黑体"/>
                <w:b/>
                <w:bCs/>
                <w:sz w:val="18"/>
                <w:szCs w:val="21"/>
              </w:rPr>
              <w:t>国家所有（G）</w:t>
            </w:r>
          </w:p>
        </w:tc>
        <w:tc>
          <w:tcPr>
            <w:tcW w:w="1029" w:type="dxa"/>
            <w:vAlign w:val="center"/>
          </w:tcPr>
          <w:p>
            <w:pPr>
              <w:jc w:val="center"/>
              <w:rPr>
                <w:rFonts w:eastAsia="黑体"/>
                <w:b/>
                <w:bCs/>
                <w:sz w:val="18"/>
                <w:szCs w:val="21"/>
              </w:rPr>
            </w:pPr>
            <w:r>
              <w:rPr>
                <w:rFonts w:eastAsia="黑体"/>
                <w:b/>
                <w:bCs/>
                <w:sz w:val="18"/>
                <w:szCs w:val="21"/>
              </w:rPr>
              <w:t>集体所有（J）</w:t>
            </w:r>
          </w:p>
        </w:tc>
        <w:tc>
          <w:tcPr>
            <w:tcW w:w="1061" w:type="dxa"/>
            <w:vAlign w:val="center"/>
          </w:tcPr>
          <w:p>
            <w:pPr>
              <w:jc w:val="center"/>
              <w:rPr>
                <w:rFonts w:eastAsia="黑体"/>
                <w:b/>
                <w:bCs/>
                <w:sz w:val="18"/>
                <w:szCs w:val="21"/>
              </w:rPr>
            </w:pPr>
            <w:r>
              <w:rPr>
                <w:rFonts w:eastAsia="黑体"/>
                <w:b/>
                <w:bCs/>
                <w:sz w:val="18"/>
                <w:szCs w:val="21"/>
              </w:rPr>
              <w:t>小计</w:t>
            </w:r>
          </w:p>
        </w:tc>
        <w:tc>
          <w:tcPr>
            <w:tcW w:w="1125" w:type="dxa"/>
            <w:vAlign w:val="center"/>
          </w:tcPr>
          <w:p>
            <w:pPr>
              <w:jc w:val="center"/>
              <w:rPr>
                <w:rFonts w:eastAsia="黑体"/>
                <w:b/>
                <w:bCs/>
                <w:sz w:val="18"/>
                <w:szCs w:val="21"/>
              </w:rPr>
            </w:pPr>
            <w:r>
              <w:rPr>
                <w:rFonts w:eastAsia="黑体"/>
                <w:b/>
                <w:bCs/>
                <w:sz w:val="18"/>
                <w:szCs w:val="21"/>
              </w:rPr>
              <w:t>国家所有（G）</w:t>
            </w:r>
          </w:p>
        </w:tc>
        <w:tc>
          <w:tcPr>
            <w:tcW w:w="1039" w:type="dxa"/>
            <w:vAlign w:val="center"/>
          </w:tcPr>
          <w:p>
            <w:pPr>
              <w:jc w:val="center"/>
              <w:rPr>
                <w:rFonts w:eastAsia="黑体"/>
                <w:b/>
                <w:bCs/>
                <w:sz w:val="18"/>
                <w:szCs w:val="21"/>
              </w:rPr>
            </w:pPr>
            <w:r>
              <w:rPr>
                <w:rFonts w:eastAsia="黑体"/>
                <w:b/>
                <w:bCs/>
                <w:sz w:val="18"/>
                <w:szCs w:val="21"/>
              </w:rPr>
              <w:t>集体所有（J）</w:t>
            </w:r>
          </w:p>
        </w:tc>
        <w:tc>
          <w:tcPr>
            <w:tcW w:w="1018" w:type="dxa"/>
            <w:vAlign w:val="center"/>
          </w:tcPr>
          <w:p>
            <w:pPr>
              <w:jc w:val="center"/>
              <w:rPr>
                <w:rFonts w:eastAsia="黑体"/>
                <w:b/>
                <w:bCs/>
                <w:sz w:val="18"/>
                <w:szCs w:val="21"/>
              </w:rPr>
            </w:pPr>
            <w:r>
              <w:rPr>
                <w:rFonts w:eastAsia="黑体"/>
                <w:b/>
                <w:bCs/>
                <w:sz w:val="18"/>
                <w:szCs w:val="21"/>
              </w:rPr>
              <w:t>小计</w:t>
            </w:r>
          </w:p>
        </w:tc>
        <w:tc>
          <w:tcPr>
            <w:tcW w:w="1028" w:type="dxa"/>
            <w:vAlign w:val="center"/>
          </w:tcPr>
          <w:p>
            <w:pPr>
              <w:jc w:val="center"/>
              <w:rPr>
                <w:rFonts w:eastAsia="黑体"/>
                <w:b/>
                <w:bCs/>
                <w:sz w:val="18"/>
                <w:szCs w:val="21"/>
              </w:rPr>
            </w:pPr>
            <w:r>
              <w:rPr>
                <w:rFonts w:eastAsia="黑体"/>
                <w:b/>
                <w:bCs/>
                <w:sz w:val="18"/>
                <w:szCs w:val="21"/>
              </w:rPr>
              <w:t>国家所有（G）</w:t>
            </w:r>
          </w:p>
        </w:tc>
        <w:tc>
          <w:tcPr>
            <w:tcW w:w="1018" w:type="dxa"/>
            <w:vAlign w:val="center"/>
          </w:tcPr>
          <w:p>
            <w:pPr>
              <w:jc w:val="center"/>
              <w:rPr>
                <w:rFonts w:eastAsia="黑体"/>
                <w:b/>
                <w:bCs/>
                <w:sz w:val="18"/>
                <w:szCs w:val="21"/>
              </w:rPr>
            </w:pPr>
            <w:r>
              <w:rPr>
                <w:rFonts w:eastAsia="黑体"/>
                <w:b/>
                <w:bCs/>
                <w:sz w:val="18"/>
                <w:szCs w:val="21"/>
              </w:rPr>
              <w:t>集体所有（J）</w:t>
            </w:r>
          </w:p>
        </w:tc>
        <w:tc>
          <w:tcPr>
            <w:tcW w:w="932" w:type="dxa"/>
            <w:vAlign w:val="center"/>
          </w:tcPr>
          <w:p>
            <w:pPr>
              <w:jc w:val="center"/>
              <w:rPr>
                <w:rFonts w:eastAsia="黑体"/>
                <w:b/>
                <w:bCs/>
                <w:sz w:val="18"/>
                <w:szCs w:val="21"/>
              </w:rPr>
            </w:pPr>
            <w:r>
              <w:rPr>
                <w:rFonts w:eastAsia="黑体"/>
                <w:b/>
                <w:bCs/>
                <w:sz w:val="18"/>
                <w:szCs w:val="21"/>
              </w:rPr>
              <w:t>小计</w:t>
            </w:r>
          </w:p>
        </w:tc>
        <w:tc>
          <w:tcPr>
            <w:tcW w:w="1018" w:type="dxa"/>
            <w:vAlign w:val="center"/>
          </w:tcPr>
          <w:p>
            <w:pPr>
              <w:jc w:val="center"/>
              <w:rPr>
                <w:rFonts w:eastAsia="黑体"/>
                <w:b/>
                <w:bCs/>
                <w:sz w:val="18"/>
                <w:szCs w:val="21"/>
              </w:rPr>
            </w:pPr>
            <w:r>
              <w:rPr>
                <w:rFonts w:eastAsia="黑体"/>
                <w:b/>
                <w:bCs/>
                <w:sz w:val="18"/>
                <w:szCs w:val="21"/>
              </w:rPr>
              <w:t>国家所有（G）</w:t>
            </w:r>
          </w:p>
        </w:tc>
        <w:tc>
          <w:tcPr>
            <w:tcW w:w="1003" w:type="dxa"/>
            <w:vAlign w:val="center"/>
          </w:tcPr>
          <w:p>
            <w:pPr>
              <w:jc w:val="center"/>
              <w:rPr>
                <w:rFonts w:eastAsia="黑体"/>
                <w:b/>
                <w:bCs/>
                <w:sz w:val="18"/>
                <w:szCs w:val="21"/>
              </w:rPr>
            </w:pPr>
            <w:r>
              <w:rPr>
                <w:rFonts w:eastAsia="黑体"/>
                <w:b/>
                <w:bCs/>
                <w:sz w:val="18"/>
                <w:szCs w:val="21"/>
              </w:rPr>
              <w:t>集体所有（J）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安肃镇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130609100</w:t>
            </w:r>
          </w:p>
        </w:tc>
        <w:tc>
          <w:tcPr>
            <w:tcW w:w="889" w:type="dxa"/>
            <w:vAlign w:val="center"/>
          </w:tcPr>
          <w:p>
            <w:pPr>
              <w:widowControl/>
              <w:jc w:val="center"/>
              <w:textAlignment w:val="center"/>
              <w:rPr>
                <w:rFonts w:eastAsia="黑体"/>
                <w:sz w:val="18"/>
                <w:szCs w:val="21"/>
              </w:rPr>
            </w:pPr>
            <w:r>
              <w:rPr>
                <w:color w:val="000000"/>
                <w:kern w:val="0"/>
                <w:sz w:val="18"/>
                <w:szCs w:val="18"/>
                <w:lang w:bidi="ar"/>
              </w:rPr>
              <w:t>3435.73</w:t>
            </w:r>
          </w:p>
        </w:tc>
        <w:tc>
          <w:tcPr>
            <w:tcW w:w="975" w:type="dxa"/>
            <w:vAlign w:val="center"/>
          </w:tcPr>
          <w:p>
            <w:pPr>
              <w:widowControl/>
              <w:jc w:val="center"/>
              <w:textAlignment w:val="center"/>
              <w:rPr>
                <w:rFonts w:eastAsia="黑体"/>
                <w:sz w:val="18"/>
                <w:szCs w:val="21"/>
              </w:rPr>
            </w:pPr>
            <w:r>
              <w:rPr>
                <w:color w:val="000000"/>
                <w:kern w:val="0"/>
                <w:sz w:val="18"/>
                <w:szCs w:val="18"/>
                <w:lang w:bidi="ar"/>
              </w:rPr>
              <w:t>107.49</w:t>
            </w:r>
          </w:p>
        </w:tc>
        <w:tc>
          <w:tcPr>
            <w:tcW w:w="1029" w:type="dxa"/>
            <w:vAlign w:val="center"/>
          </w:tcPr>
          <w:p>
            <w:pPr>
              <w:widowControl/>
              <w:jc w:val="center"/>
              <w:textAlignment w:val="center"/>
              <w:rPr>
                <w:rFonts w:eastAsia="黑体"/>
                <w:sz w:val="18"/>
                <w:szCs w:val="21"/>
              </w:rPr>
            </w:pPr>
            <w:r>
              <w:rPr>
                <w:color w:val="000000"/>
                <w:kern w:val="0"/>
                <w:sz w:val="18"/>
                <w:szCs w:val="18"/>
                <w:lang w:bidi="ar"/>
              </w:rPr>
              <w:t>3328.24</w:t>
            </w:r>
          </w:p>
        </w:tc>
        <w:tc>
          <w:tcPr>
            <w:tcW w:w="1061" w:type="dxa"/>
            <w:vAlign w:val="center"/>
          </w:tcPr>
          <w:p>
            <w:pPr>
              <w:widowControl/>
              <w:jc w:val="center"/>
              <w:textAlignment w:val="center"/>
              <w:rPr>
                <w:rFonts w:eastAsia="黑体"/>
                <w:sz w:val="18"/>
                <w:szCs w:val="21"/>
              </w:rPr>
            </w:pPr>
            <w:r>
              <w:rPr>
                <w:color w:val="000000"/>
                <w:kern w:val="0"/>
                <w:sz w:val="18"/>
                <w:szCs w:val="18"/>
                <w:lang w:bidi="ar"/>
              </w:rPr>
              <w:t>153.04</w:t>
            </w:r>
          </w:p>
        </w:tc>
        <w:tc>
          <w:tcPr>
            <w:tcW w:w="1125" w:type="dxa"/>
            <w:vAlign w:val="center"/>
          </w:tcPr>
          <w:p>
            <w:pPr>
              <w:widowControl/>
              <w:jc w:val="center"/>
              <w:textAlignment w:val="center"/>
              <w:rPr>
                <w:rFonts w:eastAsia="黑体"/>
                <w:sz w:val="18"/>
                <w:szCs w:val="21"/>
              </w:rPr>
            </w:pPr>
            <w:r>
              <w:rPr>
                <w:color w:val="000000"/>
                <w:kern w:val="0"/>
                <w:sz w:val="18"/>
                <w:szCs w:val="18"/>
                <w:lang w:bidi="ar"/>
              </w:rPr>
              <w:t>25.62</w:t>
            </w:r>
          </w:p>
        </w:tc>
        <w:tc>
          <w:tcPr>
            <w:tcW w:w="1039" w:type="dxa"/>
            <w:vAlign w:val="center"/>
          </w:tcPr>
          <w:p>
            <w:pPr>
              <w:widowControl/>
              <w:jc w:val="center"/>
              <w:textAlignment w:val="center"/>
              <w:rPr>
                <w:rFonts w:eastAsia="黑体"/>
                <w:sz w:val="18"/>
                <w:szCs w:val="21"/>
              </w:rPr>
            </w:pPr>
            <w:r>
              <w:rPr>
                <w:color w:val="000000"/>
                <w:kern w:val="0"/>
                <w:sz w:val="18"/>
                <w:szCs w:val="18"/>
                <w:lang w:bidi="ar"/>
              </w:rPr>
              <w:t>127.42</w:t>
            </w:r>
          </w:p>
        </w:tc>
        <w:tc>
          <w:tcPr>
            <w:tcW w:w="1018" w:type="dxa"/>
            <w:vAlign w:val="center"/>
          </w:tcPr>
          <w:p>
            <w:pPr>
              <w:widowControl/>
              <w:jc w:val="center"/>
              <w:textAlignment w:val="center"/>
              <w:rPr>
                <w:rFonts w:eastAsia="黑体"/>
                <w:sz w:val="18"/>
                <w:szCs w:val="21"/>
              </w:rPr>
            </w:pPr>
            <w:r>
              <w:rPr>
                <w:color w:val="000000"/>
                <w:kern w:val="0"/>
                <w:sz w:val="18"/>
                <w:szCs w:val="18"/>
                <w:lang w:bidi="ar"/>
              </w:rPr>
              <w:t>710.41</w:t>
            </w:r>
          </w:p>
        </w:tc>
        <w:tc>
          <w:tcPr>
            <w:tcW w:w="1028" w:type="dxa"/>
            <w:vAlign w:val="center"/>
          </w:tcPr>
          <w:p>
            <w:pPr>
              <w:widowControl/>
              <w:jc w:val="center"/>
              <w:textAlignment w:val="center"/>
              <w:rPr>
                <w:rFonts w:eastAsia="黑体"/>
                <w:sz w:val="18"/>
                <w:szCs w:val="21"/>
              </w:rPr>
            </w:pPr>
            <w:r>
              <w:rPr>
                <w:color w:val="000000"/>
                <w:kern w:val="0"/>
                <w:sz w:val="18"/>
                <w:szCs w:val="18"/>
                <w:lang w:bidi="ar"/>
              </w:rPr>
              <w:t>99.80</w:t>
            </w:r>
          </w:p>
        </w:tc>
        <w:tc>
          <w:tcPr>
            <w:tcW w:w="1018" w:type="dxa"/>
            <w:vAlign w:val="center"/>
          </w:tcPr>
          <w:p>
            <w:pPr>
              <w:widowControl/>
              <w:jc w:val="center"/>
              <w:textAlignment w:val="center"/>
              <w:rPr>
                <w:rFonts w:eastAsia="黑体"/>
                <w:sz w:val="18"/>
                <w:szCs w:val="21"/>
              </w:rPr>
            </w:pPr>
            <w:r>
              <w:rPr>
                <w:color w:val="000000"/>
                <w:kern w:val="0"/>
                <w:sz w:val="18"/>
                <w:szCs w:val="18"/>
                <w:lang w:bidi="ar"/>
              </w:rPr>
              <w:t>610.61</w:t>
            </w:r>
          </w:p>
        </w:tc>
        <w:tc>
          <w:tcPr>
            <w:tcW w:w="932" w:type="dxa"/>
            <w:vAlign w:val="center"/>
          </w:tcPr>
          <w:p>
            <w:pPr>
              <w:widowControl/>
              <w:jc w:val="center"/>
              <w:textAlignment w:val="center"/>
              <w:rPr>
                <w:rFonts w:eastAsia="黑体"/>
                <w:sz w:val="18"/>
                <w:szCs w:val="21"/>
              </w:rPr>
            </w:pPr>
            <w:r>
              <w:rPr>
                <w:color w:val="000000"/>
                <w:kern w:val="0"/>
                <w:sz w:val="18"/>
                <w:szCs w:val="18"/>
                <w:lang w:bidi="ar"/>
              </w:rPr>
              <w:t>103.79</w:t>
            </w:r>
          </w:p>
        </w:tc>
        <w:tc>
          <w:tcPr>
            <w:tcW w:w="1018" w:type="dxa"/>
            <w:vAlign w:val="center"/>
          </w:tcPr>
          <w:p>
            <w:pPr>
              <w:widowControl/>
              <w:jc w:val="center"/>
              <w:textAlignment w:val="center"/>
              <w:rPr>
                <w:rFonts w:eastAsia="黑体"/>
                <w:sz w:val="18"/>
                <w:szCs w:val="21"/>
              </w:rPr>
            </w:pPr>
            <w:r>
              <w:rPr>
                <w:color w:val="000000"/>
                <w:kern w:val="0"/>
                <w:sz w:val="18"/>
                <w:szCs w:val="18"/>
                <w:lang w:bidi="ar"/>
              </w:rPr>
              <w:t>38.30</w:t>
            </w:r>
          </w:p>
        </w:tc>
        <w:tc>
          <w:tcPr>
            <w:tcW w:w="1003" w:type="dxa"/>
            <w:vAlign w:val="center"/>
          </w:tcPr>
          <w:p>
            <w:pPr>
              <w:widowControl/>
              <w:jc w:val="center"/>
              <w:textAlignment w:val="center"/>
              <w:rPr>
                <w:rFonts w:eastAsia="黑体"/>
                <w:sz w:val="18"/>
                <w:szCs w:val="21"/>
              </w:rPr>
            </w:pPr>
            <w:r>
              <w:rPr>
                <w:color w:val="000000"/>
                <w:kern w:val="0"/>
                <w:sz w:val="18"/>
                <w:szCs w:val="18"/>
                <w:lang w:bidi="ar"/>
              </w:rPr>
              <w:t>65.49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漕河镇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130609106</w:t>
            </w:r>
          </w:p>
        </w:tc>
        <w:tc>
          <w:tcPr>
            <w:tcW w:w="889" w:type="dxa"/>
            <w:vAlign w:val="center"/>
          </w:tcPr>
          <w:p>
            <w:pPr>
              <w:widowControl/>
              <w:jc w:val="center"/>
              <w:textAlignment w:val="center"/>
              <w:rPr>
                <w:rFonts w:eastAsia="黑体"/>
                <w:sz w:val="18"/>
                <w:szCs w:val="21"/>
              </w:rPr>
            </w:pPr>
            <w:r>
              <w:rPr>
                <w:color w:val="000000"/>
                <w:kern w:val="0"/>
                <w:sz w:val="18"/>
                <w:szCs w:val="18"/>
                <w:lang w:bidi="ar"/>
              </w:rPr>
              <w:t>3047.10</w:t>
            </w:r>
          </w:p>
        </w:tc>
        <w:tc>
          <w:tcPr>
            <w:tcW w:w="975" w:type="dxa"/>
            <w:vAlign w:val="center"/>
          </w:tcPr>
          <w:p>
            <w:pPr>
              <w:widowControl/>
              <w:jc w:val="center"/>
              <w:textAlignment w:val="center"/>
              <w:rPr>
                <w:rFonts w:eastAsia="黑体"/>
                <w:sz w:val="18"/>
                <w:szCs w:val="21"/>
              </w:rPr>
            </w:pPr>
            <w:r>
              <w:rPr>
                <w:color w:val="000000"/>
                <w:kern w:val="0"/>
                <w:sz w:val="18"/>
                <w:szCs w:val="18"/>
                <w:lang w:bidi="ar"/>
              </w:rPr>
              <w:t>15.04</w:t>
            </w:r>
          </w:p>
        </w:tc>
        <w:tc>
          <w:tcPr>
            <w:tcW w:w="1029" w:type="dxa"/>
            <w:vAlign w:val="center"/>
          </w:tcPr>
          <w:p>
            <w:pPr>
              <w:widowControl/>
              <w:jc w:val="center"/>
              <w:textAlignment w:val="center"/>
              <w:rPr>
                <w:rFonts w:eastAsia="黑体"/>
                <w:sz w:val="18"/>
                <w:szCs w:val="21"/>
              </w:rPr>
            </w:pPr>
            <w:r>
              <w:rPr>
                <w:color w:val="000000"/>
                <w:kern w:val="0"/>
                <w:sz w:val="18"/>
                <w:szCs w:val="18"/>
                <w:lang w:bidi="ar"/>
              </w:rPr>
              <w:t>3032.06</w:t>
            </w:r>
          </w:p>
        </w:tc>
        <w:tc>
          <w:tcPr>
            <w:tcW w:w="1061" w:type="dxa"/>
            <w:vAlign w:val="center"/>
          </w:tcPr>
          <w:p>
            <w:pPr>
              <w:widowControl/>
              <w:jc w:val="center"/>
              <w:textAlignment w:val="center"/>
              <w:rPr>
                <w:rFonts w:eastAsia="黑体"/>
                <w:sz w:val="18"/>
                <w:szCs w:val="21"/>
              </w:rPr>
            </w:pPr>
            <w:r>
              <w:rPr>
                <w:color w:val="000000"/>
                <w:kern w:val="0"/>
                <w:sz w:val="18"/>
                <w:szCs w:val="18"/>
                <w:lang w:bidi="ar"/>
              </w:rPr>
              <w:t>140.97</w:t>
            </w:r>
          </w:p>
        </w:tc>
        <w:tc>
          <w:tcPr>
            <w:tcW w:w="1125" w:type="dxa"/>
            <w:vAlign w:val="center"/>
          </w:tcPr>
          <w:p>
            <w:pPr>
              <w:widowControl/>
              <w:jc w:val="center"/>
              <w:textAlignment w:val="center"/>
              <w:rPr>
                <w:rFonts w:eastAsia="黑体"/>
                <w:sz w:val="18"/>
                <w:szCs w:val="21"/>
              </w:rPr>
            </w:pPr>
            <w:r>
              <w:rPr>
                <w:color w:val="000000"/>
                <w:kern w:val="0"/>
                <w:sz w:val="18"/>
                <w:szCs w:val="18"/>
                <w:lang w:bidi="ar"/>
              </w:rPr>
              <w:t>10.99</w:t>
            </w:r>
          </w:p>
        </w:tc>
        <w:tc>
          <w:tcPr>
            <w:tcW w:w="1039" w:type="dxa"/>
            <w:vAlign w:val="center"/>
          </w:tcPr>
          <w:p>
            <w:pPr>
              <w:widowControl/>
              <w:jc w:val="center"/>
              <w:textAlignment w:val="center"/>
              <w:rPr>
                <w:rFonts w:eastAsia="黑体"/>
                <w:sz w:val="18"/>
                <w:szCs w:val="21"/>
              </w:rPr>
            </w:pPr>
            <w:r>
              <w:rPr>
                <w:color w:val="000000"/>
                <w:kern w:val="0"/>
                <w:sz w:val="18"/>
                <w:szCs w:val="18"/>
                <w:lang w:bidi="ar"/>
              </w:rPr>
              <w:t>129.98</w:t>
            </w:r>
          </w:p>
        </w:tc>
        <w:tc>
          <w:tcPr>
            <w:tcW w:w="1018" w:type="dxa"/>
            <w:vAlign w:val="center"/>
          </w:tcPr>
          <w:p>
            <w:pPr>
              <w:widowControl/>
              <w:jc w:val="center"/>
              <w:textAlignment w:val="center"/>
              <w:rPr>
                <w:rFonts w:eastAsia="黑体"/>
                <w:sz w:val="18"/>
                <w:szCs w:val="21"/>
              </w:rPr>
            </w:pPr>
            <w:r>
              <w:rPr>
                <w:color w:val="000000"/>
                <w:kern w:val="0"/>
                <w:sz w:val="18"/>
                <w:szCs w:val="18"/>
                <w:lang w:bidi="ar"/>
              </w:rPr>
              <w:t>810.82</w:t>
            </w:r>
          </w:p>
        </w:tc>
        <w:tc>
          <w:tcPr>
            <w:tcW w:w="1028" w:type="dxa"/>
            <w:vAlign w:val="center"/>
          </w:tcPr>
          <w:p>
            <w:pPr>
              <w:widowControl/>
              <w:jc w:val="center"/>
              <w:textAlignment w:val="center"/>
              <w:rPr>
                <w:rFonts w:eastAsia="黑体"/>
                <w:sz w:val="18"/>
                <w:szCs w:val="21"/>
              </w:rPr>
            </w:pPr>
            <w:r>
              <w:rPr>
                <w:color w:val="000000"/>
                <w:kern w:val="0"/>
                <w:sz w:val="18"/>
                <w:szCs w:val="18"/>
                <w:lang w:bidi="ar"/>
              </w:rPr>
              <w:t>41.48</w:t>
            </w:r>
          </w:p>
        </w:tc>
        <w:tc>
          <w:tcPr>
            <w:tcW w:w="1018" w:type="dxa"/>
            <w:vAlign w:val="center"/>
          </w:tcPr>
          <w:p>
            <w:pPr>
              <w:widowControl/>
              <w:jc w:val="center"/>
              <w:textAlignment w:val="center"/>
              <w:rPr>
                <w:rFonts w:eastAsia="黑体"/>
                <w:sz w:val="18"/>
                <w:szCs w:val="21"/>
              </w:rPr>
            </w:pPr>
            <w:r>
              <w:rPr>
                <w:color w:val="000000"/>
                <w:kern w:val="0"/>
                <w:sz w:val="18"/>
                <w:szCs w:val="18"/>
                <w:lang w:bidi="ar"/>
              </w:rPr>
              <w:t>769.34</w:t>
            </w:r>
          </w:p>
        </w:tc>
        <w:tc>
          <w:tcPr>
            <w:tcW w:w="932" w:type="dxa"/>
            <w:vAlign w:val="center"/>
          </w:tcPr>
          <w:p>
            <w:pPr>
              <w:widowControl/>
              <w:jc w:val="center"/>
              <w:textAlignment w:val="center"/>
              <w:rPr>
                <w:rFonts w:eastAsia="黑体"/>
                <w:sz w:val="18"/>
                <w:szCs w:val="21"/>
              </w:rPr>
            </w:pPr>
            <w:r>
              <w:rPr>
                <w:color w:val="000000"/>
                <w:kern w:val="0"/>
                <w:sz w:val="18"/>
                <w:szCs w:val="18"/>
                <w:lang w:bidi="ar"/>
              </w:rPr>
              <w:t>72.88</w:t>
            </w:r>
          </w:p>
        </w:tc>
        <w:tc>
          <w:tcPr>
            <w:tcW w:w="1018" w:type="dxa"/>
            <w:vAlign w:val="center"/>
          </w:tcPr>
          <w:p>
            <w:pPr>
              <w:widowControl/>
              <w:jc w:val="center"/>
              <w:textAlignment w:val="center"/>
              <w:rPr>
                <w:rFonts w:eastAsia="黑体"/>
                <w:sz w:val="18"/>
                <w:szCs w:val="21"/>
              </w:rPr>
            </w:pPr>
            <w:r>
              <w:rPr>
                <w:color w:val="000000"/>
                <w:kern w:val="0"/>
                <w:sz w:val="18"/>
                <w:szCs w:val="18"/>
                <w:lang w:bidi="ar"/>
              </w:rPr>
              <w:t>19.14</w:t>
            </w:r>
          </w:p>
        </w:tc>
        <w:tc>
          <w:tcPr>
            <w:tcW w:w="1003" w:type="dxa"/>
            <w:vAlign w:val="center"/>
          </w:tcPr>
          <w:p>
            <w:pPr>
              <w:widowControl/>
              <w:jc w:val="center"/>
              <w:textAlignment w:val="center"/>
              <w:rPr>
                <w:rFonts w:eastAsia="黑体"/>
                <w:sz w:val="18"/>
                <w:szCs w:val="21"/>
              </w:rPr>
            </w:pPr>
            <w:r>
              <w:rPr>
                <w:color w:val="000000"/>
                <w:kern w:val="0"/>
                <w:sz w:val="18"/>
                <w:szCs w:val="18"/>
                <w:lang w:bidi="ar"/>
              </w:rPr>
              <w:t>53.74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崔庄镇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130609101</w:t>
            </w:r>
          </w:p>
        </w:tc>
        <w:tc>
          <w:tcPr>
            <w:tcW w:w="889" w:type="dxa"/>
            <w:vAlign w:val="center"/>
          </w:tcPr>
          <w:p>
            <w:pPr>
              <w:widowControl/>
              <w:jc w:val="center"/>
              <w:textAlignment w:val="center"/>
              <w:rPr>
                <w:rFonts w:eastAsia="黑体"/>
                <w:sz w:val="18"/>
                <w:szCs w:val="21"/>
              </w:rPr>
            </w:pPr>
            <w:r>
              <w:rPr>
                <w:color w:val="000000"/>
                <w:kern w:val="0"/>
                <w:sz w:val="18"/>
                <w:szCs w:val="18"/>
                <w:lang w:bidi="ar"/>
              </w:rPr>
              <w:t>4105.29</w:t>
            </w:r>
          </w:p>
        </w:tc>
        <w:tc>
          <w:tcPr>
            <w:tcW w:w="975" w:type="dxa"/>
            <w:vAlign w:val="center"/>
          </w:tcPr>
          <w:p>
            <w:pPr>
              <w:widowControl/>
              <w:jc w:val="center"/>
              <w:textAlignment w:val="center"/>
              <w:rPr>
                <w:rFonts w:eastAsia="黑体"/>
                <w:sz w:val="18"/>
                <w:szCs w:val="21"/>
              </w:rPr>
            </w:pPr>
            <w:r>
              <w:rPr>
                <w:color w:val="000000"/>
                <w:kern w:val="0"/>
                <w:sz w:val="18"/>
                <w:szCs w:val="18"/>
                <w:lang w:bidi="ar"/>
              </w:rPr>
              <w:t>9.00</w:t>
            </w:r>
          </w:p>
        </w:tc>
        <w:tc>
          <w:tcPr>
            <w:tcW w:w="1029" w:type="dxa"/>
            <w:vAlign w:val="center"/>
          </w:tcPr>
          <w:p>
            <w:pPr>
              <w:widowControl/>
              <w:jc w:val="center"/>
              <w:textAlignment w:val="center"/>
              <w:rPr>
                <w:rFonts w:eastAsia="黑体"/>
                <w:sz w:val="18"/>
                <w:szCs w:val="21"/>
              </w:rPr>
            </w:pPr>
            <w:r>
              <w:rPr>
                <w:color w:val="000000"/>
                <w:kern w:val="0"/>
                <w:sz w:val="18"/>
                <w:szCs w:val="18"/>
                <w:lang w:bidi="ar"/>
              </w:rPr>
              <w:t>4096.29</w:t>
            </w:r>
          </w:p>
        </w:tc>
        <w:tc>
          <w:tcPr>
            <w:tcW w:w="1061" w:type="dxa"/>
            <w:vAlign w:val="center"/>
          </w:tcPr>
          <w:p>
            <w:pPr>
              <w:widowControl/>
              <w:jc w:val="center"/>
              <w:textAlignment w:val="center"/>
              <w:rPr>
                <w:rFonts w:eastAsia="黑体"/>
                <w:sz w:val="18"/>
                <w:szCs w:val="21"/>
              </w:rPr>
            </w:pPr>
            <w:r>
              <w:rPr>
                <w:color w:val="000000"/>
                <w:kern w:val="0"/>
                <w:sz w:val="18"/>
                <w:szCs w:val="18"/>
                <w:lang w:bidi="ar"/>
              </w:rPr>
              <w:t>52.82</w:t>
            </w:r>
          </w:p>
        </w:tc>
        <w:tc>
          <w:tcPr>
            <w:tcW w:w="1125" w:type="dxa"/>
            <w:vAlign w:val="center"/>
          </w:tcPr>
          <w:p>
            <w:pPr>
              <w:widowControl/>
              <w:jc w:val="center"/>
              <w:textAlignment w:val="center"/>
              <w:rPr>
                <w:rFonts w:eastAsia="黑体"/>
                <w:sz w:val="18"/>
                <w:szCs w:val="21"/>
              </w:rPr>
            </w:pPr>
            <w:r>
              <w:rPr>
                <w:color w:val="000000"/>
                <w:kern w:val="0"/>
                <w:sz w:val="18"/>
                <w:szCs w:val="18"/>
                <w:lang w:bidi="ar"/>
              </w:rPr>
              <w:t>0.16</w:t>
            </w:r>
          </w:p>
        </w:tc>
        <w:tc>
          <w:tcPr>
            <w:tcW w:w="1039" w:type="dxa"/>
            <w:vAlign w:val="center"/>
          </w:tcPr>
          <w:p>
            <w:pPr>
              <w:widowControl/>
              <w:jc w:val="center"/>
              <w:textAlignment w:val="center"/>
              <w:rPr>
                <w:rFonts w:eastAsia="黑体"/>
                <w:sz w:val="18"/>
                <w:szCs w:val="21"/>
              </w:rPr>
            </w:pPr>
            <w:r>
              <w:rPr>
                <w:color w:val="000000"/>
                <w:kern w:val="0"/>
                <w:sz w:val="18"/>
                <w:szCs w:val="18"/>
                <w:lang w:bidi="ar"/>
              </w:rPr>
              <w:t>52.66</w:t>
            </w:r>
          </w:p>
        </w:tc>
        <w:tc>
          <w:tcPr>
            <w:tcW w:w="1018" w:type="dxa"/>
            <w:vAlign w:val="center"/>
          </w:tcPr>
          <w:p>
            <w:pPr>
              <w:widowControl/>
              <w:jc w:val="center"/>
              <w:textAlignment w:val="center"/>
              <w:rPr>
                <w:rFonts w:eastAsia="黑体"/>
                <w:sz w:val="18"/>
                <w:szCs w:val="21"/>
              </w:rPr>
            </w:pPr>
            <w:r>
              <w:rPr>
                <w:color w:val="000000"/>
                <w:kern w:val="0"/>
                <w:sz w:val="18"/>
                <w:szCs w:val="18"/>
                <w:lang w:bidi="ar"/>
              </w:rPr>
              <w:t>721.36</w:t>
            </w:r>
          </w:p>
        </w:tc>
        <w:tc>
          <w:tcPr>
            <w:tcW w:w="1028" w:type="dxa"/>
            <w:vAlign w:val="center"/>
          </w:tcPr>
          <w:p>
            <w:pPr>
              <w:widowControl/>
              <w:jc w:val="center"/>
              <w:textAlignment w:val="center"/>
              <w:rPr>
                <w:rFonts w:eastAsia="黑体"/>
                <w:sz w:val="18"/>
                <w:szCs w:val="21"/>
              </w:rPr>
            </w:pPr>
            <w:r>
              <w:rPr>
                <w:color w:val="000000"/>
                <w:kern w:val="0"/>
                <w:sz w:val="18"/>
                <w:szCs w:val="18"/>
                <w:lang w:bidi="ar"/>
              </w:rPr>
              <w:t>29.49</w:t>
            </w:r>
          </w:p>
        </w:tc>
        <w:tc>
          <w:tcPr>
            <w:tcW w:w="1018" w:type="dxa"/>
            <w:vAlign w:val="center"/>
          </w:tcPr>
          <w:p>
            <w:pPr>
              <w:widowControl/>
              <w:jc w:val="center"/>
              <w:textAlignment w:val="center"/>
              <w:rPr>
                <w:rFonts w:eastAsia="黑体"/>
                <w:sz w:val="18"/>
                <w:szCs w:val="21"/>
              </w:rPr>
            </w:pPr>
            <w:r>
              <w:rPr>
                <w:color w:val="000000"/>
                <w:kern w:val="0"/>
                <w:sz w:val="18"/>
                <w:szCs w:val="18"/>
                <w:lang w:bidi="ar"/>
              </w:rPr>
              <w:t>691.87</w:t>
            </w:r>
          </w:p>
        </w:tc>
        <w:tc>
          <w:tcPr>
            <w:tcW w:w="932" w:type="dxa"/>
            <w:vAlign w:val="center"/>
          </w:tcPr>
          <w:p>
            <w:pPr>
              <w:widowControl/>
              <w:jc w:val="center"/>
              <w:textAlignment w:val="center"/>
              <w:rPr>
                <w:rFonts w:eastAsia="黑体"/>
                <w:sz w:val="18"/>
                <w:szCs w:val="21"/>
              </w:rPr>
            </w:pPr>
            <w:r>
              <w:rPr>
                <w:color w:val="000000"/>
                <w:kern w:val="0"/>
                <w:sz w:val="18"/>
                <w:szCs w:val="18"/>
                <w:lang w:bidi="ar"/>
              </w:rPr>
              <w:t>42.47</w:t>
            </w:r>
          </w:p>
        </w:tc>
        <w:tc>
          <w:tcPr>
            <w:tcW w:w="1018" w:type="dxa"/>
            <w:vAlign w:val="center"/>
          </w:tcPr>
          <w:p>
            <w:pPr>
              <w:widowControl/>
              <w:jc w:val="center"/>
              <w:textAlignment w:val="center"/>
              <w:rPr>
                <w:rFonts w:eastAsia="黑体"/>
                <w:sz w:val="18"/>
                <w:szCs w:val="21"/>
              </w:rPr>
            </w:pPr>
            <w:r>
              <w:rPr>
                <w:color w:val="000000"/>
                <w:kern w:val="0"/>
                <w:sz w:val="18"/>
                <w:szCs w:val="18"/>
                <w:lang w:bidi="ar"/>
              </w:rPr>
              <w:t>0.00</w:t>
            </w:r>
          </w:p>
        </w:tc>
        <w:tc>
          <w:tcPr>
            <w:tcW w:w="1003" w:type="dxa"/>
            <w:vAlign w:val="center"/>
          </w:tcPr>
          <w:p>
            <w:pPr>
              <w:widowControl/>
              <w:jc w:val="center"/>
              <w:textAlignment w:val="center"/>
              <w:rPr>
                <w:rFonts w:eastAsia="黑体"/>
                <w:sz w:val="18"/>
                <w:szCs w:val="21"/>
              </w:rPr>
            </w:pPr>
            <w:r>
              <w:rPr>
                <w:color w:val="000000"/>
                <w:kern w:val="0"/>
                <w:sz w:val="18"/>
                <w:szCs w:val="18"/>
                <w:lang w:bidi="ar"/>
              </w:rPr>
              <w:t>42.47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5" w:type="dxa"/>
            <w:vAlign w:val="center"/>
          </w:tcPr>
          <w:p>
            <w:pPr>
              <w:jc w:val="center"/>
              <w:rPr>
                <w:rFonts w:eastAsia="黑体"/>
                <w:sz w:val="18"/>
                <w:szCs w:val="21"/>
              </w:rPr>
            </w:pPr>
            <w:r>
              <w:rPr>
                <w:rFonts w:eastAsia="黑体"/>
                <w:sz w:val="18"/>
                <w:szCs w:val="21"/>
              </w:rPr>
              <w:t>大王店镇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130609105</w:t>
            </w:r>
          </w:p>
        </w:tc>
        <w:tc>
          <w:tcPr>
            <w:tcW w:w="889" w:type="dxa"/>
            <w:vAlign w:val="center"/>
          </w:tcPr>
          <w:p>
            <w:pPr>
              <w:widowControl/>
              <w:jc w:val="center"/>
              <w:textAlignment w:val="center"/>
              <w:rPr>
                <w:rFonts w:eastAsia="黑体"/>
                <w:sz w:val="18"/>
                <w:szCs w:val="21"/>
              </w:rPr>
            </w:pPr>
            <w:r>
              <w:rPr>
                <w:color w:val="000000"/>
                <w:kern w:val="0"/>
                <w:sz w:val="18"/>
                <w:szCs w:val="18"/>
                <w:lang w:bidi="ar"/>
              </w:rPr>
              <w:t>3208.89</w:t>
            </w:r>
          </w:p>
        </w:tc>
        <w:tc>
          <w:tcPr>
            <w:tcW w:w="975" w:type="dxa"/>
            <w:vAlign w:val="center"/>
          </w:tcPr>
          <w:p>
            <w:pPr>
              <w:widowControl/>
              <w:jc w:val="center"/>
              <w:textAlignment w:val="center"/>
              <w:rPr>
                <w:rFonts w:eastAsia="黑体"/>
                <w:sz w:val="18"/>
                <w:szCs w:val="21"/>
              </w:rPr>
            </w:pPr>
            <w:r>
              <w:rPr>
                <w:color w:val="000000"/>
                <w:kern w:val="0"/>
                <w:sz w:val="18"/>
                <w:szCs w:val="18"/>
                <w:lang w:bidi="ar"/>
              </w:rPr>
              <w:t>178.39</w:t>
            </w:r>
          </w:p>
        </w:tc>
        <w:tc>
          <w:tcPr>
            <w:tcW w:w="1029" w:type="dxa"/>
            <w:vAlign w:val="center"/>
          </w:tcPr>
          <w:p>
            <w:pPr>
              <w:widowControl/>
              <w:jc w:val="center"/>
              <w:textAlignment w:val="center"/>
              <w:rPr>
                <w:rFonts w:eastAsia="黑体"/>
                <w:sz w:val="18"/>
                <w:szCs w:val="21"/>
              </w:rPr>
            </w:pPr>
            <w:r>
              <w:rPr>
                <w:color w:val="000000"/>
                <w:kern w:val="0"/>
                <w:sz w:val="18"/>
                <w:szCs w:val="18"/>
                <w:lang w:bidi="ar"/>
              </w:rPr>
              <w:t>3030.50</w:t>
            </w:r>
          </w:p>
        </w:tc>
        <w:tc>
          <w:tcPr>
            <w:tcW w:w="1061" w:type="dxa"/>
            <w:vAlign w:val="center"/>
          </w:tcPr>
          <w:p>
            <w:pPr>
              <w:widowControl/>
              <w:jc w:val="center"/>
              <w:textAlignment w:val="center"/>
              <w:rPr>
                <w:rFonts w:eastAsia="黑体"/>
                <w:sz w:val="18"/>
                <w:szCs w:val="21"/>
              </w:rPr>
            </w:pPr>
            <w:r>
              <w:rPr>
                <w:color w:val="000000"/>
                <w:kern w:val="0"/>
                <w:sz w:val="18"/>
                <w:szCs w:val="18"/>
                <w:lang w:bidi="ar"/>
              </w:rPr>
              <w:t>241.50</w:t>
            </w:r>
          </w:p>
        </w:tc>
        <w:tc>
          <w:tcPr>
            <w:tcW w:w="1125" w:type="dxa"/>
            <w:vAlign w:val="center"/>
          </w:tcPr>
          <w:p>
            <w:pPr>
              <w:widowControl/>
              <w:jc w:val="center"/>
              <w:textAlignment w:val="center"/>
              <w:rPr>
                <w:rFonts w:eastAsia="黑体"/>
                <w:sz w:val="18"/>
                <w:szCs w:val="21"/>
              </w:rPr>
            </w:pPr>
            <w:r>
              <w:rPr>
                <w:color w:val="000000"/>
                <w:kern w:val="0"/>
                <w:sz w:val="18"/>
                <w:szCs w:val="18"/>
                <w:lang w:bidi="ar"/>
              </w:rPr>
              <w:t>3.34</w:t>
            </w:r>
          </w:p>
        </w:tc>
        <w:tc>
          <w:tcPr>
            <w:tcW w:w="1039" w:type="dxa"/>
            <w:vAlign w:val="center"/>
          </w:tcPr>
          <w:p>
            <w:pPr>
              <w:widowControl/>
              <w:jc w:val="center"/>
              <w:textAlignment w:val="center"/>
              <w:rPr>
                <w:rFonts w:eastAsia="黑体"/>
                <w:sz w:val="18"/>
                <w:szCs w:val="21"/>
              </w:rPr>
            </w:pPr>
            <w:r>
              <w:rPr>
                <w:color w:val="000000"/>
                <w:kern w:val="0"/>
                <w:sz w:val="18"/>
                <w:szCs w:val="18"/>
                <w:lang w:bidi="ar"/>
              </w:rPr>
              <w:t>238.16</w:t>
            </w:r>
          </w:p>
        </w:tc>
        <w:tc>
          <w:tcPr>
            <w:tcW w:w="1018" w:type="dxa"/>
            <w:vAlign w:val="center"/>
          </w:tcPr>
          <w:p>
            <w:pPr>
              <w:widowControl/>
              <w:jc w:val="center"/>
              <w:textAlignment w:val="center"/>
              <w:rPr>
                <w:rFonts w:eastAsia="黑体"/>
                <w:sz w:val="18"/>
                <w:szCs w:val="21"/>
              </w:rPr>
            </w:pPr>
            <w:r>
              <w:rPr>
                <w:color w:val="000000"/>
                <w:kern w:val="0"/>
                <w:sz w:val="18"/>
                <w:szCs w:val="18"/>
                <w:lang w:bidi="ar"/>
              </w:rPr>
              <w:t>798.92</w:t>
            </w:r>
          </w:p>
        </w:tc>
        <w:tc>
          <w:tcPr>
            <w:tcW w:w="1028" w:type="dxa"/>
            <w:vAlign w:val="center"/>
          </w:tcPr>
          <w:p>
            <w:pPr>
              <w:widowControl/>
              <w:jc w:val="center"/>
              <w:textAlignment w:val="center"/>
              <w:rPr>
                <w:rFonts w:eastAsia="黑体"/>
                <w:sz w:val="18"/>
                <w:szCs w:val="21"/>
              </w:rPr>
            </w:pPr>
            <w:r>
              <w:rPr>
                <w:color w:val="000000"/>
                <w:kern w:val="0"/>
                <w:sz w:val="18"/>
                <w:szCs w:val="18"/>
                <w:lang w:bidi="ar"/>
              </w:rPr>
              <w:t>71.96</w:t>
            </w:r>
          </w:p>
        </w:tc>
        <w:tc>
          <w:tcPr>
            <w:tcW w:w="1018" w:type="dxa"/>
            <w:vAlign w:val="center"/>
          </w:tcPr>
          <w:p>
            <w:pPr>
              <w:widowControl/>
              <w:jc w:val="center"/>
              <w:textAlignment w:val="center"/>
              <w:rPr>
                <w:rFonts w:eastAsia="黑体"/>
                <w:sz w:val="18"/>
                <w:szCs w:val="21"/>
              </w:rPr>
            </w:pPr>
            <w:r>
              <w:rPr>
                <w:color w:val="000000"/>
                <w:kern w:val="0"/>
                <w:sz w:val="18"/>
                <w:szCs w:val="18"/>
                <w:lang w:bidi="ar"/>
              </w:rPr>
              <w:t>726.96</w:t>
            </w:r>
          </w:p>
        </w:tc>
        <w:tc>
          <w:tcPr>
            <w:tcW w:w="932" w:type="dxa"/>
            <w:vAlign w:val="center"/>
          </w:tcPr>
          <w:p>
            <w:pPr>
              <w:widowControl/>
              <w:jc w:val="center"/>
              <w:textAlignment w:val="center"/>
              <w:rPr>
                <w:rFonts w:eastAsia="黑体"/>
                <w:sz w:val="18"/>
                <w:szCs w:val="21"/>
              </w:rPr>
            </w:pPr>
            <w:r>
              <w:rPr>
                <w:color w:val="000000"/>
                <w:kern w:val="0"/>
                <w:sz w:val="18"/>
                <w:szCs w:val="18"/>
                <w:lang w:bidi="ar"/>
              </w:rPr>
              <w:t>105.90</w:t>
            </w:r>
          </w:p>
        </w:tc>
        <w:tc>
          <w:tcPr>
            <w:tcW w:w="1018" w:type="dxa"/>
            <w:vAlign w:val="center"/>
          </w:tcPr>
          <w:p>
            <w:pPr>
              <w:widowControl/>
              <w:jc w:val="center"/>
              <w:textAlignment w:val="center"/>
              <w:rPr>
                <w:rFonts w:eastAsia="黑体"/>
                <w:sz w:val="18"/>
                <w:szCs w:val="21"/>
              </w:rPr>
            </w:pPr>
            <w:r>
              <w:rPr>
                <w:color w:val="000000"/>
                <w:kern w:val="0"/>
                <w:sz w:val="18"/>
                <w:szCs w:val="18"/>
                <w:lang w:bidi="ar"/>
              </w:rPr>
              <w:t>65.12</w:t>
            </w:r>
          </w:p>
        </w:tc>
        <w:tc>
          <w:tcPr>
            <w:tcW w:w="1003" w:type="dxa"/>
            <w:vAlign w:val="center"/>
          </w:tcPr>
          <w:p>
            <w:pPr>
              <w:widowControl/>
              <w:jc w:val="center"/>
              <w:textAlignment w:val="center"/>
              <w:rPr>
                <w:rFonts w:eastAsia="黑体"/>
                <w:sz w:val="18"/>
                <w:szCs w:val="21"/>
              </w:rPr>
            </w:pPr>
            <w:r>
              <w:rPr>
                <w:color w:val="000000"/>
                <w:kern w:val="0"/>
                <w:sz w:val="18"/>
                <w:szCs w:val="18"/>
                <w:lang w:bidi="ar"/>
              </w:rPr>
              <w:t>40.78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大因镇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130609102</w:t>
            </w:r>
          </w:p>
        </w:tc>
        <w:tc>
          <w:tcPr>
            <w:tcW w:w="889" w:type="dxa"/>
            <w:vAlign w:val="center"/>
          </w:tcPr>
          <w:p>
            <w:pPr>
              <w:widowControl/>
              <w:jc w:val="center"/>
              <w:textAlignment w:val="center"/>
              <w:rPr>
                <w:rFonts w:eastAsia="黑体"/>
                <w:sz w:val="18"/>
                <w:szCs w:val="21"/>
              </w:rPr>
            </w:pPr>
            <w:r>
              <w:rPr>
                <w:color w:val="000000"/>
                <w:kern w:val="0"/>
                <w:sz w:val="18"/>
                <w:szCs w:val="18"/>
                <w:lang w:bidi="ar"/>
              </w:rPr>
              <w:t>2824.53</w:t>
            </w:r>
          </w:p>
        </w:tc>
        <w:tc>
          <w:tcPr>
            <w:tcW w:w="975" w:type="dxa"/>
            <w:vAlign w:val="center"/>
          </w:tcPr>
          <w:p>
            <w:pPr>
              <w:widowControl/>
              <w:jc w:val="center"/>
              <w:textAlignment w:val="center"/>
              <w:rPr>
                <w:rFonts w:eastAsia="黑体"/>
                <w:sz w:val="18"/>
                <w:szCs w:val="21"/>
              </w:rPr>
            </w:pPr>
            <w:r>
              <w:rPr>
                <w:color w:val="000000"/>
                <w:kern w:val="0"/>
                <w:sz w:val="18"/>
                <w:szCs w:val="18"/>
                <w:lang w:bidi="ar"/>
              </w:rPr>
              <w:t>24.11</w:t>
            </w:r>
          </w:p>
        </w:tc>
        <w:tc>
          <w:tcPr>
            <w:tcW w:w="1029" w:type="dxa"/>
            <w:vAlign w:val="center"/>
          </w:tcPr>
          <w:p>
            <w:pPr>
              <w:widowControl/>
              <w:jc w:val="center"/>
              <w:textAlignment w:val="center"/>
              <w:rPr>
                <w:rFonts w:eastAsia="黑体"/>
                <w:sz w:val="18"/>
                <w:szCs w:val="21"/>
              </w:rPr>
            </w:pPr>
            <w:r>
              <w:rPr>
                <w:color w:val="000000"/>
                <w:kern w:val="0"/>
                <w:sz w:val="18"/>
                <w:szCs w:val="18"/>
                <w:lang w:bidi="ar"/>
              </w:rPr>
              <w:t>2800.42</w:t>
            </w:r>
          </w:p>
        </w:tc>
        <w:tc>
          <w:tcPr>
            <w:tcW w:w="1061" w:type="dxa"/>
            <w:vAlign w:val="center"/>
          </w:tcPr>
          <w:p>
            <w:pPr>
              <w:widowControl/>
              <w:jc w:val="center"/>
              <w:textAlignment w:val="center"/>
              <w:rPr>
                <w:rFonts w:eastAsia="黑体"/>
                <w:sz w:val="18"/>
                <w:szCs w:val="21"/>
              </w:rPr>
            </w:pPr>
            <w:r>
              <w:rPr>
                <w:color w:val="000000"/>
                <w:kern w:val="0"/>
                <w:sz w:val="18"/>
                <w:szCs w:val="18"/>
                <w:lang w:bidi="ar"/>
              </w:rPr>
              <w:t>22.08</w:t>
            </w:r>
          </w:p>
        </w:tc>
        <w:tc>
          <w:tcPr>
            <w:tcW w:w="1125" w:type="dxa"/>
            <w:vAlign w:val="center"/>
          </w:tcPr>
          <w:p>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pPr>
              <w:widowControl/>
              <w:jc w:val="center"/>
              <w:textAlignment w:val="center"/>
              <w:rPr>
                <w:rFonts w:eastAsia="黑体"/>
                <w:sz w:val="18"/>
                <w:szCs w:val="21"/>
              </w:rPr>
            </w:pPr>
            <w:r>
              <w:rPr>
                <w:color w:val="000000"/>
                <w:kern w:val="0"/>
                <w:sz w:val="18"/>
                <w:szCs w:val="18"/>
                <w:lang w:bidi="ar"/>
              </w:rPr>
              <w:t>22.08</w:t>
            </w:r>
          </w:p>
        </w:tc>
        <w:tc>
          <w:tcPr>
            <w:tcW w:w="1018" w:type="dxa"/>
            <w:vAlign w:val="center"/>
          </w:tcPr>
          <w:p>
            <w:pPr>
              <w:widowControl/>
              <w:jc w:val="center"/>
              <w:textAlignment w:val="center"/>
              <w:rPr>
                <w:rFonts w:eastAsia="黑体"/>
                <w:sz w:val="18"/>
                <w:szCs w:val="21"/>
              </w:rPr>
            </w:pPr>
            <w:r>
              <w:rPr>
                <w:color w:val="000000"/>
                <w:kern w:val="0"/>
                <w:sz w:val="18"/>
                <w:szCs w:val="18"/>
                <w:lang w:bidi="ar"/>
              </w:rPr>
              <w:t>1250.02</w:t>
            </w:r>
          </w:p>
        </w:tc>
        <w:tc>
          <w:tcPr>
            <w:tcW w:w="1028" w:type="dxa"/>
            <w:vAlign w:val="center"/>
          </w:tcPr>
          <w:p>
            <w:pPr>
              <w:widowControl/>
              <w:jc w:val="center"/>
              <w:textAlignment w:val="center"/>
              <w:rPr>
                <w:rFonts w:eastAsia="黑体"/>
                <w:sz w:val="18"/>
                <w:szCs w:val="21"/>
              </w:rPr>
            </w:pPr>
            <w:r>
              <w:rPr>
                <w:color w:val="000000"/>
                <w:kern w:val="0"/>
                <w:sz w:val="18"/>
                <w:szCs w:val="18"/>
                <w:lang w:bidi="ar"/>
              </w:rPr>
              <w:t>17.55</w:t>
            </w:r>
          </w:p>
        </w:tc>
        <w:tc>
          <w:tcPr>
            <w:tcW w:w="1018" w:type="dxa"/>
            <w:vAlign w:val="center"/>
          </w:tcPr>
          <w:p>
            <w:pPr>
              <w:widowControl/>
              <w:jc w:val="center"/>
              <w:textAlignment w:val="center"/>
              <w:rPr>
                <w:rFonts w:eastAsia="黑体"/>
                <w:sz w:val="18"/>
                <w:szCs w:val="21"/>
              </w:rPr>
            </w:pPr>
            <w:r>
              <w:rPr>
                <w:color w:val="000000"/>
                <w:kern w:val="0"/>
                <w:sz w:val="18"/>
                <w:szCs w:val="18"/>
                <w:lang w:bidi="ar"/>
              </w:rPr>
              <w:t>1232.47</w:t>
            </w:r>
          </w:p>
        </w:tc>
        <w:tc>
          <w:tcPr>
            <w:tcW w:w="932" w:type="dxa"/>
            <w:vAlign w:val="center"/>
          </w:tcPr>
          <w:p>
            <w:pPr>
              <w:widowControl/>
              <w:jc w:val="center"/>
              <w:textAlignment w:val="center"/>
              <w:rPr>
                <w:rFonts w:eastAsia="黑体"/>
                <w:sz w:val="18"/>
                <w:szCs w:val="21"/>
              </w:rPr>
            </w:pPr>
            <w:r>
              <w:rPr>
                <w:color w:val="000000"/>
                <w:kern w:val="0"/>
                <w:sz w:val="18"/>
                <w:szCs w:val="18"/>
                <w:lang w:bidi="ar"/>
              </w:rPr>
              <w:t>38.33</w:t>
            </w:r>
          </w:p>
        </w:tc>
        <w:tc>
          <w:tcPr>
            <w:tcW w:w="1018" w:type="dxa"/>
            <w:vAlign w:val="center"/>
          </w:tcPr>
          <w:p>
            <w:pPr>
              <w:widowControl/>
              <w:jc w:val="center"/>
              <w:textAlignment w:val="center"/>
              <w:rPr>
                <w:rFonts w:eastAsia="黑体"/>
                <w:sz w:val="18"/>
                <w:szCs w:val="21"/>
              </w:rPr>
            </w:pPr>
            <w:r>
              <w:rPr>
                <w:color w:val="000000"/>
                <w:kern w:val="0"/>
                <w:sz w:val="18"/>
                <w:szCs w:val="18"/>
                <w:lang w:bidi="ar"/>
              </w:rPr>
              <w:t>0.33</w:t>
            </w:r>
          </w:p>
        </w:tc>
        <w:tc>
          <w:tcPr>
            <w:tcW w:w="1003" w:type="dxa"/>
            <w:vAlign w:val="center"/>
          </w:tcPr>
          <w:p>
            <w:pPr>
              <w:widowControl/>
              <w:jc w:val="center"/>
              <w:textAlignment w:val="center"/>
              <w:rPr>
                <w:rFonts w:eastAsia="黑体"/>
                <w:sz w:val="18"/>
                <w:szCs w:val="21"/>
              </w:rPr>
            </w:pPr>
            <w:r>
              <w:rPr>
                <w:color w:val="000000"/>
                <w:kern w:val="0"/>
                <w:sz w:val="18"/>
                <w:szCs w:val="18"/>
                <w:lang w:bidi="ar"/>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东釜山乡</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130609205</w:t>
            </w:r>
          </w:p>
        </w:tc>
        <w:tc>
          <w:tcPr>
            <w:tcW w:w="889" w:type="dxa"/>
            <w:vAlign w:val="center"/>
          </w:tcPr>
          <w:p>
            <w:pPr>
              <w:widowControl/>
              <w:jc w:val="center"/>
              <w:textAlignment w:val="center"/>
              <w:rPr>
                <w:rFonts w:eastAsia="黑体"/>
                <w:sz w:val="18"/>
                <w:szCs w:val="21"/>
              </w:rPr>
            </w:pPr>
            <w:r>
              <w:rPr>
                <w:color w:val="000000"/>
                <w:kern w:val="0"/>
                <w:sz w:val="18"/>
                <w:szCs w:val="18"/>
                <w:lang w:bidi="ar"/>
              </w:rPr>
              <w:t>1344.42</w:t>
            </w:r>
          </w:p>
        </w:tc>
        <w:tc>
          <w:tcPr>
            <w:tcW w:w="975" w:type="dxa"/>
            <w:vAlign w:val="center"/>
          </w:tcPr>
          <w:p>
            <w:pPr>
              <w:widowControl/>
              <w:jc w:val="center"/>
              <w:textAlignment w:val="center"/>
              <w:rPr>
                <w:rFonts w:eastAsia="黑体"/>
                <w:sz w:val="18"/>
                <w:szCs w:val="21"/>
              </w:rPr>
            </w:pPr>
            <w:r>
              <w:rPr>
                <w:color w:val="000000"/>
                <w:kern w:val="0"/>
                <w:sz w:val="18"/>
                <w:szCs w:val="18"/>
                <w:lang w:bidi="ar"/>
              </w:rPr>
              <w:t>5.22</w:t>
            </w:r>
          </w:p>
        </w:tc>
        <w:tc>
          <w:tcPr>
            <w:tcW w:w="1029" w:type="dxa"/>
            <w:vAlign w:val="center"/>
          </w:tcPr>
          <w:p>
            <w:pPr>
              <w:widowControl/>
              <w:jc w:val="center"/>
              <w:textAlignment w:val="center"/>
              <w:rPr>
                <w:rFonts w:eastAsia="黑体"/>
                <w:sz w:val="18"/>
                <w:szCs w:val="21"/>
              </w:rPr>
            </w:pPr>
            <w:r>
              <w:rPr>
                <w:color w:val="000000"/>
                <w:kern w:val="0"/>
                <w:sz w:val="18"/>
                <w:szCs w:val="18"/>
                <w:lang w:bidi="ar"/>
              </w:rPr>
              <w:t>1339.20</w:t>
            </w:r>
          </w:p>
        </w:tc>
        <w:tc>
          <w:tcPr>
            <w:tcW w:w="1061" w:type="dxa"/>
            <w:vAlign w:val="center"/>
          </w:tcPr>
          <w:p>
            <w:pPr>
              <w:widowControl/>
              <w:jc w:val="center"/>
              <w:textAlignment w:val="center"/>
              <w:rPr>
                <w:rFonts w:eastAsia="黑体"/>
                <w:sz w:val="18"/>
                <w:szCs w:val="21"/>
              </w:rPr>
            </w:pPr>
            <w:r>
              <w:rPr>
                <w:color w:val="000000"/>
                <w:kern w:val="0"/>
                <w:sz w:val="18"/>
                <w:szCs w:val="18"/>
                <w:lang w:bidi="ar"/>
              </w:rPr>
              <w:t>81.54</w:t>
            </w:r>
          </w:p>
        </w:tc>
        <w:tc>
          <w:tcPr>
            <w:tcW w:w="1125" w:type="dxa"/>
            <w:vAlign w:val="center"/>
          </w:tcPr>
          <w:p>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pPr>
              <w:widowControl/>
              <w:jc w:val="center"/>
              <w:textAlignment w:val="center"/>
              <w:rPr>
                <w:rFonts w:eastAsia="黑体"/>
                <w:sz w:val="18"/>
                <w:szCs w:val="21"/>
              </w:rPr>
            </w:pPr>
            <w:r>
              <w:rPr>
                <w:color w:val="000000"/>
                <w:kern w:val="0"/>
                <w:sz w:val="18"/>
                <w:szCs w:val="18"/>
                <w:lang w:bidi="ar"/>
              </w:rPr>
              <w:t>81.54</w:t>
            </w:r>
          </w:p>
        </w:tc>
        <w:tc>
          <w:tcPr>
            <w:tcW w:w="1018" w:type="dxa"/>
            <w:vAlign w:val="center"/>
          </w:tcPr>
          <w:p>
            <w:pPr>
              <w:widowControl/>
              <w:jc w:val="center"/>
              <w:textAlignment w:val="center"/>
              <w:rPr>
                <w:rFonts w:eastAsia="黑体"/>
                <w:sz w:val="18"/>
                <w:szCs w:val="21"/>
              </w:rPr>
            </w:pPr>
            <w:r>
              <w:rPr>
                <w:color w:val="000000"/>
                <w:kern w:val="0"/>
                <w:sz w:val="18"/>
                <w:szCs w:val="18"/>
                <w:lang w:bidi="ar"/>
              </w:rPr>
              <w:t>463.51</w:t>
            </w:r>
          </w:p>
        </w:tc>
        <w:tc>
          <w:tcPr>
            <w:tcW w:w="1028" w:type="dxa"/>
            <w:vAlign w:val="center"/>
          </w:tcPr>
          <w:p>
            <w:pPr>
              <w:widowControl/>
              <w:jc w:val="center"/>
              <w:textAlignment w:val="center"/>
              <w:rPr>
                <w:rFonts w:eastAsia="黑体"/>
                <w:sz w:val="18"/>
                <w:szCs w:val="21"/>
              </w:rPr>
            </w:pPr>
            <w:r>
              <w:rPr>
                <w:color w:val="000000"/>
                <w:kern w:val="0"/>
                <w:sz w:val="18"/>
                <w:szCs w:val="18"/>
                <w:lang w:bidi="ar"/>
              </w:rPr>
              <w:t>4.61</w:t>
            </w:r>
          </w:p>
        </w:tc>
        <w:tc>
          <w:tcPr>
            <w:tcW w:w="1018" w:type="dxa"/>
            <w:vAlign w:val="center"/>
          </w:tcPr>
          <w:p>
            <w:pPr>
              <w:widowControl/>
              <w:jc w:val="center"/>
              <w:textAlignment w:val="center"/>
              <w:rPr>
                <w:rFonts w:eastAsia="黑体"/>
                <w:sz w:val="18"/>
                <w:szCs w:val="21"/>
              </w:rPr>
            </w:pPr>
            <w:r>
              <w:rPr>
                <w:color w:val="000000"/>
                <w:kern w:val="0"/>
                <w:sz w:val="18"/>
                <w:szCs w:val="18"/>
                <w:lang w:bidi="ar"/>
              </w:rPr>
              <w:t>458.90</w:t>
            </w:r>
          </w:p>
        </w:tc>
        <w:tc>
          <w:tcPr>
            <w:tcW w:w="932" w:type="dxa"/>
            <w:vAlign w:val="center"/>
          </w:tcPr>
          <w:p>
            <w:pPr>
              <w:widowControl/>
              <w:jc w:val="center"/>
              <w:textAlignment w:val="center"/>
              <w:rPr>
                <w:rFonts w:eastAsia="黑体"/>
                <w:sz w:val="18"/>
                <w:szCs w:val="21"/>
              </w:rPr>
            </w:pPr>
            <w:r>
              <w:rPr>
                <w:color w:val="000000"/>
                <w:kern w:val="0"/>
                <w:sz w:val="18"/>
                <w:szCs w:val="18"/>
                <w:lang w:bidi="ar"/>
              </w:rPr>
              <w:t>430.17</w:t>
            </w:r>
          </w:p>
        </w:tc>
        <w:tc>
          <w:tcPr>
            <w:tcW w:w="1018" w:type="dxa"/>
            <w:vAlign w:val="center"/>
          </w:tcPr>
          <w:p>
            <w:pPr>
              <w:widowControl/>
              <w:jc w:val="center"/>
              <w:textAlignment w:val="center"/>
              <w:rPr>
                <w:rFonts w:eastAsia="黑体"/>
                <w:sz w:val="18"/>
                <w:szCs w:val="21"/>
              </w:rPr>
            </w:pPr>
            <w:r>
              <w:rPr>
                <w:color w:val="000000"/>
                <w:kern w:val="0"/>
                <w:sz w:val="18"/>
                <w:szCs w:val="18"/>
                <w:lang w:bidi="ar"/>
              </w:rPr>
              <w:t>0.00</w:t>
            </w:r>
          </w:p>
        </w:tc>
        <w:tc>
          <w:tcPr>
            <w:tcW w:w="1003" w:type="dxa"/>
            <w:vAlign w:val="center"/>
          </w:tcPr>
          <w:p>
            <w:pPr>
              <w:widowControl/>
              <w:jc w:val="center"/>
              <w:textAlignment w:val="center"/>
              <w:rPr>
                <w:rFonts w:eastAsia="黑体"/>
                <w:sz w:val="18"/>
                <w:szCs w:val="21"/>
              </w:rPr>
            </w:pPr>
            <w:r>
              <w:rPr>
                <w:color w:val="000000"/>
                <w:kern w:val="0"/>
                <w:sz w:val="18"/>
                <w:szCs w:val="18"/>
                <w:lang w:bidi="ar"/>
              </w:rPr>
              <w:t>430.17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hint="eastAsia" w:eastAsia="黑体"/>
                <w:sz w:val="18"/>
                <w:szCs w:val="21"/>
              </w:rPr>
              <w:t>东史端镇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130609108</w:t>
            </w:r>
          </w:p>
        </w:tc>
        <w:tc>
          <w:tcPr>
            <w:tcW w:w="889" w:type="dxa"/>
            <w:vAlign w:val="center"/>
          </w:tcPr>
          <w:p>
            <w:pPr>
              <w:widowControl/>
              <w:jc w:val="center"/>
              <w:textAlignment w:val="center"/>
              <w:rPr>
                <w:rFonts w:eastAsia="黑体"/>
                <w:sz w:val="18"/>
                <w:szCs w:val="21"/>
              </w:rPr>
            </w:pPr>
            <w:r>
              <w:rPr>
                <w:color w:val="000000"/>
                <w:kern w:val="0"/>
                <w:sz w:val="18"/>
                <w:szCs w:val="18"/>
                <w:lang w:bidi="ar"/>
              </w:rPr>
              <w:t>2514.41</w:t>
            </w:r>
          </w:p>
        </w:tc>
        <w:tc>
          <w:tcPr>
            <w:tcW w:w="975" w:type="dxa"/>
            <w:vAlign w:val="center"/>
          </w:tcPr>
          <w:p>
            <w:pPr>
              <w:widowControl/>
              <w:jc w:val="center"/>
              <w:textAlignment w:val="center"/>
              <w:rPr>
                <w:rFonts w:eastAsia="黑体"/>
                <w:sz w:val="18"/>
                <w:szCs w:val="21"/>
              </w:rPr>
            </w:pPr>
            <w:r>
              <w:rPr>
                <w:color w:val="000000"/>
                <w:kern w:val="0"/>
                <w:sz w:val="18"/>
                <w:szCs w:val="18"/>
                <w:lang w:bidi="ar"/>
              </w:rPr>
              <w:t>6.70</w:t>
            </w:r>
          </w:p>
        </w:tc>
        <w:tc>
          <w:tcPr>
            <w:tcW w:w="1029" w:type="dxa"/>
            <w:vAlign w:val="center"/>
          </w:tcPr>
          <w:p>
            <w:pPr>
              <w:widowControl/>
              <w:jc w:val="center"/>
              <w:textAlignment w:val="center"/>
              <w:rPr>
                <w:rFonts w:eastAsia="黑体"/>
                <w:sz w:val="18"/>
                <w:szCs w:val="21"/>
              </w:rPr>
            </w:pPr>
            <w:r>
              <w:rPr>
                <w:color w:val="000000"/>
                <w:kern w:val="0"/>
                <w:sz w:val="18"/>
                <w:szCs w:val="18"/>
                <w:lang w:bidi="ar"/>
              </w:rPr>
              <w:t>2507.71</w:t>
            </w:r>
          </w:p>
        </w:tc>
        <w:tc>
          <w:tcPr>
            <w:tcW w:w="1061" w:type="dxa"/>
            <w:vAlign w:val="center"/>
          </w:tcPr>
          <w:p>
            <w:pPr>
              <w:widowControl/>
              <w:jc w:val="center"/>
              <w:textAlignment w:val="center"/>
              <w:rPr>
                <w:rFonts w:eastAsia="黑体"/>
                <w:sz w:val="18"/>
                <w:szCs w:val="21"/>
              </w:rPr>
            </w:pPr>
            <w:r>
              <w:rPr>
                <w:color w:val="000000"/>
                <w:kern w:val="0"/>
                <w:sz w:val="18"/>
                <w:szCs w:val="18"/>
                <w:lang w:bidi="ar"/>
              </w:rPr>
              <w:t>85.83</w:t>
            </w:r>
          </w:p>
        </w:tc>
        <w:tc>
          <w:tcPr>
            <w:tcW w:w="1125" w:type="dxa"/>
            <w:vAlign w:val="center"/>
          </w:tcPr>
          <w:p>
            <w:pPr>
              <w:widowControl/>
              <w:jc w:val="center"/>
              <w:textAlignment w:val="center"/>
              <w:rPr>
                <w:rFonts w:eastAsia="黑体"/>
                <w:sz w:val="18"/>
                <w:szCs w:val="21"/>
              </w:rPr>
            </w:pPr>
            <w:r>
              <w:rPr>
                <w:color w:val="000000"/>
                <w:kern w:val="0"/>
                <w:sz w:val="18"/>
                <w:szCs w:val="18"/>
                <w:lang w:bidi="ar"/>
              </w:rPr>
              <w:t>0.39</w:t>
            </w:r>
          </w:p>
        </w:tc>
        <w:tc>
          <w:tcPr>
            <w:tcW w:w="1039" w:type="dxa"/>
            <w:vAlign w:val="center"/>
          </w:tcPr>
          <w:p>
            <w:pPr>
              <w:widowControl/>
              <w:jc w:val="center"/>
              <w:textAlignment w:val="center"/>
              <w:rPr>
                <w:rFonts w:eastAsia="黑体"/>
                <w:sz w:val="18"/>
                <w:szCs w:val="21"/>
              </w:rPr>
            </w:pPr>
            <w:r>
              <w:rPr>
                <w:color w:val="000000"/>
                <w:kern w:val="0"/>
                <w:sz w:val="18"/>
                <w:szCs w:val="18"/>
                <w:lang w:bidi="ar"/>
              </w:rPr>
              <w:t>85.44</w:t>
            </w:r>
          </w:p>
        </w:tc>
        <w:tc>
          <w:tcPr>
            <w:tcW w:w="1018" w:type="dxa"/>
            <w:vAlign w:val="center"/>
          </w:tcPr>
          <w:p>
            <w:pPr>
              <w:widowControl/>
              <w:jc w:val="center"/>
              <w:textAlignment w:val="center"/>
              <w:rPr>
                <w:rFonts w:eastAsia="黑体"/>
                <w:sz w:val="18"/>
                <w:szCs w:val="21"/>
              </w:rPr>
            </w:pPr>
            <w:r>
              <w:rPr>
                <w:color w:val="000000"/>
                <w:kern w:val="0"/>
                <w:sz w:val="18"/>
                <w:szCs w:val="18"/>
                <w:lang w:bidi="ar"/>
              </w:rPr>
              <w:t>423.02</w:t>
            </w:r>
          </w:p>
        </w:tc>
        <w:tc>
          <w:tcPr>
            <w:tcW w:w="1028" w:type="dxa"/>
            <w:vAlign w:val="center"/>
          </w:tcPr>
          <w:p>
            <w:pPr>
              <w:widowControl/>
              <w:jc w:val="center"/>
              <w:textAlignment w:val="center"/>
              <w:rPr>
                <w:rFonts w:eastAsia="黑体"/>
                <w:sz w:val="18"/>
                <w:szCs w:val="21"/>
              </w:rPr>
            </w:pPr>
            <w:r>
              <w:rPr>
                <w:color w:val="000000"/>
                <w:kern w:val="0"/>
                <w:sz w:val="18"/>
                <w:szCs w:val="18"/>
                <w:lang w:bidi="ar"/>
              </w:rPr>
              <w:t>3.71</w:t>
            </w:r>
          </w:p>
        </w:tc>
        <w:tc>
          <w:tcPr>
            <w:tcW w:w="1018" w:type="dxa"/>
            <w:vAlign w:val="center"/>
          </w:tcPr>
          <w:p>
            <w:pPr>
              <w:widowControl/>
              <w:jc w:val="center"/>
              <w:textAlignment w:val="center"/>
              <w:rPr>
                <w:rFonts w:eastAsia="黑体"/>
                <w:sz w:val="18"/>
                <w:szCs w:val="21"/>
              </w:rPr>
            </w:pPr>
            <w:r>
              <w:rPr>
                <w:color w:val="000000"/>
                <w:kern w:val="0"/>
                <w:sz w:val="18"/>
                <w:szCs w:val="18"/>
                <w:lang w:bidi="ar"/>
              </w:rPr>
              <w:t>419.31</w:t>
            </w:r>
          </w:p>
        </w:tc>
        <w:tc>
          <w:tcPr>
            <w:tcW w:w="932" w:type="dxa"/>
            <w:vAlign w:val="center"/>
          </w:tcPr>
          <w:p>
            <w:pPr>
              <w:widowControl/>
              <w:jc w:val="center"/>
              <w:textAlignment w:val="center"/>
              <w:rPr>
                <w:rFonts w:eastAsia="黑体"/>
                <w:sz w:val="18"/>
                <w:szCs w:val="21"/>
              </w:rPr>
            </w:pPr>
            <w:r>
              <w:rPr>
                <w:color w:val="000000"/>
                <w:kern w:val="0"/>
                <w:sz w:val="18"/>
                <w:szCs w:val="18"/>
                <w:lang w:bidi="ar"/>
              </w:rPr>
              <w:t>40.31</w:t>
            </w:r>
          </w:p>
        </w:tc>
        <w:tc>
          <w:tcPr>
            <w:tcW w:w="1018" w:type="dxa"/>
            <w:vAlign w:val="center"/>
          </w:tcPr>
          <w:p>
            <w:pPr>
              <w:widowControl/>
              <w:jc w:val="center"/>
              <w:textAlignment w:val="center"/>
              <w:rPr>
                <w:rFonts w:eastAsia="黑体"/>
                <w:sz w:val="18"/>
                <w:szCs w:val="21"/>
              </w:rPr>
            </w:pPr>
            <w:r>
              <w:rPr>
                <w:color w:val="000000"/>
                <w:kern w:val="0"/>
                <w:sz w:val="18"/>
                <w:szCs w:val="18"/>
                <w:lang w:bidi="ar"/>
              </w:rPr>
              <w:t>1.63</w:t>
            </w:r>
          </w:p>
        </w:tc>
        <w:tc>
          <w:tcPr>
            <w:tcW w:w="1003" w:type="dxa"/>
            <w:vAlign w:val="center"/>
          </w:tcPr>
          <w:p>
            <w:pPr>
              <w:widowControl/>
              <w:jc w:val="center"/>
              <w:textAlignment w:val="center"/>
              <w:rPr>
                <w:rFonts w:eastAsia="黑体"/>
                <w:sz w:val="18"/>
                <w:szCs w:val="21"/>
              </w:rPr>
            </w:pPr>
            <w:r>
              <w:rPr>
                <w:color w:val="000000"/>
                <w:kern w:val="0"/>
                <w:sz w:val="18"/>
                <w:szCs w:val="18"/>
                <w:lang w:bidi="ar"/>
              </w:rPr>
              <w:t>38.68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高林村镇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130609104</w:t>
            </w:r>
          </w:p>
        </w:tc>
        <w:tc>
          <w:tcPr>
            <w:tcW w:w="889" w:type="dxa"/>
            <w:vAlign w:val="center"/>
          </w:tcPr>
          <w:p>
            <w:pPr>
              <w:widowControl/>
              <w:jc w:val="center"/>
              <w:textAlignment w:val="center"/>
              <w:rPr>
                <w:rFonts w:eastAsia="黑体"/>
                <w:sz w:val="18"/>
                <w:szCs w:val="21"/>
              </w:rPr>
            </w:pPr>
            <w:r>
              <w:rPr>
                <w:color w:val="000000"/>
                <w:kern w:val="0"/>
                <w:sz w:val="18"/>
                <w:szCs w:val="18"/>
                <w:lang w:bidi="ar"/>
              </w:rPr>
              <w:t>4697.50</w:t>
            </w:r>
          </w:p>
        </w:tc>
        <w:tc>
          <w:tcPr>
            <w:tcW w:w="975" w:type="dxa"/>
            <w:vAlign w:val="center"/>
          </w:tcPr>
          <w:p>
            <w:pPr>
              <w:widowControl/>
              <w:jc w:val="center"/>
              <w:textAlignment w:val="center"/>
              <w:rPr>
                <w:rFonts w:eastAsia="黑体"/>
                <w:sz w:val="18"/>
                <w:szCs w:val="21"/>
              </w:rPr>
            </w:pPr>
            <w:r>
              <w:rPr>
                <w:color w:val="000000"/>
                <w:kern w:val="0"/>
                <w:sz w:val="18"/>
                <w:szCs w:val="18"/>
                <w:lang w:bidi="ar"/>
              </w:rPr>
              <w:t>234.09</w:t>
            </w:r>
          </w:p>
        </w:tc>
        <w:tc>
          <w:tcPr>
            <w:tcW w:w="1029" w:type="dxa"/>
            <w:vAlign w:val="center"/>
          </w:tcPr>
          <w:p>
            <w:pPr>
              <w:widowControl/>
              <w:jc w:val="center"/>
              <w:textAlignment w:val="center"/>
              <w:rPr>
                <w:rFonts w:eastAsia="黑体"/>
                <w:sz w:val="18"/>
                <w:szCs w:val="21"/>
              </w:rPr>
            </w:pPr>
            <w:r>
              <w:rPr>
                <w:color w:val="000000"/>
                <w:kern w:val="0"/>
                <w:sz w:val="18"/>
                <w:szCs w:val="18"/>
                <w:lang w:bidi="ar"/>
              </w:rPr>
              <w:t>4463.41</w:t>
            </w:r>
          </w:p>
        </w:tc>
        <w:tc>
          <w:tcPr>
            <w:tcW w:w="1061" w:type="dxa"/>
            <w:vAlign w:val="center"/>
          </w:tcPr>
          <w:p>
            <w:pPr>
              <w:widowControl/>
              <w:jc w:val="center"/>
              <w:textAlignment w:val="center"/>
              <w:rPr>
                <w:rFonts w:eastAsia="黑体"/>
                <w:sz w:val="18"/>
                <w:szCs w:val="21"/>
              </w:rPr>
            </w:pPr>
            <w:r>
              <w:rPr>
                <w:color w:val="000000"/>
                <w:kern w:val="0"/>
                <w:sz w:val="18"/>
                <w:szCs w:val="18"/>
                <w:lang w:bidi="ar"/>
              </w:rPr>
              <w:t>34.60</w:t>
            </w:r>
          </w:p>
        </w:tc>
        <w:tc>
          <w:tcPr>
            <w:tcW w:w="1125" w:type="dxa"/>
            <w:vAlign w:val="center"/>
          </w:tcPr>
          <w:p>
            <w:pPr>
              <w:widowControl/>
              <w:jc w:val="center"/>
              <w:textAlignment w:val="center"/>
              <w:rPr>
                <w:rFonts w:eastAsia="黑体"/>
                <w:sz w:val="18"/>
                <w:szCs w:val="21"/>
              </w:rPr>
            </w:pPr>
            <w:r>
              <w:rPr>
                <w:color w:val="000000"/>
                <w:kern w:val="0"/>
                <w:sz w:val="18"/>
                <w:szCs w:val="18"/>
                <w:lang w:bidi="ar"/>
              </w:rPr>
              <w:t>1.20</w:t>
            </w:r>
          </w:p>
        </w:tc>
        <w:tc>
          <w:tcPr>
            <w:tcW w:w="1039" w:type="dxa"/>
            <w:vAlign w:val="center"/>
          </w:tcPr>
          <w:p>
            <w:pPr>
              <w:widowControl/>
              <w:jc w:val="center"/>
              <w:textAlignment w:val="center"/>
              <w:rPr>
                <w:rFonts w:eastAsia="黑体"/>
                <w:sz w:val="18"/>
                <w:szCs w:val="21"/>
              </w:rPr>
            </w:pPr>
            <w:r>
              <w:rPr>
                <w:color w:val="000000"/>
                <w:kern w:val="0"/>
                <w:sz w:val="18"/>
                <w:szCs w:val="18"/>
                <w:lang w:bidi="ar"/>
              </w:rPr>
              <w:t>33.40</w:t>
            </w:r>
          </w:p>
        </w:tc>
        <w:tc>
          <w:tcPr>
            <w:tcW w:w="1018" w:type="dxa"/>
            <w:vAlign w:val="center"/>
          </w:tcPr>
          <w:p>
            <w:pPr>
              <w:widowControl/>
              <w:jc w:val="center"/>
              <w:textAlignment w:val="center"/>
              <w:rPr>
                <w:rFonts w:eastAsia="黑体"/>
                <w:sz w:val="18"/>
                <w:szCs w:val="21"/>
              </w:rPr>
            </w:pPr>
            <w:r>
              <w:rPr>
                <w:color w:val="000000"/>
                <w:kern w:val="0"/>
                <w:sz w:val="18"/>
                <w:szCs w:val="18"/>
                <w:lang w:bidi="ar"/>
              </w:rPr>
              <w:t>350.58</w:t>
            </w:r>
          </w:p>
        </w:tc>
        <w:tc>
          <w:tcPr>
            <w:tcW w:w="1028" w:type="dxa"/>
            <w:vAlign w:val="center"/>
          </w:tcPr>
          <w:p>
            <w:pPr>
              <w:widowControl/>
              <w:jc w:val="center"/>
              <w:textAlignment w:val="center"/>
              <w:rPr>
                <w:rFonts w:eastAsia="黑体"/>
                <w:sz w:val="18"/>
                <w:szCs w:val="21"/>
              </w:rPr>
            </w:pPr>
            <w:r>
              <w:rPr>
                <w:color w:val="000000"/>
                <w:kern w:val="0"/>
                <w:sz w:val="18"/>
                <w:szCs w:val="18"/>
                <w:lang w:bidi="ar"/>
              </w:rPr>
              <w:t>14.65</w:t>
            </w:r>
          </w:p>
        </w:tc>
        <w:tc>
          <w:tcPr>
            <w:tcW w:w="1018" w:type="dxa"/>
            <w:vAlign w:val="center"/>
          </w:tcPr>
          <w:p>
            <w:pPr>
              <w:widowControl/>
              <w:jc w:val="center"/>
              <w:textAlignment w:val="center"/>
              <w:rPr>
                <w:rFonts w:eastAsia="黑体"/>
                <w:sz w:val="18"/>
                <w:szCs w:val="21"/>
              </w:rPr>
            </w:pPr>
            <w:r>
              <w:rPr>
                <w:color w:val="000000"/>
                <w:kern w:val="0"/>
                <w:sz w:val="18"/>
                <w:szCs w:val="18"/>
                <w:lang w:bidi="ar"/>
              </w:rPr>
              <w:t>335.93</w:t>
            </w:r>
          </w:p>
        </w:tc>
        <w:tc>
          <w:tcPr>
            <w:tcW w:w="932" w:type="dxa"/>
            <w:vAlign w:val="center"/>
          </w:tcPr>
          <w:p>
            <w:pPr>
              <w:widowControl/>
              <w:jc w:val="center"/>
              <w:textAlignment w:val="center"/>
              <w:rPr>
                <w:rFonts w:eastAsia="黑体"/>
                <w:sz w:val="18"/>
                <w:szCs w:val="21"/>
              </w:rPr>
            </w:pPr>
            <w:r>
              <w:rPr>
                <w:color w:val="000000"/>
                <w:kern w:val="0"/>
                <w:sz w:val="18"/>
                <w:szCs w:val="18"/>
                <w:lang w:bidi="ar"/>
              </w:rPr>
              <w:t>22.77</w:t>
            </w:r>
          </w:p>
        </w:tc>
        <w:tc>
          <w:tcPr>
            <w:tcW w:w="1018" w:type="dxa"/>
            <w:vAlign w:val="center"/>
          </w:tcPr>
          <w:p>
            <w:pPr>
              <w:widowControl/>
              <w:jc w:val="center"/>
              <w:textAlignment w:val="center"/>
              <w:rPr>
                <w:rFonts w:eastAsia="黑体"/>
                <w:sz w:val="18"/>
                <w:szCs w:val="21"/>
              </w:rPr>
            </w:pPr>
            <w:r>
              <w:rPr>
                <w:color w:val="000000"/>
                <w:kern w:val="0"/>
                <w:sz w:val="18"/>
                <w:szCs w:val="18"/>
                <w:lang w:bidi="ar"/>
              </w:rPr>
              <w:t>0.61</w:t>
            </w:r>
          </w:p>
        </w:tc>
        <w:tc>
          <w:tcPr>
            <w:tcW w:w="1003" w:type="dxa"/>
            <w:vAlign w:val="center"/>
          </w:tcPr>
          <w:p>
            <w:pPr>
              <w:widowControl/>
              <w:jc w:val="center"/>
              <w:textAlignment w:val="center"/>
              <w:rPr>
                <w:rFonts w:eastAsia="黑体"/>
                <w:sz w:val="18"/>
                <w:szCs w:val="21"/>
              </w:rPr>
            </w:pPr>
            <w:r>
              <w:rPr>
                <w:color w:val="000000"/>
                <w:kern w:val="0"/>
                <w:sz w:val="18"/>
                <w:szCs w:val="18"/>
                <w:lang w:bidi="ar"/>
              </w:rPr>
              <w:t>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户木乡</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130609203</w:t>
            </w:r>
          </w:p>
        </w:tc>
        <w:tc>
          <w:tcPr>
            <w:tcW w:w="889" w:type="dxa"/>
            <w:vAlign w:val="center"/>
          </w:tcPr>
          <w:p>
            <w:pPr>
              <w:widowControl/>
              <w:jc w:val="center"/>
              <w:textAlignment w:val="center"/>
              <w:rPr>
                <w:rFonts w:eastAsia="黑体"/>
                <w:sz w:val="18"/>
                <w:szCs w:val="21"/>
              </w:rPr>
            </w:pPr>
            <w:r>
              <w:rPr>
                <w:color w:val="000000"/>
                <w:kern w:val="0"/>
                <w:sz w:val="18"/>
                <w:szCs w:val="18"/>
                <w:lang w:bidi="ar"/>
              </w:rPr>
              <w:t>2583.44</w:t>
            </w:r>
          </w:p>
        </w:tc>
        <w:tc>
          <w:tcPr>
            <w:tcW w:w="975" w:type="dxa"/>
            <w:vAlign w:val="center"/>
          </w:tcPr>
          <w:p>
            <w:pPr>
              <w:widowControl/>
              <w:jc w:val="center"/>
              <w:textAlignment w:val="center"/>
              <w:rPr>
                <w:rFonts w:eastAsia="黑体"/>
                <w:sz w:val="18"/>
                <w:szCs w:val="21"/>
              </w:rPr>
            </w:pPr>
            <w:r>
              <w:rPr>
                <w:color w:val="000000"/>
                <w:kern w:val="0"/>
                <w:sz w:val="18"/>
                <w:szCs w:val="18"/>
                <w:lang w:bidi="ar"/>
              </w:rPr>
              <w:t>25.40</w:t>
            </w:r>
          </w:p>
        </w:tc>
        <w:tc>
          <w:tcPr>
            <w:tcW w:w="1029" w:type="dxa"/>
            <w:vAlign w:val="center"/>
          </w:tcPr>
          <w:p>
            <w:pPr>
              <w:widowControl/>
              <w:jc w:val="center"/>
              <w:textAlignment w:val="center"/>
              <w:rPr>
                <w:rFonts w:eastAsia="黑体"/>
                <w:sz w:val="18"/>
                <w:szCs w:val="21"/>
              </w:rPr>
            </w:pPr>
            <w:r>
              <w:rPr>
                <w:color w:val="000000"/>
                <w:kern w:val="0"/>
                <w:sz w:val="18"/>
                <w:szCs w:val="18"/>
                <w:lang w:bidi="ar"/>
              </w:rPr>
              <w:t>2558.04</w:t>
            </w:r>
          </w:p>
        </w:tc>
        <w:tc>
          <w:tcPr>
            <w:tcW w:w="1061" w:type="dxa"/>
            <w:vAlign w:val="center"/>
          </w:tcPr>
          <w:p>
            <w:pPr>
              <w:widowControl/>
              <w:jc w:val="center"/>
              <w:textAlignment w:val="center"/>
              <w:rPr>
                <w:rFonts w:eastAsia="黑体"/>
                <w:sz w:val="18"/>
                <w:szCs w:val="21"/>
              </w:rPr>
            </w:pPr>
            <w:r>
              <w:rPr>
                <w:color w:val="000000"/>
                <w:kern w:val="0"/>
                <w:sz w:val="18"/>
                <w:szCs w:val="18"/>
                <w:lang w:bidi="ar"/>
              </w:rPr>
              <w:t>19.44</w:t>
            </w:r>
          </w:p>
        </w:tc>
        <w:tc>
          <w:tcPr>
            <w:tcW w:w="1125" w:type="dxa"/>
            <w:vAlign w:val="center"/>
          </w:tcPr>
          <w:p>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pPr>
              <w:widowControl/>
              <w:jc w:val="center"/>
              <w:textAlignment w:val="center"/>
              <w:rPr>
                <w:rFonts w:eastAsia="黑体"/>
                <w:sz w:val="18"/>
                <w:szCs w:val="21"/>
              </w:rPr>
            </w:pPr>
            <w:r>
              <w:rPr>
                <w:color w:val="000000"/>
                <w:kern w:val="0"/>
                <w:sz w:val="18"/>
                <w:szCs w:val="18"/>
                <w:lang w:bidi="ar"/>
              </w:rPr>
              <w:t>19.44</w:t>
            </w:r>
          </w:p>
        </w:tc>
        <w:tc>
          <w:tcPr>
            <w:tcW w:w="1018" w:type="dxa"/>
            <w:vAlign w:val="center"/>
          </w:tcPr>
          <w:p>
            <w:pPr>
              <w:widowControl/>
              <w:jc w:val="center"/>
              <w:textAlignment w:val="center"/>
              <w:rPr>
                <w:rFonts w:eastAsia="黑体"/>
                <w:sz w:val="18"/>
                <w:szCs w:val="21"/>
              </w:rPr>
            </w:pPr>
            <w:r>
              <w:rPr>
                <w:color w:val="000000"/>
                <w:kern w:val="0"/>
                <w:sz w:val="18"/>
                <w:szCs w:val="18"/>
                <w:lang w:bidi="ar"/>
              </w:rPr>
              <w:t>261.87</w:t>
            </w:r>
          </w:p>
        </w:tc>
        <w:tc>
          <w:tcPr>
            <w:tcW w:w="1028" w:type="dxa"/>
            <w:vAlign w:val="center"/>
          </w:tcPr>
          <w:p>
            <w:pPr>
              <w:widowControl/>
              <w:jc w:val="center"/>
              <w:textAlignment w:val="center"/>
              <w:rPr>
                <w:rFonts w:eastAsia="黑体"/>
                <w:sz w:val="18"/>
                <w:szCs w:val="21"/>
              </w:rPr>
            </w:pPr>
            <w:r>
              <w:rPr>
                <w:color w:val="000000"/>
                <w:kern w:val="0"/>
                <w:sz w:val="18"/>
                <w:szCs w:val="18"/>
                <w:lang w:bidi="ar"/>
              </w:rPr>
              <w:t>13.87</w:t>
            </w:r>
          </w:p>
        </w:tc>
        <w:tc>
          <w:tcPr>
            <w:tcW w:w="1018" w:type="dxa"/>
            <w:vAlign w:val="center"/>
          </w:tcPr>
          <w:p>
            <w:pPr>
              <w:widowControl/>
              <w:jc w:val="center"/>
              <w:textAlignment w:val="center"/>
              <w:rPr>
                <w:rFonts w:eastAsia="黑体"/>
                <w:sz w:val="18"/>
                <w:szCs w:val="21"/>
              </w:rPr>
            </w:pPr>
            <w:r>
              <w:rPr>
                <w:color w:val="000000"/>
                <w:kern w:val="0"/>
                <w:sz w:val="18"/>
                <w:szCs w:val="18"/>
                <w:lang w:bidi="ar"/>
              </w:rPr>
              <w:t>248.00</w:t>
            </w:r>
          </w:p>
        </w:tc>
        <w:tc>
          <w:tcPr>
            <w:tcW w:w="932" w:type="dxa"/>
            <w:vAlign w:val="center"/>
          </w:tcPr>
          <w:p>
            <w:pPr>
              <w:widowControl/>
              <w:jc w:val="center"/>
              <w:textAlignment w:val="center"/>
              <w:rPr>
                <w:rFonts w:eastAsia="黑体"/>
                <w:sz w:val="18"/>
                <w:szCs w:val="21"/>
              </w:rPr>
            </w:pPr>
            <w:r>
              <w:rPr>
                <w:color w:val="000000"/>
                <w:kern w:val="0"/>
                <w:sz w:val="18"/>
                <w:szCs w:val="18"/>
                <w:lang w:bidi="ar"/>
              </w:rPr>
              <w:t>10.54</w:t>
            </w:r>
          </w:p>
        </w:tc>
        <w:tc>
          <w:tcPr>
            <w:tcW w:w="1018" w:type="dxa"/>
            <w:vAlign w:val="center"/>
          </w:tcPr>
          <w:p>
            <w:pPr>
              <w:widowControl/>
              <w:jc w:val="center"/>
              <w:textAlignment w:val="center"/>
              <w:rPr>
                <w:rFonts w:eastAsia="黑体"/>
                <w:sz w:val="18"/>
                <w:szCs w:val="21"/>
              </w:rPr>
            </w:pPr>
            <w:r>
              <w:rPr>
                <w:color w:val="000000"/>
                <w:kern w:val="0"/>
                <w:sz w:val="18"/>
                <w:szCs w:val="18"/>
                <w:lang w:bidi="ar"/>
              </w:rPr>
              <w:t>0.62</w:t>
            </w:r>
          </w:p>
        </w:tc>
        <w:tc>
          <w:tcPr>
            <w:tcW w:w="1003" w:type="dxa"/>
            <w:vAlign w:val="center"/>
          </w:tcPr>
          <w:p>
            <w:pPr>
              <w:widowControl/>
              <w:jc w:val="center"/>
              <w:textAlignment w:val="center"/>
              <w:rPr>
                <w:rFonts w:eastAsia="黑体"/>
                <w:sz w:val="18"/>
                <w:szCs w:val="21"/>
              </w:rPr>
            </w:pPr>
            <w:r>
              <w:rPr>
                <w:color w:val="000000"/>
                <w:kern w:val="0"/>
                <w:sz w:val="18"/>
                <w:szCs w:val="18"/>
                <w:lang w:bidi="ar"/>
              </w:rPr>
              <w:t>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瀑河乡</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130609204</w:t>
            </w:r>
          </w:p>
        </w:tc>
        <w:tc>
          <w:tcPr>
            <w:tcW w:w="889" w:type="dxa"/>
            <w:vAlign w:val="center"/>
          </w:tcPr>
          <w:p>
            <w:pPr>
              <w:widowControl/>
              <w:jc w:val="center"/>
              <w:textAlignment w:val="center"/>
              <w:rPr>
                <w:rFonts w:eastAsia="黑体"/>
                <w:sz w:val="18"/>
                <w:szCs w:val="21"/>
              </w:rPr>
            </w:pPr>
            <w:r>
              <w:rPr>
                <w:color w:val="000000"/>
                <w:kern w:val="0"/>
                <w:sz w:val="18"/>
                <w:szCs w:val="18"/>
                <w:lang w:bidi="ar"/>
              </w:rPr>
              <w:t>1562.48</w:t>
            </w:r>
          </w:p>
        </w:tc>
        <w:tc>
          <w:tcPr>
            <w:tcW w:w="975" w:type="dxa"/>
            <w:vAlign w:val="center"/>
          </w:tcPr>
          <w:p>
            <w:pPr>
              <w:widowControl/>
              <w:jc w:val="center"/>
              <w:textAlignment w:val="center"/>
              <w:rPr>
                <w:rFonts w:eastAsia="黑体"/>
                <w:sz w:val="18"/>
                <w:szCs w:val="21"/>
              </w:rPr>
            </w:pPr>
            <w:r>
              <w:rPr>
                <w:color w:val="000000"/>
                <w:kern w:val="0"/>
                <w:sz w:val="18"/>
                <w:szCs w:val="18"/>
                <w:lang w:bidi="ar"/>
              </w:rPr>
              <w:t>322.44</w:t>
            </w:r>
          </w:p>
        </w:tc>
        <w:tc>
          <w:tcPr>
            <w:tcW w:w="1029" w:type="dxa"/>
            <w:vAlign w:val="center"/>
          </w:tcPr>
          <w:p>
            <w:pPr>
              <w:widowControl/>
              <w:jc w:val="center"/>
              <w:textAlignment w:val="center"/>
              <w:rPr>
                <w:rFonts w:eastAsia="黑体"/>
                <w:sz w:val="18"/>
                <w:szCs w:val="21"/>
              </w:rPr>
            </w:pPr>
            <w:r>
              <w:rPr>
                <w:color w:val="000000"/>
                <w:kern w:val="0"/>
                <w:sz w:val="18"/>
                <w:szCs w:val="18"/>
                <w:lang w:bidi="ar"/>
              </w:rPr>
              <w:t>1240.04</w:t>
            </w:r>
          </w:p>
        </w:tc>
        <w:tc>
          <w:tcPr>
            <w:tcW w:w="1061" w:type="dxa"/>
            <w:vAlign w:val="center"/>
          </w:tcPr>
          <w:p>
            <w:pPr>
              <w:widowControl/>
              <w:jc w:val="center"/>
              <w:textAlignment w:val="center"/>
              <w:rPr>
                <w:rFonts w:eastAsia="黑体"/>
                <w:sz w:val="18"/>
                <w:szCs w:val="21"/>
              </w:rPr>
            </w:pPr>
            <w:r>
              <w:rPr>
                <w:color w:val="000000"/>
                <w:kern w:val="0"/>
                <w:sz w:val="18"/>
                <w:szCs w:val="18"/>
                <w:lang w:bidi="ar"/>
              </w:rPr>
              <w:t>133.43</w:t>
            </w:r>
          </w:p>
        </w:tc>
        <w:tc>
          <w:tcPr>
            <w:tcW w:w="1125" w:type="dxa"/>
            <w:vAlign w:val="center"/>
          </w:tcPr>
          <w:p>
            <w:pPr>
              <w:widowControl/>
              <w:jc w:val="center"/>
              <w:textAlignment w:val="center"/>
              <w:rPr>
                <w:rFonts w:eastAsia="黑体"/>
                <w:sz w:val="18"/>
                <w:szCs w:val="21"/>
              </w:rPr>
            </w:pPr>
            <w:r>
              <w:rPr>
                <w:color w:val="000000"/>
                <w:kern w:val="0"/>
                <w:sz w:val="18"/>
                <w:szCs w:val="18"/>
                <w:lang w:bidi="ar"/>
              </w:rPr>
              <w:t>7.37</w:t>
            </w:r>
          </w:p>
        </w:tc>
        <w:tc>
          <w:tcPr>
            <w:tcW w:w="1039" w:type="dxa"/>
            <w:vAlign w:val="center"/>
          </w:tcPr>
          <w:p>
            <w:pPr>
              <w:widowControl/>
              <w:jc w:val="center"/>
              <w:textAlignment w:val="center"/>
              <w:rPr>
                <w:rFonts w:eastAsia="黑体"/>
                <w:sz w:val="18"/>
                <w:szCs w:val="21"/>
              </w:rPr>
            </w:pPr>
            <w:r>
              <w:rPr>
                <w:color w:val="000000"/>
                <w:kern w:val="0"/>
                <w:sz w:val="18"/>
                <w:szCs w:val="18"/>
                <w:lang w:bidi="ar"/>
              </w:rPr>
              <w:t>126.06</w:t>
            </w:r>
          </w:p>
        </w:tc>
        <w:tc>
          <w:tcPr>
            <w:tcW w:w="1018" w:type="dxa"/>
            <w:vAlign w:val="center"/>
          </w:tcPr>
          <w:p>
            <w:pPr>
              <w:widowControl/>
              <w:jc w:val="center"/>
              <w:textAlignment w:val="center"/>
              <w:rPr>
                <w:rFonts w:eastAsia="黑体"/>
                <w:sz w:val="18"/>
                <w:szCs w:val="21"/>
              </w:rPr>
            </w:pPr>
            <w:r>
              <w:rPr>
                <w:color w:val="000000"/>
                <w:kern w:val="0"/>
                <w:sz w:val="18"/>
                <w:szCs w:val="18"/>
                <w:lang w:bidi="ar"/>
              </w:rPr>
              <w:t>479.22</w:t>
            </w:r>
          </w:p>
        </w:tc>
        <w:tc>
          <w:tcPr>
            <w:tcW w:w="1028" w:type="dxa"/>
            <w:vAlign w:val="center"/>
          </w:tcPr>
          <w:p>
            <w:pPr>
              <w:widowControl/>
              <w:jc w:val="center"/>
              <w:textAlignment w:val="center"/>
              <w:rPr>
                <w:rFonts w:eastAsia="黑体"/>
                <w:sz w:val="18"/>
                <w:szCs w:val="21"/>
              </w:rPr>
            </w:pPr>
            <w:r>
              <w:rPr>
                <w:color w:val="000000"/>
                <w:kern w:val="0"/>
                <w:sz w:val="18"/>
                <w:szCs w:val="18"/>
                <w:lang w:bidi="ar"/>
              </w:rPr>
              <w:t>45.75</w:t>
            </w:r>
          </w:p>
        </w:tc>
        <w:tc>
          <w:tcPr>
            <w:tcW w:w="1018" w:type="dxa"/>
            <w:vAlign w:val="center"/>
          </w:tcPr>
          <w:p>
            <w:pPr>
              <w:widowControl/>
              <w:jc w:val="center"/>
              <w:textAlignment w:val="center"/>
              <w:rPr>
                <w:rFonts w:eastAsia="黑体"/>
                <w:sz w:val="18"/>
                <w:szCs w:val="21"/>
              </w:rPr>
            </w:pPr>
            <w:r>
              <w:rPr>
                <w:color w:val="000000"/>
                <w:kern w:val="0"/>
                <w:sz w:val="18"/>
                <w:szCs w:val="18"/>
                <w:lang w:bidi="ar"/>
              </w:rPr>
              <w:t>433.47</w:t>
            </w:r>
          </w:p>
        </w:tc>
        <w:tc>
          <w:tcPr>
            <w:tcW w:w="932" w:type="dxa"/>
            <w:vAlign w:val="center"/>
          </w:tcPr>
          <w:p>
            <w:pPr>
              <w:widowControl/>
              <w:jc w:val="center"/>
              <w:textAlignment w:val="center"/>
              <w:rPr>
                <w:rFonts w:eastAsia="黑体"/>
                <w:sz w:val="18"/>
                <w:szCs w:val="21"/>
              </w:rPr>
            </w:pPr>
            <w:r>
              <w:rPr>
                <w:color w:val="000000"/>
                <w:kern w:val="0"/>
                <w:sz w:val="18"/>
                <w:szCs w:val="18"/>
                <w:lang w:bidi="ar"/>
              </w:rPr>
              <w:t>76.27</w:t>
            </w:r>
          </w:p>
        </w:tc>
        <w:tc>
          <w:tcPr>
            <w:tcW w:w="1018" w:type="dxa"/>
            <w:vAlign w:val="center"/>
          </w:tcPr>
          <w:p>
            <w:pPr>
              <w:widowControl/>
              <w:jc w:val="center"/>
              <w:textAlignment w:val="center"/>
              <w:rPr>
                <w:rFonts w:eastAsia="黑体"/>
                <w:sz w:val="18"/>
                <w:szCs w:val="21"/>
              </w:rPr>
            </w:pPr>
            <w:r>
              <w:rPr>
                <w:color w:val="000000"/>
                <w:kern w:val="0"/>
                <w:sz w:val="18"/>
                <w:szCs w:val="18"/>
                <w:lang w:bidi="ar"/>
              </w:rPr>
              <w:t>4.67</w:t>
            </w:r>
          </w:p>
        </w:tc>
        <w:tc>
          <w:tcPr>
            <w:tcW w:w="1003" w:type="dxa"/>
            <w:vAlign w:val="center"/>
          </w:tcPr>
          <w:p>
            <w:pPr>
              <w:widowControl/>
              <w:jc w:val="center"/>
              <w:textAlignment w:val="center"/>
              <w:rPr>
                <w:rFonts w:eastAsia="黑体"/>
                <w:sz w:val="18"/>
                <w:szCs w:val="21"/>
              </w:rPr>
            </w:pPr>
            <w:r>
              <w:rPr>
                <w:color w:val="000000"/>
                <w:kern w:val="0"/>
                <w:sz w:val="18"/>
                <w:szCs w:val="18"/>
                <w:lang w:bidi="ar"/>
              </w:rPr>
              <w:t>71.60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遂城镇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130609103</w:t>
            </w:r>
          </w:p>
        </w:tc>
        <w:tc>
          <w:tcPr>
            <w:tcW w:w="889" w:type="dxa"/>
            <w:vAlign w:val="center"/>
          </w:tcPr>
          <w:p>
            <w:pPr>
              <w:widowControl/>
              <w:jc w:val="center"/>
              <w:textAlignment w:val="center"/>
              <w:rPr>
                <w:rFonts w:eastAsia="黑体"/>
                <w:sz w:val="18"/>
                <w:szCs w:val="21"/>
              </w:rPr>
            </w:pPr>
            <w:r>
              <w:rPr>
                <w:color w:val="000000"/>
                <w:kern w:val="0"/>
                <w:sz w:val="18"/>
                <w:szCs w:val="18"/>
                <w:lang w:bidi="ar"/>
              </w:rPr>
              <w:t>4013.46</w:t>
            </w:r>
          </w:p>
        </w:tc>
        <w:tc>
          <w:tcPr>
            <w:tcW w:w="975" w:type="dxa"/>
            <w:vAlign w:val="center"/>
          </w:tcPr>
          <w:p>
            <w:pPr>
              <w:widowControl/>
              <w:jc w:val="center"/>
              <w:textAlignment w:val="center"/>
              <w:rPr>
                <w:rFonts w:eastAsia="黑体"/>
                <w:sz w:val="18"/>
                <w:szCs w:val="21"/>
              </w:rPr>
            </w:pPr>
            <w:r>
              <w:rPr>
                <w:color w:val="000000"/>
                <w:kern w:val="0"/>
                <w:sz w:val="18"/>
                <w:szCs w:val="18"/>
                <w:lang w:bidi="ar"/>
              </w:rPr>
              <w:t>13.83</w:t>
            </w:r>
          </w:p>
        </w:tc>
        <w:tc>
          <w:tcPr>
            <w:tcW w:w="1029" w:type="dxa"/>
            <w:vAlign w:val="center"/>
          </w:tcPr>
          <w:p>
            <w:pPr>
              <w:widowControl/>
              <w:jc w:val="center"/>
              <w:textAlignment w:val="center"/>
              <w:rPr>
                <w:rFonts w:eastAsia="黑体"/>
                <w:sz w:val="18"/>
                <w:szCs w:val="21"/>
              </w:rPr>
            </w:pPr>
            <w:r>
              <w:rPr>
                <w:color w:val="000000"/>
                <w:kern w:val="0"/>
                <w:sz w:val="18"/>
                <w:szCs w:val="18"/>
                <w:lang w:bidi="ar"/>
              </w:rPr>
              <w:t>3999.63</w:t>
            </w:r>
          </w:p>
        </w:tc>
        <w:tc>
          <w:tcPr>
            <w:tcW w:w="1061" w:type="dxa"/>
            <w:vAlign w:val="center"/>
          </w:tcPr>
          <w:p>
            <w:pPr>
              <w:widowControl/>
              <w:jc w:val="center"/>
              <w:textAlignment w:val="center"/>
              <w:rPr>
                <w:rFonts w:eastAsia="黑体"/>
                <w:sz w:val="18"/>
                <w:szCs w:val="21"/>
              </w:rPr>
            </w:pPr>
            <w:r>
              <w:rPr>
                <w:color w:val="000000"/>
                <w:kern w:val="0"/>
                <w:sz w:val="18"/>
                <w:szCs w:val="18"/>
                <w:lang w:bidi="ar"/>
              </w:rPr>
              <w:t>78.19</w:t>
            </w:r>
          </w:p>
        </w:tc>
        <w:tc>
          <w:tcPr>
            <w:tcW w:w="1125" w:type="dxa"/>
            <w:vAlign w:val="center"/>
          </w:tcPr>
          <w:p>
            <w:pPr>
              <w:widowControl/>
              <w:jc w:val="center"/>
              <w:textAlignment w:val="center"/>
              <w:rPr>
                <w:rFonts w:eastAsia="黑体"/>
                <w:sz w:val="18"/>
                <w:szCs w:val="21"/>
              </w:rPr>
            </w:pPr>
            <w:r>
              <w:rPr>
                <w:color w:val="000000"/>
                <w:kern w:val="0"/>
                <w:sz w:val="18"/>
                <w:szCs w:val="18"/>
                <w:lang w:bidi="ar"/>
              </w:rPr>
              <w:t>0.38</w:t>
            </w:r>
          </w:p>
        </w:tc>
        <w:tc>
          <w:tcPr>
            <w:tcW w:w="1039" w:type="dxa"/>
            <w:vAlign w:val="center"/>
          </w:tcPr>
          <w:p>
            <w:pPr>
              <w:widowControl/>
              <w:jc w:val="center"/>
              <w:textAlignment w:val="center"/>
              <w:rPr>
                <w:rFonts w:eastAsia="黑体"/>
                <w:sz w:val="18"/>
                <w:szCs w:val="21"/>
              </w:rPr>
            </w:pPr>
            <w:r>
              <w:rPr>
                <w:color w:val="000000"/>
                <w:kern w:val="0"/>
                <w:sz w:val="18"/>
                <w:szCs w:val="18"/>
                <w:lang w:bidi="ar"/>
              </w:rPr>
              <w:t>77.81</w:t>
            </w:r>
          </w:p>
        </w:tc>
        <w:tc>
          <w:tcPr>
            <w:tcW w:w="1018" w:type="dxa"/>
            <w:vAlign w:val="center"/>
          </w:tcPr>
          <w:p>
            <w:pPr>
              <w:widowControl/>
              <w:jc w:val="center"/>
              <w:textAlignment w:val="center"/>
              <w:rPr>
                <w:rFonts w:eastAsia="黑体"/>
                <w:sz w:val="18"/>
                <w:szCs w:val="21"/>
              </w:rPr>
            </w:pPr>
            <w:r>
              <w:rPr>
                <w:color w:val="000000"/>
                <w:kern w:val="0"/>
                <w:sz w:val="18"/>
                <w:szCs w:val="18"/>
                <w:lang w:bidi="ar"/>
              </w:rPr>
              <w:t>785.45</w:t>
            </w:r>
          </w:p>
        </w:tc>
        <w:tc>
          <w:tcPr>
            <w:tcW w:w="1028" w:type="dxa"/>
            <w:vAlign w:val="center"/>
          </w:tcPr>
          <w:p>
            <w:pPr>
              <w:widowControl/>
              <w:jc w:val="center"/>
              <w:textAlignment w:val="center"/>
              <w:rPr>
                <w:rFonts w:eastAsia="黑体"/>
                <w:sz w:val="18"/>
                <w:szCs w:val="21"/>
              </w:rPr>
            </w:pPr>
            <w:r>
              <w:rPr>
                <w:color w:val="000000"/>
                <w:kern w:val="0"/>
                <w:sz w:val="18"/>
                <w:szCs w:val="18"/>
                <w:lang w:bidi="ar"/>
              </w:rPr>
              <w:t>37.88</w:t>
            </w:r>
          </w:p>
        </w:tc>
        <w:tc>
          <w:tcPr>
            <w:tcW w:w="1018" w:type="dxa"/>
            <w:vAlign w:val="center"/>
          </w:tcPr>
          <w:p>
            <w:pPr>
              <w:widowControl/>
              <w:jc w:val="center"/>
              <w:textAlignment w:val="center"/>
              <w:rPr>
                <w:rFonts w:eastAsia="黑体"/>
                <w:sz w:val="18"/>
                <w:szCs w:val="21"/>
              </w:rPr>
            </w:pPr>
            <w:r>
              <w:rPr>
                <w:color w:val="000000"/>
                <w:kern w:val="0"/>
                <w:sz w:val="18"/>
                <w:szCs w:val="18"/>
                <w:lang w:bidi="ar"/>
              </w:rPr>
              <w:t>747.57</w:t>
            </w:r>
          </w:p>
        </w:tc>
        <w:tc>
          <w:tcPr>
            <w:tcW w:w="932" w:type="dxa"/>
            <w:vAlign w:val="center"/>
          </w:tcPr>
          <w:p>
            <w:pPr>
              <w:widowControl/>
              <w:jc w:val="center"/>
              <w:textAlignment w:val="center"/>
              <w:rPr>
                <w:rFonts w:eastAsia="黑体"/>
                <w:sz w:val="18"/>
                <w:szCs w:val="21"/>
              </w:rPr>
            </w:pPr>
            <w:r>
              <w:rPr>
                <w:color w:val="000000"/>
                <w:kern w:val="0"/>
                <w:sz w:val="18"/>
                <w:szCs w:val="18"/>
                <w:lang w:bidi="ar"/>
              </w:rPr>
              <w:t>13.97</w:t>
            </w:r>
          </w:p>
        </w:tc>
        <w:tc>
          <w:tcPr>
            <w:tcW w:w="1018" w:type="dxa"/>
            <w:vAlign w:val="center"/>
          </w:tcPr>
          <w:p>
            <w:pPr>
              <w:widowControl/>
              <w:jc w:val="center"/>
              <w:textAlignment w:val="center"/>
              <w:rPr>
                <w:rFonts w:eastAsia="黑体"/>
                <w:sz w:val="18"/>
                <w:szCs w:val="21"/>
              </w:rPr>
            </w:pPr>
            <w:r>
              <w:rPr>
                <w:color w:val="000000"/>
                <w:kern w:val="0"/>
                <w:sz w:val="18"/>
                <w:szCs w:val="18"/>
                <w:lang w:bidi="ar"/>
              </w:rPr>
              <w:t>1.00</w:t>
            </w:r>
          </w:p>
        </w:tc>
        <w:tc>
          <w:tcPr>
            <w:tcW w:w="1003" w:type="dxa"/>
            <w:vAlign w:val="center"/>
          </w:tcPr>
          <w:p>
            <w:pPr>
              <w:widowControl/>
              <w:jc w:val="center"/>
              <w:textAlignment w:val="center"/>
              <w:rPr>
                <w:rFonts w:eastAsia="黑体"/>
                <w:sz w:val="18"/>
                <w:szCs w:val="21"/>
              </w:rPr>
            </w:pPr>
            <w:r>
              <w:rPr>
                <w:color w:val="000000"/>
                <w:kern w:val="0"/>
                <w:sz w:val="18"/>
                <w:szCs w:val="18"/>
                <w:lang w:bidi="ar"/>
              </w:rPr>
              <w:t>12.97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正村镇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130609109</w:t>
            </w:r>
          </w:p>
        </w:tc>
        <w:tc>
          <w:tcPr>
            <w:tcW w:w="889" w:type="dxa"/>
            <w:vAlign w:val="center"/>
          </w:tcPr>
          <w:p>
            <w:pPr>
              <w:widowControl/>
              <w:jc w:val="center"/>
              <w:textAlignment w:val="center"/>
              <w:rPr>
                <w:rFonts w:eastAsia="黑体"/>
                <w:sz w:val="18"/>
                <w:szCs w:val="21"/>
              </w:rPr>
            </w:pPr>
            <w:r>
              <w:rPr>
                <w:color w:val="000000"/>
                <w:kern w:val="0"/>
                <w:sz w:val="18"/>
                <w:szCs w:val="18"/>
                <w:lang w:bidi="ar"/>
              </w:rPr>
              <w:t>2349.07</w:t>
            </w:r>
          </w:p>
        </w:tc>
        <w:tc>
          <w:tcPr>
            <w:tcW w:w="975" w:type="dxa"/>
            <w:vAlign w:val="center"/>
          </w:tcPr>
          <w:p>
            <w:pPr>
              <w:widowControl/>
              <w:jc w:val="center"/>
              <w:textAlignment w:val="center"/>
              <w:rPr>
                <w:rFonts w:eastAsia="黑体"/>
                <w:sz w:val="18"/>
                <w:szCs w:val="21"/>
              </w:rPr>
            </w:pPr>
            <w:r>
              <w:rPr>
                <w:color w:val="000000"/>
                <w:kern w:val="0"/>
                <w:sz w:val="18"/>
                <w:szCs w:val="18"/>
                <w:lang w:bidi="ar"/>
              </w:rPr>
              <w:t>68.90</w:t>
            </w:r>
          </w:p>
        </w:tc>
        <w:tc>
          <w:tcPr>
            <w:tcW w:w="1029" w:type="dxa"/>
            <w:vAlign w:val="center"/>
          </w:tcPr>
          <w:p>
            <w:pPr>
              <w:widowControl/>
              <w:jc w:val="center"/>
              <w:textAlignment w:val="center"/>
              <w:rPr>
                <w:rFonts w:eastAsia="黑体"/>
                <w:sz w:val="18"/>
                <w:szCs w:val="21"/>
              </w:rPr>
            </w:pPr>
            <w:r>
              <w:rPr>
                <w:color w:val="000000"/>
                <w:kern w:val="0"/>
                <w:sz w:val="18"/>
                <w:szCs w:val="18"/>
                <w:lang w:bidi="ar"/>
              </w:rPr>
              <w:t>2280.17</w:t>
            </w:r>
          </w:p>
        </w:tc>
        <w:tc>
          <w:tcPr>
            <w:tcW w:w="1061" w:type="dxa"/>
            <w:vAlign w:val="center"/>
          </w:tcPr>
          <w:p>
            <w:pPr>
              <w:widowControl/>
              <w:jc w:val="center"/>
              <w:textAlignment w:val="center"/>
              <w:rPr>
                <w:rFonts w:eastAsia="黑体"/>
                <w:sz w:val="18"/>
                <w:szCs w:val="21"/>
              </w:rPr>
            </w:pPr>
            <w:r>
              <w:rPr>
                <w:color w:val="000000"/>
                <w:kern w:val="0"/>
                <w:sz w:val="18"/>
                <w:szCs w:val="18"/>
                <w:lang w:bidi="ar"/>
              </w:rPr>
              <w:t>71.94</w:t>
            </w:r>
          </w:p>
        </w:tc>
        <w:tc>
          <w:tcPr>
            <w:tcW w:w="1125" w:type="dxa"/>
            <w:vAlign w:val="center"/>
          </w:tcPr>
          <w:p>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pPr>
              <w:widowControl/>
              <w:jc w:val="center"/>
              <w:textAlignment w:val="center"/>
              <w:rPr>
                <w:rFonts w:eastAsia="黑体"/>
                <w:sz w:val="18"/>
                <w:szCs w:val="21"/>
              </w:rPr>
            </w:pPr>
            <w:r>
              <w:rPr>
                <w:color w:val="000000"/>
                <w:kern w:val="0"/>
                <w:sz w:val="18"/>
                <w:szCs w:val="18"/>
                <w:lang w:bidi="ar"/>
              </w:rPr>
              <w:t>71.94</w:t>
            </w:r>
          </w:p>
        </w:tc>
        <w:tc>
          <w:tcPr>
            <w:tcW w:w="1018" w:type="dxa"/>
            <w:vAlign w:val="center"/>
          </w:tcPr>
          <w:p>
            <w:pPr>
              <w:widowControl/>
              <w:jc w:val="center"/>
              <w:textAlignment w:val="center"/>
              <w:rPr>
                <w:rFonts w:eastAsia="黑体"/>
                <w:sz w:val="18"/>
                <w:szCs w:val="21"/>
              </w:rPr>
            </w:pPr>
            <w:r>
              <w:rPr>
                <w:color w:val="000000"/>
                <w:kern w:val="0"/>
                <w:sz w:val="18"/>
                <w:szCs w:val="18"/>
                <w:lang w:bidi="ar"/>
              </w:rPr>
              <w:t>342.03</w:t>
            </w:r>
          </w:p>
        </w:tc>
        <w:tc>
          <w:tcPr>
            <w:tcW w:w="1028" w:type="dxa"/>
            <w:vAlign w:val="center"/>
          </w:tcPr>
          <w:p>
            <w:pPr>
              <w:widowControl/>
              <w:jc w:val="center"/>
              <w:textAlignment w:val="center"/>
              <w:rPr>
                <w:rFonts w:eastAsia="黑体"/>
                <w:sz w:val="18"/>
                <w:szCs w:val="21"/>
              </w:rPr>
            </w:pPr>
            <w:r>
              <w:rPr>
                <w:color w:val="000000"/>
                <w:kern w:val="0"/>
                <w:sz w:val="18"/>
                <w:szCs w:val="18"/>
                <w:lang w:bidi="ar"/>
              </w:rPr>
              <w:t>14.66</w:t>
            </w:r>
          </w:p>
        </w:tc>
        <w:tc>
          <w:tcPr>
            <w:tcW w:w="1018" w:type="dxa"/>
            <w:vAlign w:val="center"/>
          </w:tcPr>
          <w:p>
            <w:pPr>
              <w:widowControl/>
              <w:jc w:val="center"/>
              <w:textAlignment w:val="center"/>
              <w:rPr>
                <w:rFonts w:eastAsia="黑体"/>
                <w:sz w:val="18"/>
                <w:szCs w:val="21"/>
              </w:rPr>
            </w:pPr>
            <w:r>
              <w:rPr>
                <w:color w:val="000000"/>
                <w:kern w:val="0"/>
                <w:sz w:val="18"/>
                <w:szCs w:val="18"/>
                <w:lang w:bidi="ar"/>
              </w:rPr>
              <w:t>327.37</w:t>
            </w:r>
          </w:p>
        </w:tc>
        <w:tc>
          <w:tcPr>
            <w:tcW w:w="932" w:type="dxa"/>
            <w:vAlign w:val="center"/>
          </w:tcPr>
          <w:p>
            <w:pPr>
              <w:widowControl/>
              <w:jc w:val="center"/>
              <w:textAlignment w:val="center"/>
              <w:rPr>
                <w:rFonts w:eastAsia="黑体"/>
                <w:sz w:val="18"/>
                <w:szCs w:val="21"/>
              </w:rPr>
            </w:pPr>
            <w:r>
              <w:rPr>
                <w:color w:val="000000"/>
                <w:kern w:val="0"/>
                <w:sz w:val="18"/>
                <w:szCs w:val="18"/>
                <w:lang w:bidi="ar"/>
              </w:rPr>
              <w:t>36.69</w:t>
            </w:r>
          </w:p>
        </w:tc>
        <w:tc>
          <w:tcPr>
            <w:tcW w:w="1018" w:type="dxa"/>
            <w:vAlign w:val="center"/>
          </w:tcPr>
          <w:p>
            <w:pPr>
              <w:widowControl/>
              <w:jc w:val="center"/>
              <w:textAlignment w:val="center"/>
              <w:rPr>
                <w:rFonts w:eastAsia="黑体"/>
                <w:sz w:val="18"/>
                <w:szCs w:val="21"/>
              </w:rPr>
            </w:pPr>
            <w:r>
              <w:rPr>
                <w:color w:val="000000"/>
                <w:kern w:val="0"/>
                <w:sz w:val="18"/>
                <w:szCs w:val="18"/>
                <w:lang w:bidi="ar"/>
              </w:rPr>
              <w:t>16.98</w:t>
            </w:r>
          </w:p>
        </w:tc>
        <w:tc>
          <w:tcPr>
            <w:tcW w:w="1003" w:type="dxa"/>
            <w:vAlign w:val="center"/>
          </w:tcPr>
          <w:p>
            <w:pPr>
              <w:widowControl/>
              <w:jc w:val="center"/>
              <w:textAlignment w:val="center"/>
              <w:rPr>
                <w:rFonts w:eastAsia="黑体"/>
                <w:sz w:val="18"/>
                <w:szCs w:val="21"/>
              </w:rPr>
            </w:pPr>
            <w:r>
              <w:rPr>
                <w:color w:val="000000"/>
                <w:kern w:val="0"/>
                <w:sz w:val="18"/>
                <w:szCs w:val="18"/>
                <w:lang w:bidi="ar"/>
              </w:rPr>
              <w:t>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留村镇</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130609107</w:t>
            </w:r>
          </w:p>
        </w:tc>
        <w:tc>
          <w:tcPr>
            <w:tcW w:w="889" w:type="dxa"/>
            <w:vAlign w:val="center"/>
          </w:tcPr>
          <w:p>
            <w:pPr>
              <w:widowControl/>
              <w:jc w:val="center"/>
              <w:textAlignment w:val="center"/>
              <w:rPr>
                <w:rFonts w:eastAsia="黑体"/>
                <w:sz w:val="18"/>
                <w:szCs w:val="21"/>
              </w:rPr>
            </w:pPr>
            <w:r>
              <w:rPr>
                <w:color w:val="000000"/>
                <w:kern w:val="0"/>
                <w:sz w:val="18"/>
                <w:szCs w:val="18"/>
                <w:lang w:bidi="ar"/>
              </w:rPr>
              <w:t>2038.64</w:t>
            </w:r>
          </w:p>
        </w:tc>
        <w:tc>
          <w:tcPr>
            <w:tcW w:w="975" w:type="dxa"/>
            <w:vAlign w:val="center"/>
          </w:tcPr>
          <w:p>
            <w:pPr>
              <w:widowControl/>
              <w:jc w:val="center"/>
              <w:textAlignment w:val="center"/>
              <w:rPr>
                <w:rFonts w:eastAsia="黑体"/>
                <w:sz w:val="18"/>
                <w:szCs w:val="21"/>
              </w:rPr>
            </w:pPr>
            <w:r>
              <w:rPr>
                <w:color w:val="000000"/>
                <w:kern w:val="0"/>
                <w:sz w:val="18"/>
                <w:szCs w:val="18"/>
                <w:lang w:bidi="ar"/>
              </w:rPr>
              <w:t>80.00</w:t>
            </w:r>
          </w:p>
        </w:tc>
        <w:tc>
          <w:tcPr>
            <w:tcW w:w="1029" w:type="dxa"/>
            <w:vAlign w:val="center"/>
          </w:tcPr>
          <w:p>
            <w:pPr>
              <w:widowControl/>
              <w:jc w:val="center"/>
              <w:textAlignment w:val="center"/>
              <w:rPr>
                <w:rFonts w:eastAsia="黑体"/>
                <w:sz w:val="18"/>
                <w:szCs w:val="21"/>
              </w:rPr>
            </w:pPr>
            <w:r>
              <w:rPr>
                <w:color w:val="000000"/>
                <w:kern w:val="0"/>
                <w:sz w:val="18"/>
                <w:szCs w:val="18"/>
                <w:lang w:bidi="ar"/>
              </w:rPr>
              <w:t>1958.64</w:t>
            </w:r>
          </w:p>
        </w:tc>
        <w:tc>
          <w:tcPr>
            <w:tcW w:w="1061" w:type="dxa"/>
            <w:vAlign w:val="center"/>
          </w:tcPr>
          <w:p>
            <w:pPr>
              <w:widowControl/>
              <w:jc w:val="center"/>
              <w:textAlignment w:val="center"/>
              <w:rPr>
                <w:rFonts w:eastAsia="黑体"/>
                <w:sz w:val="18"/>
                <w:szCs w:val="21"/>
              </w:rPr>
            </w:pPr>
            <w:r>
              <w:rPr>
                <w:color w:val="000000"/>
                <w:kern w:val="0"/>
                <w:sz w:val="18"/>
                <w:szCs w:val="18"/>
                <w:lang w:bidi="ar"/>
              </w:rPr>
              <w:t>19.44</w:t>
            </w:r>
          </w:p>
        </w:tc>
        <w:tc>
          <w:tcPr>
            <w:tcW w:w="1125" w:type="dxa"/>
            <w:vAlign w:val="center"/>
          </w:tcPr>
          <w:p>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pPr>
              <w:widowControl/>
              <w:jc w:val="center"/>
              <w:textAlignment w:val="center"/>
              <w:rPr>
                <w:rFonts w:eastAsia="黑体"/>
                <w:sz w:val="18"/>
                <w:szCs w:val="21"/>
              </w:rPr>
            </w:pPr>
            <w:r>
              <w:rPr>
                <w:color w:val="000000"/>
                <w:kern w:val="0"/>
                <w:sz w:val="18"/>
                <w:szCs w:val="18"/>
                <w:lang w:bidi="ar"/>
              </w:rPr>
              <w:t>19.44</w:t>
            </w:r>
          </w:p>
        </w:tc>
        <w:tc>
          <w:tcPr>
            <w:tcW w:w="1018" w:type="dxa"/>
            <w:vAlign w:val="center"/>
          </w:tcPr>
          <w:p>
            <w:pPr>
              <w:widowControl/>
              <w:jc w:val="center"/>
              <w:textAlignment w:val="center"/>
              <w:rPr>
                <w:rFonts w:eastAsia="黑体"/>
                <w:sz w:val="18"/>
                <w:szCs w:val="21"/>
              </w:rPr>
            </w:pPr>
            <w:r>
              <w:rPr>
                <w:color w:val="000000"/>
                <w:kern w:val="0"/>
                <w:sz w:val="18"/>
                <w:szCs w:val="18"/>
                <w:lang w:bidi="ar"/>
              </w:rPr>
              <w:t>785.10</w:t>
            </w:r>
          </w:p>
        </w:tc>
        <w:tc>
          <w:tcPr>
            <w:tcW w:w="1028" w:type="dxa"/>
            <w:vAlign w:val="center"/>
          </w:tcPr>
          <w:p>
            <w:pPr>
              <w:widowControl/>
              <w:jc w:val="center"/>
              <w:textAlignment w:val="center"/>
              <w:rPr>
                <w:rFonts w:eastAsia="黑体"/>
                <w:sz w:val="18"/>
                <w:szCs w:val="21"/>
              </w:rPr>
            </w:pPr>
            <w:r>
              <w:rPr>
                <w:color w:val="000000"/>
                <w:kern w:val="0"/>
                <w:sz w:val="18"/>
                <w:szCs w:val="18"/>
                <w:lang w:bidi="ar"/>
              </w:rPr>
              <w:t>12.75</w:t>
            </w:r>
          </w:p>
        </w:tc>
        <w:tc>
          <w:tcPr>
            <w:tcW w:w="1018" w:type="dxa"/>
            <w:vAlign w:val="center"/>
          </w:tcPr>
          <w:p>
            <w:pPr>
              <w:widowControl/>
              <w:jc w:val="center"/>
              <w:textAlignment w:val="center"/>
              <w:rPr>
                <w:rFonts w:eastAsia="黑体"/>
                <w:sz w:val="18"/>
                <w:szCs w:val="21"/>
              </w:rPr>
            </w:pPr>
            <w:r>
              <w:rPr>
                <w:color w:val="000000"/>
                <w:kern w:val="0"/>
                <w:sz w:val="18"/>
                <w:szCs w:val="18"/>
                <w:lang w:bidi="ar"/>
              </w:rPr>
              <w:t>772.35</w:t>
            </w:r>
          </w:p>
        </w:tc>
        <w:tc>
          <w:tcPr>
            <w:tcW w:w="932" w:type="dxa"/>
            <w:vAlign w:val="center"/>
          </w:tcPr>
          <w:p>
            <w:pPr>
              <w:widowControl/>
              <w:jc w:val="center"/>
              <w:textAlignment w:val="center"/>
              <w:rPr>
                <w:rFonts w:eastAsia="黑体"/>
                <w:sz w:val="18"/>
                <w:szCs w:val="21"/>
              </w:rPr>
            </w:pPr>
            <w:r>
              <w:rPr>
                <w:color w:val="000000"/>
                <w:kern w:val="0"/>
                <w:sz w:val="18"/>
                <w:szCs w:val="18"/>
                <w:lang w:bidi="ar"/>
              </w:rPr>
              <w:t>23.60</w:t>
            </w:r>
          </w:p>
        </w:tc>
        <w:tc>
          <w:tcPr>
            <w:tcW w:w="1018" w:type="dxa"/>
            <w:vAlign w:val="center"/>
          </w:tcPr>
          <w:p>
            <w:pPr>
              <w:widowControl/>
              <w:jc w:val="center"/>
              <w:textAlignment w:val="center"/>
              <w:rPr>
                <w:rFonts w:eastAsia="黑体"/>
                <w:sz w:val="18"/>
                <w:szCs w:val="21"/>
              </w:rPr>
            </w:pPr>
            <w:r>
              <w:rPr>
                <w:color w:val="000000"/>
                <w:kern w:val="0"/>
                <w:sz w:val="18"/>
                <w:szCs w:val="18"/>
                <w:lang w:bidi="ar"/>
              </w:rPr>
              <w:t>0.00</w:t>
            </w:r>
          </w:p>
        </w:tc>
        <w:tc>
          <w:tcPr>
            <w:tcW w:w="1003" w:type="dxa"/>
            <w:vAlign w:val="center"/>
          </w:tcPr>
          <w:p>
            <w:pPr>
              <w:widowControl/>
              <w:jc w:val="center"/>
              <w:textAlignment w:val="center"/>
              <w:rPr>
                <w:rFonts w:eastAsia="黑体"/>
                <w:sz w:val="18"/>
                <w:szCs w:val="21"/>
              </w:rPr>
            </w:pPr>
            <w:r>
              <w:rPr>
                <w:color w:val="000000"/>
                <w:kern w:val="0"/>
                <w:sz w:val="18"/>
                <w:szCs w:val="18"/>
                <w:lang w:bidi="ar"/>
              </w:rPr>
              <w:t>23.60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pPr>
              <w:jc w:val="center"/>
              <w:rPr>
                <w:rFonts w:eastAsia="黑体"/>
                <w:sz w:val="18"/>
                <w:szCs w:val="21"/>
              </w:rPr>
            </w:pPr>
            <w:r>
              <w:rPr>
                <w:rFonts w:eastAsia="黑体"/>
                <w:sz w:val="18"/>
                <w:szCs w:val="21"/>
              </w:rPr>
              <w:t>义联庄乡</w:t>
            </w:r>
          </w:p>
        </w:tc>
        <w:tc>
          <w:tcPr>
            <w:tcW w:w="1074" w:type="dxa"/>
            <w:vAlign w:val="center"/>
          </w:tcPr>
          <w:p>
            <w:pPr>
              <w:widowControl/>
              <w:jc w:val="left"/>
              <w:textAlignment w:val="center"/>
              <w:rPr>
                <w:rFonts w:eastAsia="黑体"/>
                <w:sz w:val="18"/>
                <w:szCs w:val="21"/>
              </w:rPr>
            </w:pPr>
            <w:r>
              <w:rPr>
                <w:color w:val="000000"/>
                <w:kern w:val="0"/>
                <w:sz w:val="18"/>
                <w:szCs w:val="18"/>
                <w:lang w:bidi="ar"/>
              </w:rPr>
              <w:t>130609206</w:t>
            </w:r>
          </w:p>
        </w:tc>
        <w:tc>
          <w:tcPr>
            <w:tcW w:w="889" w:type="dxa"/>
            <w:vAlign w:val="center"/>
          </w:tcPr>
          <w:p>
            <w:pPr>
              <w:widowControl/>
              <w:jc w:val="center"/>
              <w:textAlignment w:val="center"/>
              <w:rPr>
                <w:rFonts w:eastAsia="黑体"/>
                <w:sz w:val="18"/>
                <w:szCs w:val="21"/>
              </w:rPr>
            </w:pPr>
            <w:r>
              <w:rPr>
                <w:color w:val="000000"/>
                <w:kern w:val="0"/>
                <w:sz w:val="18"/>
                <w:szCs w:val="18"/>
                <w:lang w:bidi="ar"/>
              </w:rPr>
              <w:t>638.17</w:t>
            </w:r>
          </w:p>
        </w:tc>
        <w:tc>
          <w:tcPr>
            <w:tcW w:w="975" w:type="dxa"/>
            <w:vAlign w:val="center"/>
          </w:tcPr>
          <w:p>
            <w:pPr>
              <w:widowControl/>
              <w:jc w:val="center"/>
              <w:textAlignment w:val="center"/>
              <w:rPr>
                <w:rFonts w:eastAsia="黑体"/>
                <w:sz w:val="18"/>
                <w:szCs w:val="21"/>
              </w:rPr>
            </w:pPr>
            <w:r>
              <w:rPr>
                <w:color w:val="000000"/>
                <w:kern w:val="0"/>
                <w:sz w:val="18"/>
                <w:szCs w:val="18"/>
                <w:lang w:bidi="ar"/>
              </w:rPr>
              <w:t>3.15</w:t>
            </w:r>
          </w:p>
        </w:tc>
        <w:tc>
          <w:tcPr>
            <w:tcW w:w="1029" w:type="dxa"/>
            <w:vAlign w:val="center"/>
          </w:tcPr>
          <w:p>
            <w:pPr>
              <w:widowControl/>
              <w:jc w:val="center"/>
              <w:textAlignment w:val="center"/>
              <w:rPr>
                <w:rFonts w:eastAsia="黑体"/>
                <w:sz w:val="18"/>
                <w:szCs w:val="21"/>
              </w:rPr>
            </w:pPr>
            <w:r>
              <w:rPr>
                <w:color w:val="000000"/>
                <w:kern w:val="0"/>
                <w:sz w:val="18"/>
                <w:szCs w:val="18"/>
                <w:lang w:bidi="ar"/>
              </w:rPr>
              <w:t>635.02</w:t>
            </w:r>
          </w:p>
        </w:tc>
        <w:tc>
          <w:tcPr>
            <w:tcW w:w="1061" w:type="dxa"/>
            <w:vAlign w:val="center"/>
          </w:tcPr>
          <w:p>
            <w:pPr>
              <w:widowControl/>
              <w:jc w:val="center"/>
              <w:textAlignment w:val="center"/>
              <w:rPr>
                <w:rFonts w:eastAsia="黑体"/>
                <w:sz w:val="18"/>
                <w:szCs w:val="21"/>
              </w:rPr>
            </w:pPr>
            <w:r>
              <w:rPr>
                <w:color w:val="000000"/>
                <w:kern w:val="0"/>
                <w:sz w:val="18"/>
                <w:szCs w:val="18"/>
                <w:lang w:bidi="ar"/>
              </w:rPr>
              <w:t>506.42</w:t>
            </w:r>
          </w:p>
        </w:tc>
        <w:tc>
          <w:tcPr>
            <w:tcW w:w="1125" w:type="dxa"/>
            <w:vAlign w:val="center"/>
          </w:tcPr>
          <w:p>
            <w:pPr>
              <w:widowControl/>
              <w:jc w:val="center"/>
              <w:textAlignment w:val="center"/>
              <w:rPr>
                <w:rFonts w:eastAsia="黑体"/>
                <w:sz w:val="18"/>
                <w:szCs w:val="21"/>
              </w:rPr>
            </w:pPr>
            <w:r>
              <w:rPr>
                <w:color w:val="000000"/>
                <w:kern w:val="0"/>
                <w:sz w:val="18"/>
                <w:szCs w:val="18"/>
                <w:lang w:bidi="ar"/>
              </w:rPr>
              <w:t>0.84</w:t>
            </w:r>
          </w:p>
        </w:tc>
        <w:tc>
          <w:tcPr>
            <w:tcW w:w="1039" w:type="dxa"/>
            <w:vAlign w:val="center"/>
          </w:tcPr>
          <w:p>
            <w:pPr>
              <w:widowControl/>
              <w:jc w:val="center"/>
              <w:textAlignment w:val="center"/>
              <w:rPr>
                <w:rFonts w:eastAsia="黑体"/>
                <w:sz w:val="18"/>
                <w:szCs w:val="21"/>
              </w:rPr>
            </w:pPr>
            <w:r>
              <w:rPr>
                <w:color w:val="000000"/>
                <w:kern w:val="0"/>
                <w:sz w:val="18"/>
                <w:szCs w:val="18"/>
                <w:lang w:bidi="ar"/>
              </w:rPr>
              <w:t>505.58</w:t>
            </w:r>
          </w:p>
        </w:tc>
        <w:tc>
          <w:tcPr>
            <w:tcW w:w="1018" w:type="dxa"/>
            <w:vAlign w:val="center"/>
          </w:tcPr>
          <w:p>
            <w:pPr>
              <w:widowControl/>
              <w:jc w:val="center"/>
              <w:textAlignment w:val="center"/>
              <w:rPr>
                <w:rFonts w:eastAsia="黑体"/>
                <w:sz w:val="18"/>
                <w:szCs w:val="21"/>
              </w:rPr>
            </w:pPr>
            <w:r>
              <w:rPr>
                <w:color w:val="000000"/>
                <w:kern w:val="0"/>
                <w:sz w:val="18"/>
                <w:szCs w:val="18"/>
                <w:lang w:bidi="ar"/>
              </w:rPr>
              <w:t>225.10</w:t>
            </w:r>
          </w:p>
        </w:tc>
        <w:tc>
          <w:tcPr>
            <w:tcW w:w="1028" w:type="dxa"/>
            <w:vAlign w:val="center"/>
          </w:tcPr>
          <w:p>
            <w:pPr>
              <w:widowControl/>
              <w:jc w:val="center"/>
              <w:textAlignment w:val="center"/>
              <w:rPr>
                <w:rFonts w:eastAsia="黑体"/>
                <w:sz w:val="18"/>
                <w:szCs w:val="21"/>
              </w:rPr>
            </w:pPr>
            <w:r>
              <w:rPr>
                <w:color w:val="000000"/>
                <w:kern w:val="0"/>
                <w:sz w:val="18"/>
                <w:szCs w:val="18"/>
                <w:lang w:bidi="ar"/>
              </w:rPr>
              <w:t>22.95</w:t>
            </w:r>
          </w:p>
        </w:tc>
        <w:tc>
          <w:tcPr>
            <w:tcW w:w="1018" w:type="dxa"/>
            <w:vAlign w:val="center"/>
          </w:tcPr>
          <w:p>
            <w:pPr>
              <w:widowControl/>
              <w:jc w:val="center"/>
              <w:textAlignment w:val="center"/>
              <w:rPr>
                <w:rFonts w:eastAsia="黑体"/>
                <w:sz w:val="18"/>
                <w:szCs w:val="21"/>
              </w:rPr>
            </w:pPr>
            <w:r>
              <w:rPr>
                <w:color w:val="000000"/>
                <w:kern w:val="0"/>
                <w:sz w:val="18"/>
                <w:szCs w:val="18"/>
                <w:lang w:bidi="ar"/>
              </w:rPr>
              <w:t>202.15</w:t>
            </w:r>
          </w:p>
        </w:tc>
        <w:tc>
          <w:tcPr>
            <w:tcW w:w="932" w:type="dxa"/>
            <w:vAlign w:val="center"/>
          </w:tcPr>
          <w:p>
            <w:pPr>
              <w:widowControl/>
              <w:jc w:val="center"/>
              <w:textAlignment w:val="center"/>
              <w:rPr>
                <w:rFonts w:eastAsia="黑体"/>
                <w:sz w:val="18"/>
                <w:szCs w:val="21"/>
              </w:rPr>
            </w:pPr>
            <w:r>
              <w:rPr>
                <w:color w:val="000000"/>
                <w:kern w:val="0"/>
                <w:sz w:val="18"/>
                <w:szCs w:val="18"/>
                <w:lang w:bidi="ar"/>
              </w:rPr>
              <w:t>418.15</w:t>
            </w:r>
          </w:p>
        </w:tc>
        <w:tc>
          <w:tcPr>
            <w:tcW w:w="1018" w:type="dxa"/>
            <w:vAlign w:val="center"/>
          </w:tcPr>
          <w:p>
            <w:pPr>
              <w:widowControl/>
              <w:jc w:val="center"/>
              <w:textAlignment w:val="center"/>
              <w:rPr>
                <w:rFonts w:eastAsia="黑体"/>
                <w:sz w:val="18"/>
                <w:szCs w:val="21"/>
              </w:rPr>
            </w:pPr>
            <w:r>
              <w:rPr>
                <w:color w:val="000000"/>
                <w:kern w:val="0"/>
                <w:sz w:val="18"/>
                <w:szCs w:val="18"/>
                <w:lang w:bidi="ar"/>
              </w:rPr>
              <w:t>3.05</w:t>
            </w:r>
          </w:p>
        </w:tc>
        <w:tc>
          <w:tcPr>
            <w:tcW w:w="1003" w:type="dxa"/>
            <w:vAlign w:val="center"/>
          </w:tcPr>
          <w:p>
            <w:pPr>
              <w:widowControl/>
              <w:jc w:val="center"/>
              <w:textAlignment w:val="center"/>
              <w:rPr>
                <w:rFonts w:eastAsia="黑体"/>
                <w:sz w:val="18"/>
                <w:szCs w:val="21"/>
              </w:rPr>
            </w:pPr>
            <w:r>
              <w:rPr>
                <w:color w:val="000000"/>
                <w:kern w:val="0"/>
                <w:sz w:val="18"/>
                <w:szCs w:val="18"/>
                <w:lang w:bidi="ar"/>
              </w:rPr>
              <w:t>415.10</w:t>
            </w:r>
          </w:p>
        </w:tc>
      </w:tr>
    </w:tbl>
    <w:p>
      <w:pPr>
        <w:pStyle w:val="4"/>
        <w:spacing w:before="319" w:after="319"/>
        <w:rPr>
          <w:rFonts w:ascii="Times New Roman" w:hAnsi="Times New Roman"/>
          <w:lang w:val="en-US"/>
        </w:rPr>
      </w:pPr>
    </w:p>
    <w:sectPr>
      <w:pgSz w:w="16838" w:h="11906" w:orient="landscape"/>
      <w:pgMar w:top="1803" w:right="1440" w:bottom="1803" w:left="1440"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A00002EF" w:usb1="4000004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MingLiU">
    <w:altName w:val="Microsoft JhengHei UI"/>
    <w:panose1 w:val="02010609000101010101"/>
    <w:charset w:val="88"/>
    <w:family w:val="moder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8890</wp:posOffset>
              </wp:positionV>
              <wp:extent cx="1828800" cy="1828800"/>
              <wp:effectExtent l="0" t="0" r="0" b="0"/>
              <wp:wrapNone/>
              <wp:docPr id="5"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95</w:t>
                          </w:r>
                          <w:r>
                            <w:fldChar w:fldCharType="end"/>
                          </w:r>
                        </w:p>
                      </w:txbxContent>
                    </wps:txbx>
                    <wps:bodyPr vert="horz" wrap="none" lIns="0" tIns="0" rIns="0" bIns="0" anchor="t" anchorCtr="0">
                      <a:spAutoFit/>
                    </wps:bodyPr>
                  </wps:wsp>
                </a:graphicData>
              </a:graphic>
            </wp:anchor>
          </w:drawing>
        </mc:Choice>
        <mc:Fallback>
          <w:pict>
            <v:shape id="文本框 32" o:spid="_x0000_s1026" o:spt="202" type="#_x0000_t202" style="position:absolute;left:0pt;margin-top:0.7pt;height:144pt;width:144pt;mso-position-horizontal:center;mso-position-horizontal-relative:margin;mso-wrap-style:none;z-index:251659264;mso-width-relative:page;mso-height-relative:page;" filled="f" stroked="f" coordsize="21600,21600" o:gfxdata="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FjV1XSAAAABgEAAA8AAAAAAAAAAQAgAAAA&#10;IgAAAGRycy9kb3ducmV2LnhtbFBLAQIUABQAAAAIAIdO4kCPCCUk2AEAALMDAAAOAAAAAAAAAAEA&#10;IAAAACEBAABkcnMvZTJvRG9jLnhtbFBLBQYAAAAABgAGAFkBAABr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8890</wp:posOffset>
              </wp:positionV>
              <wp:extent cx="1828800" cy="1828800"/>
              <wp:effectExtent l="0" t="0" r="0" b="0"/>
              <wp:wrapNone/>
              <wp:docPr id="18"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96</w:t>
                          </w:r>
                          <w:r>
                            <w:fldChar w:fldCharType="end"/>
                          </w:r>
                        </w:p>
                      </w:txbxContent>
                    </wps:txbx>
                    <wps:bodyPr vert="horz" wrap="none" lIns="0" tIns="0" rIns="0" bIns="0" anchor="t" anchorCtr="0">
                      <a:spAutoFit/>
                    </wps:bodyPr>
                  </wps:wsp>
                </a:graphicData>
              </a:graphic>
            </wp:anchor>
          </w:drawing>
        </mc:Choice>
        <mc:Fallback>
          <w:pict>
            <v:shape id="文本框 33" o:spid="_x0000_s1026" o:spt="202" type="#_x0000_t202" style="position:absolute;left:0pt;margin-top:0.7pt;height:144pt;width:144pt;mso-position-horizontal:center;mso-position-horizontal-relative:margin;mso-wrap-style:none;z-index:251662336;mso-width-relative:page;mso-height-relative:page;" filled="f" stroked="f" coordsize="21600,21600" o:gfxdata="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FjV1XSAAAABgEAAA8AAAAAAAAAAQAgAAAA&#10;IgAAAGRycy9kb3ducmV2LnhtbFBLAQIUABQAAAAIAIdO4kCTDXxM2AEAALQDAAAOAAAAAAAAAAEA&#10;IAAAACEBAABkcnMvZTJvRG9jLnhtbFBLBQYAAAAABgAGAFkBAABr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96</w:t>
                    </w:r>
                    <w:r>
                      <w:fldChar w:fldCharType="end"/>
                    </w:r>
                  </w:p>
                </w:txbxContent>
              </v:textbox>
            </v:shape>
          </w:pict>
        </mc:Fallback>
      </mc:AlternateContent>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8890</wp:posOffset>
              </wp:positionV>
              <wp:extent cx="1828800" cy="1828800"/>
              <wp:effectExtent l="0" t="0" r="0" b="0"/>
              <wp:wrapNone/>
              <wp:docPr id="6"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96</w:t>
                          </w:r>
                          <w:r>
                            <w:fldChar w:fldCharType="end"/>
                          </w:r>
                        </w:p>
                      </w:txbxContent>
                    </wps:txbx>
                    <wps:bodyPr vert="horz" wrap="none" lIns="0" tIns="0" rIns="0" bIns="0" anchor="t" anchorCtr="0">
                      <a:spAutoFit/>
                    </wps:bodyPr>
                  </wps:wsp>
                </a:graphicData>
              </a:graphic>
            </wp:anchor>
          </w:drawing>
        </mc:Choice>
        <mc:Fallback>
          <w:pict>
            <v:shape id="文本框 33" o:spid="_x0000_s1026" o:spt="202" type="#_x0000_t202" style="position:absolute;left:0pt;margin-top:0.7pt;height:144pt;width:144pt;mso-position-horizontal:center;mso-position-horizontal-relative:margin;mso-wrap-style:none;z-index:251660288;mso-width-relative:page;mso-height-relative:page;" filled="f" stroked="f" coordsize="21600,21600" o:gfxdata="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FjV1XSAAAABgEAAA8AAAAAAAAAAQAgAAAA&#10;IgAAAGRycy9kb3ducmV2LnhtbFBLAQIUABQAAAAIAIdO4kBqU9Rk2AEAALMDAAAOAAAAAAAAAAEA&#10;IAAAACEBAABkcnMvZTJvRG9jLnhtbFBLBQYAAAAABgAGAFkBAABr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96</w:t>
                    </w:r>
                    <w:r>
                      <w:fldChar w:fldCharType="end"/>
                    </w:r>
                  </w:p>
                </w:txbxContent>
              </v:textbox>
            </v:shape>
          </w:pict>
        </mc:Fallback>
      </mc:AlternateContent>
    </w:r>
  </w:p>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8890</wp:posOffset>
              </wp:positionV>
              <wp:extent cx="216535" cy="129540"/>
              <wp:effectExtent l="0" t="0" r="12065" b="4445"/>
              <wp:wrapNone/>
              <wp:docPr id="15" name="文本框 15"/>
              <wp:cNvGraphicFramePr/>
              <a:graphic xmlns:a="http://schemas.openxmlformats.org/drawingml/2006/main">
                <a:graphicData uri="http://schemas.microsoft.com/office/word/2010/wordprocessingShape">
                  <wps:wsp>
                    <wps:cNvSpPr txBox="1"/>
                    <wps:spPr>
                      <a:xfrm>
                        <a:off x="0" y="0"/>
                        <a:ext cx="216535" cy="12932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7pt;height:10.2pt;width:17.05pt;mso-position-horizontal:center;mso-position-horizontal-relative:margin;z-index:251661312;mso-width-relative:page;mso-height-relative:page;" filled="f" stroked="f" coordsize="21600,21600" o:gfxdata="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3BiO0wAAAAQBAAAPAAAAAAAAAAEAIAAAACIAAABkcnMvZG93bnJldi54bWxQSwEC&#10;FAAUAAAACACHTuJAa3SapTICAABXBAAADgAAAAAAAAABACAAAAAiAQAAZHJzL2Uyb0RvYy54bWxQ&#10;SwUGAAAAAAYABgBZAQAAxgUAAAAA&#10;">
              <v:fill on="f" focussize="0,0"/>
              <v:stroke on="f" weight="0.5pt"/>
              <v:imagedata o:title=""/>
              <o:lock v:ext="edit" aspectratio="f"/>
              <v:textbox inset="0mm,0mm,0mm,0mm">
                <w:txbxContent>
                  <w:p>
                    <w:pPr>
                      <w:pStyle w:val="18"/>
                    </w:pPr>
                    <w:r>
                      <w:fldChar w:fldCharType="begin"/>
                    </w:r>
                    <w:r>
                      <w:instrText xml:space="preserve"> PAGE  \* MERGEFORMAT </w:instrText>
                    </w:r>
                    <w:r>
                      <w:fldChar w:fldCharType="separate"/>
                    </w:r>
                    <w:r>
                      <w:t>97</w:t>
                    </w:r>
                    <w:r>
                      <w:fldChar w:fldCharType="end"/>
                    </w:r>
                  </w:p>
                </w:txbxContent>
              </v:textbox>
            </v:shape>
          </w:pict>
        </mc:Fallback>
      </mc:AlternateContent>
    </w:r>
  </w:p>
  <w:p>
    <w:pPr>
      <w:pStyle w:val="11"/>
      <w:tabs>
        <w:tab w:val="left" w:pos="3627"/>
      </w:tabs>
      <w:jc w:val="left"/>
    </w:pP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6"/>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5YmUxNTgzM2YwZmFjYTJmZjM3MzExMTM2NTgzMTAifQ=="/>
  </w:docVars>
  <w:rsids>
    <w:rsidRoot w:val="00F11C7F"/>
    <w:rsid w:val="00007BE4"/>
    <w:rsid w:val="000574B6"/>
    <w:rsid w:val="00097274"/>
    <w:rsid w:val="000A1602"/>
    <w:rsid w:val="000D43EE"/>
    <w:rsid w:val="000F50F0"/>
    <w:rsid w:val="0010175E"/>
    <w:rsid w:val="00120F60"/>
    <w:rsid w:val="001215A7"/>
    <w:rsid w:val="00142DB2"/>
    <w:rsid w:val="00153E78"/>
    <w:rsid w:val="001551C7"/>
    <w:rsid w:val="00183BFD"/>
    <w:rsid w:val="00220556"/>
    <w:rsid w:val="002445AC"/>
    <w:rsid w:val="00282642"/>
    <w:rsid w:val="00297C15"/>
    <w:rsid w:val="002A4475"/>
    <w:rsid w:val="002F0F6C"/>
    <w:rsid w:val="00331516"/>
    <w:rsid w:val="00332CC9"/>
    <w:rsid w:val="00337F6B"/>
    <w:rsid w:val="00344733"/>
    <w:rsid w:val="0034532E"/>
    <w:rsid w:val="0035773E"/>
    <w:rsid w:val="00367EDA"/>
    <w:rsid w:val="00376594"/>
    <w:rsid w:val="003A1655"/>
    <w:rsid w:val="0042377B"/>
    <w:rsid w:val="00425ADD"/>
    <w:rsid w:val="0043670E"/>
    <w:rsid w:val="004954C4"/>
    <w:rsid w:val="004A4465"/>
    <w:rsid w:val="004B7A92"/>
    <w:rsid w:val="004E246E"/>
    <w:rsid w:val="00514D77"/>
    <w:rsid w:val="005175EB"/>
    <w:rsid w:val="00554846"/>
    <w:rsid w:val="00563234"/>
    <w:rsid w:val="005A1A29"/>
    <w:rsid w:val="005A3EFD"/>
    <w:rsid w:val="005A7A12"/>
    <w:rsid w:val="005B1189"/>
    <w:rsid w:val="005C1A7B"/>
    <w:rsid w:val="005C491B"/>
    <w:rsid w:val="005E4E49"/>
    <w:rsid w:val="005F1FAA"/>
    <w:rsid w:val="006342A9"/>
    <w:rsid w:val="0067444C"/>
    <w:rsid w:val="0068624E"/>
    <w:rsid w:val="0068764C"/>
    <w:rsid w:val="006E2EE9"/>
    <w:rsid w:val="006F1BD3"/>
    <w:rsid w:val="00721C4A"/>
    <w:rsid w:val="007359CC"/>
    <w:rsid w:val="00753EBC"/>
    <w:rsid w:val="00767985"/>
    <w:rsid w:val="00782314"/>
    <w:rsid w:val="00783670"/>
    <w:rsid w:val="007B28F1"/>
    <w:rsid w:val="007E479B"/>
    <w:rsid w:val="00831D3F"/>
    <w:rsid w:val="0085627E"/>
    <w:rsid w:val="00860443"/>
    <w:rsid w:val="008712F6"/>
    <w:rsid w:val="008B0C8D"/>
    <w:rsid w:val="008C0980"/>
    <w:rsid w:val="008C6868"/>
    <w:rsid w:val="008E1934"/>
    <w:rsid w:val="00932943"/>
    <w:rsid w:val="00943ABD"/>
    <w:rsid w:val="00960AC5"/>
    <w:rsid w:val="009B0B6E"/>
    <w:rsid w:val="009B6F18"/>
    <w:rsid w:val="00A04AF1"/>
    <w:rsid w:val="00A128A7"/>
    <w:rsid w:val="00A14FEB"/>
    <w:rsid w:val="00A464E0"/>
    <w:rsid w:val="00A51893"/>
    <w:rsid w:val="00A949CB"/>
    <w:rsid w:val="00AA60DD"/>
    <w:rsid w:val="00AB4C2D"/>
    <w:rsid w:val="00AC6F7F"/>
    <w:rsid w:val="00AD1320"/>
    <w:rsid w:val="00AD3B1E"/>
    <w:rsid w:val="00B129D6"/>
    <w:rsid w:val="00B23BFF"/>
    <w:rsid w:val="00B618D4"/>
    <w:rsid w:val="00B93003"/>
    <w:rsid w:val="00BA0962"/>
    <w:rsid w:val="00BA3E7E"/>
    <w:rsid w:val="00BD4E8B"/>
    <w:rsid w:val="00BF5DF8"/>
    <w:rsid w:val="00BF6427"/>
    <w:rsid w:val="00C11C61"/>
    <w:rsid w:val="00C44505"/>
    <w:rsid w:val="00C72908"/>
    <w:rsid w:val="00C768A1"/>
    <w:rsid w:val="00C94465"/>
    <w:rsid w:val="00CA2D9B"/>
    <w:rsid w:val="00CA544D"/>
    <w:rsid w:val="00CD2253"/>
    <w:rsid w:val="00CF5FF4"/>
    <w:rsid w:val="00D175C4"/>
    <w:rsid w:val="00D44775"/>
    <w:rsid w:val="00D46EBA"/>
    <w:rsid w:val="00D60014"/>
    <w:rsid w:val="00D74909"/>
    <w:rsid w:val="00D93C55"/>
    <w:rsid w:val="00D96CFC"/>
    <w:rsid w:val="00DB49A4"/>
    <w:rsid w:val="00DC1159"/>
    <w:rsid w:val="00E02652"/>
    <w:rsid w:val="00E12821"/>
    <w:rsid w:val="00E33B2B"/>
    <w:rsid w:val="00E34365"/>
    <w:rsid w:val="00E404AC"/>
    <w:rsid w:val="00E543C0"/>
    <w:rsid w:val="00E63255"/>
    <w:rsid w:val="00E66935"/>
    <w:rsid w:val="00E8294D"/>
    <w:rsid w:val="00EA0044"/>
    <w:rsid w:val="00EC3FBB"/>
    <w:rsid w:val="00EC58D3"/>
    <w:rsid w:val="00F11C7F"/>
    <w:rsid w:val="00F12E8A"/>
    <w:rsid w:val="00F64FC6"/>
    <w:rsid w:val="00F66741"/>
    <w:rsid w:val="00F67F2A"/>
    <w:rsid w:val="00F73268"/>
    <w:rsid w:val="00FB0665"/>
    <w:rsid w:val="00FB5BDC"/>
    <w:rsid w:val="00FB5C34"/>
    <w:rsid w:val="00FE3690"/>
    <w:rsid w:val="02F8441D"/>
    <w:rsid w:val="054A7D31"/>
    <w:rsid w:val="07A14704"/>
    <w:rsid w:val="08146075"/>
    <w:rsid w:val="0A82162C"/>
    <w:rsid w:val="0AE70D23"/>
    <w:rsid w:val="0BC466B9"/>
    <w:rsid w:val="0EED1EBE"/>
    <w:rsid w:val="115D554A"/>
    <w:rsid w:val="1323270D"/>
    <w:rsid w:val="14E24C39"/>
    <w:rsid w:val="15BB7324"/>
    <w:rsid w:val="163C6885"/>
    <w:rsid w:val="16CC508A"/>
    <w:rsid w:val="176813D8"/>
    <w:rsid w:val="17C902B4"/>
    <w:rsid w:val="1A270A23"/>
    <w:rsid w:val="1D754AA4"/>
    <w:rsid w:val="1EE94277"/>
    <w:rsid w:val="1EF73BDB"/>
    <w:rsid w:val="20FE260D"/>
    <w:rsid w:val="22D02FC1"/>
    <w:rsid w:val="240158BA"/>
    <w:rsid w:val="255C6CA1"/>
    <w:rsid w:val="274F7EFB"/>
    <w:rsid w:val="28B63F0D"/>
    <w:rsid w:val="28EE3893"/>
    <w:rsid w:val="296B36F0"/>
    <w:rsid w:val="2BF46868"/>
    <w:rsid w:val="2D0E21A4"/>
    <w:rsid w:val="2E6F59D8"/>
    <w:rsid w:val="2F011DEA"/>
    <w:rsid w:val="30CB7B41"/>
    <w:rsid w:val="38C23762"/>
    <w:rsid w:val="3C120949"/>
    <w:rsid w:val="3CA65DAF"/>
    <w:rsid w:val="3DB159B2"/>
    <w:rsid w:val="3F46578C"/>
    <w:rsid w:val="40A80994"/>
    <w:rsid w:val="41643570"/>
    <w:rsid w:val="49D4639E"/>
    <w:rsid w:val="4B267A2E"/>
    <w:rsid w:val="4DA42E21"/>
    <w:rsid w:val="4FF12574"/>
    <w:rsid w:val="52D91B11"/>
    <w:rsid w:val="550C300C"/>
    <w:rsid w:val="55A123A0"/>
    <w:rsid w:val="57255A09"/>
    <w:rsid w:val="59BA1B57"/>
    <w:rsid w:val="5A9D0ED9"/>
    <w:rsid w:val="5E1A34A7"/>
    <w:rsid w:val="61E66DDA"/>
    <w:rsid w:val="64015264"/>
    <w:rsid w:val="64DB6A38"/>
    <w:rsid w:val="64FB052A"/>
    <w:rsid w:val="65CC1BD8"/>
    <w:rsid w:val="679638D9"/>
    <w:rsid w:val="68756973"/>
    <w:rsid w:val="6A7D073F"/>
    <w:rsid w:val="6A9A74F1"/>
    <w:rsid w:val="6DFD3F62"/>
    <w:rsid w:val="6E214F95"/>
    <w:rsid w:val="6EB2350E"/>
    <w:rsid w:val="717A72E6"/>
    <w:rsid w:val="71C5633E"/>
    <w:rsid w:val="730478EE"/>
    <w:rsid w:val="7352248A"/>
    <w:rsid w:val="79B71CFC"/>
    <w:rsid w:val="7AFD3739"/>
    <w:rsid w:val="7B690757"/>
    <w:rsid w:val="7B9C27B1"/>
    <w:rsid w:val="7C933B21"/>
    <w:rsid w:val="7D6A409E"/>
    <w:rsid w:val="7DAE1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1"/>
    <w:qFormat/>
    <w:uiPriority w:val="0"/>
    <w:pPr>
      <w:spacing w:before="100" w:beforeLines="100" w:after="100" w:afterLines="100" w:line="360" w:lineRule="auto"/>
      <w:outlineLvl w:val="0"/>
    </w:pPr>
    <w:rPr>
      <w:rFonts w:ascii="宋体" w:hAnsi="宋体" w:eastAsia="黑体"/>
      <w:b/>
      <w:bCs/>
      <w:sz w:val="32"/>
      <w:szCs w:val="30"/>
      <w:lang w:val="zh-CN" w:bidi="zh-CN"/>
    </w:rPr>
  </w:style>
  <w:style w:type="paragraph" w:styleId="5">
    <w:name w:val="heading 2"/>
    <w:basedOn w:val="1"/>
    <w:next w:val="1"/>
    <w:qFormat/>
    <w:uiPriority w:val="0"/>
    <w:pPr>
      <w:keepNext/>
      <w:keepLines/>
      <w:spacing w:before="100" w:beforeLines="100" w:after="100" w:afterLines="100" w:line="360" w:lineRule="auto"/>
      <w:outlineLvl w:val="1"/>
    </w:pPr>
    <w:rPr>
      <w:rFonts w:ascii="Arial" w:hAnsi="Arial" w:eastAsia="黑体" w:cs="宋体"/>
      <w:b/>
      <w:sz w:val="28"/>
      <w:szCs w:val="22"/>
      <w:lang w:val="zh-CN" w:bidi="zh-CN"/>
    </w:rPr>
  </w:style>
  <w:style w:type="paragraph" w:styleId="6">
    <w:name w:val="heading 3"/>
    <w:basedOn w:val="1"/>
    <w:next w:val="1"/>
    <w:qFormat/>
    <w:uiPriority w:val="0"/>
    <w:pPr>
      <w:keepNext/>
      <w:keepLines/>
      <w:numPr>
        <w:ilvl w:val="2"/>
        <w:numId w:val="1"/>
      </w:numPr>
      <w:adjustRightInd w:val="0"/>
      <w:snapToGrid w:val="0"/>
      <w:spacing w:before="50" w:beforeLines="50" w:after="50" w:afterLines="50" w:line="360" w:lineRule="auto"/>
      <w:ind w:left="0" w:firstLine="0"/>
      <w:outlineLvl w:val="2"/>
    </w:pPr>
    <w:rPr>
      <w:b/>
      <w:bCs/>
      <w:sz w:val="28"/>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2">
    <w:name w:val="Body Text Indent"/>
    <w:basedOn w:val="1"/>
    <w:next w:val="3"/>
    <w:qFormat/>
    <w:uiPriority w:val="0"/>
    <w:pPr>
      <w:autoSpaceDE w:val="0"/>
      <w:autoSpaceDN w:val="0"/>
      <w:adjustRightInd w:val="0"/>
      <w:spacing w:line="470" w:lineRule="atLeast"/>
      <w:ind w:firstLine="359"/>
    </w:pPr>
    <w:rPr>
      <w:rFonts w:ascii="宋体" w:hAnsi="宋体"/>
      <w:color w:val="000000"/>
      <w:sz w:val="24"/>
      <w:szCs w:val="21"/>
      <w:lang w:val="zh-CN"/>
    </w:rPr>
  </w:style>
  <w:style w:type="paragraph" w:styleId="3">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Indent"/>
    <w:basedOn w:val="1"/>
    <w:next w:val="9"/>
    <w:qFormat/>
    <w:uiPriority w:val="0"/>
    <w:pPr>
      <w:spacing w:line="360" w:lineRule="auto"/>
      <w:ind w:firstLine="420"/>
    </w:pPr>
    <w:rPr>
      <w:sz w:val="24"/>
    </w:rPr>
  </w:style>
  <w:style w:type="paragraph" w:customStyle="1" w:styleId="9">
    <w:name w:val="样式 正文文本 + 首行缩进:  2 字符"/>
    <w:basedOn w:val="10"/>
    <w:qFormat/>
    <w:uiPriority w:val="99"/>
    <w:pPr>
      <w:spacing w:after="200" w:line="480" w:lineRule="exact"/>
      <w:ind w:firstLine="480" w:firstLineChars="200"/>
    </w:pPr>
    <w:rPr>
      <w:lang w:val="en-US" w:bidi="ar-SA"/>
    </w:rPr>
  </w:style>
  <w:style w:type="paragraph" w:styleId="10">
    <w:name w:val="Body Text"/>
    <w:basedOn w:val="1"/>
    <w:next w:val="11"/>
    <w:qFormat/>
    <w:uiPriority w:val="0"/>
    <w:rPr>
      <w:rFonts w:ascii="宋体" w:hAnsi="宋体" w:cs="宋体"/>
      <w:sz w:val="24"/>
      <w:lang w:val="zh-CN" w:bidi="zh-CN"/>
    </w:rPr>
  </w:style>
  <w:style w:type="paragraph" w:customStyle="1" w:styleId="11">
    <w:name w:val="xl2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styleId="12">
    <w:name w:val="caption"/>
    <w:basedOn w:val="1"/>
    <w:next w:val="1"/>
    <w:unhideWhenUsed/>
    <w:qFormat/>
    <w:uiPriority w:val="35"/>
    <w:rPr>
      <w:rFonts w:ascii="Cambria" w:hAnsi="Cambria" w:eastAsia="黑体"/>
      <w:sz w:val="20"/>
      <w:szCs w:val="20"/>
    </w:rPr>
  </w:style>
  <w:style w:type="paragraph" w:styleId="13">
    <w:name w:val="annotation text"/>
    <w:basedOn w:val="1"/>
    <w:qFormat/>
    <w:uiPriority w:val="0"/>
    <w:pPr>
      <w:jc w:val="left"/>
    </w:pPr>
  </w:style>
  <w:style w:type="paragraph" w:styleId="14">
    <w:name w:val="toc 3"/>
    <w:basedOn w:val="1"/>
    <w:next w:val="1"/>
    <w:qFormat/>
    <w:uiPriority w:val="0"/>
    <w:pPr>
      <w:ind w:left="840" w:leftChars="400"/>
    </w:pPr>
  </w:style>
  <w:style w:type="paragraph" w:styleId="15">
    <w:name w:val="Plain Text"/>
    <w:basedOn w:val="1"/>
    <w:link w:val="32"/>
    <w:qFormat/>
    <w:uiPriority w:val="0"/>
    <w:pPr>
      <w:spacing w:line="360" w:lineRule="auto"/>
      <w:ind w:firstLine="602" w:firstLineChars="200"/>
    </w:pPr>
    <w:rPr>
      <w:rFonts w:ascii="宋体" w:hAnsi="宋体" w:cs="宋体"/>
      <w:szCs w:val="22"/>
      <w:lang w:val="zh-CN" w:bidi="zh-CN"/>
    </w:rPr>
  </w:style>
  <w:style w:type="paragraph" w:styleId="16">
    <w:name w:val="Body Text Indent 2"/>
    <w:basedOn w:val="1"/>
    <w:qFormat/>
    <w:uiPriority w:val="0"/>
    <w:pPr>
      <w:ind w:firstLine="540" w:firstLineChars="180"/>
    </w:pPr>
    <w:rPr>
      <w:sz w:val="30"/>
    </w:rPr>
  </w:style>
  <w:style w:type="paragraph" w:styleId="17">
    <w:name w:val="Balloon Text"/>
    <w:basedOn w:val="1"/>
    <w:link w:val="64"/>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toc 1"/>
    <w:basedOn w:val="1"/>
    <w:next w:val="1"/>
    <w:qFormat/>
    <w:uiPriority w:val="39"/>
  </w:style>
  <w:style w:type="paragraph" w:styleId="20">
    <w:name w:val="toc 2"/>
    <w:basedOn w:val="1"/>
    <w:next w:val="1"/>
    <w:qFormat/>
    <w:uiPriority w:val="39"/>
    <w:pPr>
      <w:ind w:left="420" w:leftChars="200"/>
    </w:pPr>
  </w:style>
  <w:style w:type="paragraph" w:styleId="21">
    <w:name w:val="Normal (Web)"/>
    <w:basedOn w:val="1"/>
    <w:qFormat/>
    <w:uiPriority w:val="0"/>
    <w:pPr>
      <w:spacing w:before="100" w:beforeAutospacing="1" w:after="100" w:afterAutospacing="1"/>
      <w:jc w:val="left"/>
    </w:pPr>
    <w:rPr>
      <w:kern w:val="0"/>
      <w:sz w:val="24"/>
    </w:rPr>
  </w:style>
  <w:style w:type="paragraph" w:styleId="22">
    <w:name w:val="Body Text First Indent 2"/>
    <w:basedOn w:val="2"/>
    <w:qFormat/>
    <w:uiPriority w:val="99"/>
    <w:pPr>
      <w:spacing w:line="240" w:lineRule="auto"/>
      <w:ind w:firstLine="420"/>
    </w:pPr>
    <w:rPr>
      <w:sz w:val="28"/>
      <w:szCs w:val="2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FollowedHyperlink"/>
    <w:basedOn w:val="25"/>
    <w:qFormat/>
    <w:uiPriority w:val="0"/>
    <w:rPr>
      <w:color w:val="800080" w:themeColor="followedHyperlink"/>
      <w:u w:val="single"/>
      <w14:textFill>
        <w14:solidFill>
          <w14:schemeClr w14:val="folHlink"/>
        </w14:solidFill>
      </w14:textFill>
    </w:rPr>
  </w:style>
  <w:style w:type="character" w:styleId="29">
    <w:name w:val="Hyperlink"/>
    <w:basedOn w:val="25"/>
    <w:qFormat/>
    <w:uiPriority w:val="99"/>
    <w:rPr>
      <w:color w:val="000000"/>
      <w:u w:val="none"/>
    </w:rPr>
  </w:style>
  <w:style w:type="character" w:styleId="30">
    <w:name w:val="annotation reference"/>
    <w:basedOn w:val="25"/>
    <w:qFormat/>
    <w:uiPriority w:val="0"/>
    <w:rPr>
      <w:sz w:val="21"/>
      <w:szCs w:val="21"/>
    </w:rPr>
  </w:style>
  <w:style w:type="character" w:customStyle="1" w:styleId="31">
    <w:name w:val="标题 1 字符"/>
    <w:link w:val="4"/>
    <w:qFormat/>
    <w:uiPriority w:val="0"/>
    <w:rPr>
      <w:rFonts w:ascii="宋体" w:hAnsi="宋体" w:eastAsia="黑体"/>
      <w:b/>
      <w:bCs/>
      <w:sz w:val="32"/>
      <w:szCs w:val="30"/>
      <w:lang w:val="zh-CN" w:bidi="zh-CN"/>
    </w:rPr>
  </w:style>
  <w:style w:type="character" w:customStyle="1" w:styleId="32">
    <w:name w:val="纯文本 字符"/>
    <w:link w:val="15"/>
    <w:qFormat/>
    <w:uiPriority w:val="0"/>
    <w:rPr>
      <w:rFonts w:ascii="宋体" w:hAnsi="宋体" w:eastAsia="宋体" w:cs="宋体"/>
      <w:kern w:val="2"/>
      <w:sz w:val="21"/>
      <w:szCs w:val="22"/>
      <w:lang w:val="zh-CN" w:eastAsia="zh-CN" w:bidi="zh-CN"/>
    </w:rPr>
  </w:style>
  <w:style w:type="character" w:customStyle="1" w:styleId="33">
    <w:name w:val="font51"/>
    <w:basedOn w:val="25"/>
    <w:qFormat/>
    <w:uiPriority w:val="0"/>
    <w:rPr>
      <w:rFonts w:hint="eastAsia" w:ascii="宋体" w:hAnsi="宋体" w:eastAsia="宋体" w:cs="宋体"/>
      <w:color w:val="000000"/>
      <w:sz w:val="18"/>
      <w:szCs w:val="18"/>
      <w:u w:val="none"/>
    </w:rPr>
  </w:style>
  <w:style w:type="character" w:customStyle="1" w:styleId="34">
    <w:name w:val="font31"/>
    <w:basedOn w:val="25"/>
    <w:qFormat/>
    <w:uiPriority w:val="0"/>
    <w:rPr>
      <w:rFonts w:hint="eastAsia" w:ascii="宋体" w:hAnsi="宋体" w:eastAsia="宋体" w:cs="宋体"/>
      <w:color w:val="000000"/>
      <w:sz w:val="18"/>
      <w:szCs w:val="18"/>
      <w:u w:val="none"/>
    </w:rPr>
  </w:style>
  <w:style w:type="character" w:customStyle="1" w:styleId="35">
    <w:name w:val="font01"/>
    <w:basedOn w:val="25"/>
    <w:qFormat/>
    <w:uiPriority w:val="0"/>
    <w:rPr>
      <w:rFonts w:hint="default" w:ascii="Times New Roman" w:hAnsi="Times New Roman" w:cs="Times New Roman"/>
      <w:color w:val="000000"/>
      <w:sz w:val="21"/>
      <w:szCs w:val="21"/>
      <w:u w:val="none"/>
    </w:rPr>
  </w:style>
  <w:style w:type="character" w:customStyle="1" w:styleId="36">
    <w:name w:val="font21"/>
    <w:basedOn w:val="25"/>
    <w:qFormat/>
    <w:uiPriority w:val="0"/>
    <w:rPr>
      <w:rFonts w:hint="eastAsia" w:ascii="宋体" w:hAnsi="宋体" w:eastAsia="宋体" w:cs="宋体"/>
      <w:color w:val="000000"/>
      <w:sz w:val="21"/>
      <w:szCs w:val="21"/>
      <w:u w:val="none"/>
    </w:rPr>
  </w:style>
  <w:style w:type="character" w:customStyle="1" w:styleId="37">
    <w:name w:val="font11"/>
    <w:basedOn w:val="25"/>
    <w:qFormat/>
    <w:uiPriority w:val="0"/>
    <w:rPr>
      <w:rFonts w:hint="default" w:ascii="Times New Roman" w:hAnsi="Times New Roman" w:cs="Times New Roman"/>
      <w:color w:val="000000"/>
      <w:sz w:val="21"/>
      <w:szCs w:val="21"/>
      <w:u w:val="none"/>
    </w:rPr>
  </w:style>
  <w:style w:type="character" w:customStyle="1" w:styleId="38">
    <w:name w:val="font61"/>
    <w:basedOn w:val="25"/>
    <w:qFormat/>
    <w:uiPriority w:val="0"/>
    <w:rPr>
      <w:rFonts w:hint="default" w:ascii="Arial" w:hAnsi="Arial" w:cs="Arial"/>
      <w:b/>
      <w:bCs/>
      <w:color w:val="000000"/>
      <w:sz w:val="20"/>
      <w:szCs w:val="20"/>
      <w:u w:val="none"/>
    </w:rPr>
  </w:style>
  <w:style w:type="character" w:customStyle="1" w:styleId="39">
    <w:name w:val="font81"/>
    <w:basedOn w:val="25"/>
    <w:qFormat/>
    <w:uiPriority w:val="0"/>
    <w:rPr>
      <w:rFonts w:hint="eastAsia" w:ascii="宋体" w:hAnsi="宋体" w:eastAsia="宋体" w:cs="宋体"/>
      <w:b/>
      <w:bCs/>
      <w:color w:val="524AC4"/>
      <w:sz w:val="22"/>
      <w:szCs w:val="22"/>
      <w:u w:val="none"/>
    </w:rPr>
  </w:style>
  <w:style w:type="character" w:customStyle="1" w:styleId="40">
    <w:name w:val="报告正文 Char Char"/>
    <w:link w:val="41"/>
    <w:qFormat/>
    <w:uiPriority w:val="0"/>
    <w:rPr>
      <w:rFonts w:hint="eastAsia" w:ascii="宋体" w:hAnsi="宋体" w:eastAsia="宋体" w:cs="宋体"/>
      <w:sz w:val="24"/>
      <w:szCs w:val="28"/>
      <w:lang w:eastAsia="zh-CN" w:bidi="zh-TW"/>
    </w:rPr>
  </w:style>
  <w:style w:type="paragraph" w:customStyle="1" w:styleId="41">
    <w:name w:val="报告正文"/>
    <w:basedOn w:val="1"/>
    <w:link w:val="40"/>
    <w:qFormat/>
    <w:uiPriority w:val="0"/>
    <w:pPr>
      <w:keepNext/>
      <w:keepLines/>
      <w:spacing w:line="360" w:lineRule="auto"/>
      <w:ind w:firstLine="560" w:firstLineChars="200"/>
      <w:jc w:val="center"/>
    </w:pPr>
    <w:rPr>
      <w:rFonts w:hint="eastAsia" w:ascii="宋体" w:hAnsi="宋体" w:cs="宋体"/>
      <w:sz w:val="24"/>
      <w:szCs w:val="28"/>
      <w:lang w:bidi="zh-TW"/>
    </w:rPr>
  </w:style>
  <w:style w:type="character" w:customStyle="1" w:styleId="42">
    <w:name w:val="font101"/>
    <w:basedOn w:val="25"/>
    <w:qFormat/>
    <w:uiPriority w:val="0"/>
    <w:rPr>
      <w:rFonts w:hint="eastAsia" w:ascii="宋体" w:hAnsi="宋体" w:eastAsia="宋体" w:cs="宋体"/>
      <w:b/>
      <w:bCs/>
      <w:color w:val="000000"/>
      <w:sz w:val="22"/>
      <w:szCs w:val="22"/>
      <w:u w:val="none"/>
    </w:rPr>
  </w:style>
  <w:style w:type="paragraph" w:customStyle="1" w:styleId="43">
    <w:name w:val="海南化工城正文"/>
    <w:basedOn w:val="1"/>
    <w:qFormat/>
    <w:uiPriority w:val="0"/>
    <w:pPr>
      <w:spacing w:line="324" w:lineRule="auto"/>
      <w:ind w:firstLine="480" w:firstLineChars="200"/>
    </w:pPr>
    <w:rPr>
      <w:rFonts w:ascii="宋体" w:hAnsi="宋体" w:cs="宋体"/>
      <w:sz w:val="24"/>
    </w:rPr>
  </w:style>
  <w:style w:type="paragraph" w:customStyle="1" w:styleId="44">
    <w:name w:val="正文 H"/>
    <w:basedOn w:val="1"/>
    <w:qFormat/>
    <w:uiPriority w:val="0"/>
    <w:pPr>
      <w:ind w:firstLine="200"/>
    </w:pPr>
    <w:rPr>
      <w:snapToGrid w:val="0"/>
    </w:rPr>
  </w:style>
  <w:style w:type="paragraph" w:customStyle="1" w:styleId="45">
    <w:name w:val="样式 标题 2"/>
    <w:basedOn w:val="5"/>
    <w:qFormat/>
    <w:uiPriority w:val="0"/>
    <w:pPr>
      <w:adjustRightInd w:val="0"/>
      <w:snapToGrid w:val="0"/>
      <w:spacing w:line="240" w:lineRule="auto"/>
      <w:textAlignment w:val="baseline"/>
    </w:pPr>
    <w:rPr>
      <w:sz w:val="32"/>
    </w:rPr>
  </w:style>
  <w:style w:type="paragraph" w:customStyle="1" w:styleId="46">
    <w:name w:val="标题33"/>
    <w:basedOn w:val="8"/>
    <w:qFormat/>
    <w:uiPriority w:val="0"/>
    <w:pPr>
      <w:tabs>
        <w:tab w:val="left" w:pos="1036"/>
      </w:tabs>
      <w:spacing w:before="156" w:beforeLines="50" w:after="156" w:afterLines="50" w:line="400" w:lineRule="exact"/>
    </w:pPr>
    <w:rPr>
      <w:rFonts w:ascii="仿宋_GB2312" w:eastAsia="仿宋_GB2312"/>
    </w:rPr>
  </w:style>
  <w:style w:type="paragraph" w:customStyle="1" w:styleId="47">
    <w:name w:val="Other|1"/>
    <w:basedOn w:val="1"/>
    <w:qFormat/>
    <w:uiPriority w:val="0"/>
    <w:pPr>
      <w:spacing w:line="442" w:lineRule="auto"/>
      <w:ind w:firstLine="400"/>
    </w:pPr>
    <w:rPr>
      <w:rFonts w:ascii="宋体" w:hAnsi="宋体" w:cs="宋体"/>
      <w:sz w:val="28"/>
      <w:szCs w:val="28"/>
      <w:lang w:val="zh-TW" w:eastAsia="zh-TW" w:bidi="zh-TW"/>
    </w:rPr>
  </w:style>
  <w:style w:type="paragraph" w:customStyle="1" w:styleId="48">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9">
    <w:name w:val="WPSOffice手动目录 1"/>
    <w:qFormat/>
    <w:uiPriority w:val="0"/>
    <w:rPr>
      <w:rFonts w:ascii="Times New Roman" w:hAnsi="Times New Roman" w:eastAsia="宋体" w:cs="Times New Roman"/>
      <w:lang w:val="en-US" w:eastAsia="zh-CN" w:bidi="ar-SA"/>
    </w:rPr>
  </w:style>
  <w:style w:type="paragraph" w:customStyle="1" w:styleId="50">
    <w:name w:val="表5号字"/>
    <w:basedOn w:val="1"/>
    <w:next w:val="15"/>
    <w:qFormat/>
    <w:uiPriority w:val="0"/>
    <w:pPr>
      <w:jc w:val="center"/>
    </w:pPr>
    <w:rPr>
      <w:rFonts w:ascii="宋体" w:hAnsi="宋体" w:cs="宋体"/>
      <w:szCs w:val="21"/>
      <w:lang w:val="zh-CN" w:bidi="zh-CN"/>
    </w:rPr>
  </w:style>
  <w:style w:type="paragraph" w:customStyle="1" w:styleId="51">
    <w:name w:val="Body text|2"/>
    <w:basedOn w:val="1"/>
    <w:qFormat/>
    <w:uiPriority w:val="0"/>
    <w:pPr>
      <w:spacing w:after="120"/>
      <w:jc w:val="center"/>
    </w:pPr>
    <w:rPr>
      <w:rFonts w:ascii="宋体" w:hAnsi="宋体" w:cs="宋体"/>
      <w:lang w:val="zh-TW" w:eastAsia="zh-TW" w:bidi="zh-TW"/>
    </w:rPr>
  </w:style>
  <w:style w:type="paragraph" w:customStyle="1" w:styleId="52">
    <w:name w:val="Body text|3"/>
    <w:basedOn w:val="1"/>
    <w:qFormat/>
    <w:uiPriority w:val="0"/>
    <w:pPr>
      <w:spacing w:after="780"/>
      <w:jc w:val="center"/>
    </w:pPr>
    <w:rPr>
      <w:sz w:val="30"/>
      <w:szCs w:val="30"/>
      <w:lang w:val="zh-TW" w:eastAsia="zh-TW" w:bidi="zh-TW"/>
    </w:rPr>
  </w:style>
  <w:style w:type="paragraph" w:customStyle="1" w:styleId="53">
    <w:name w:val="Default"/>
    <w:qFormat/>
    <w:uiPriority w:val="0"/>
    <w:pPr>
      <w:widowControl w:val="0"/>
      <w:autoSpaceDE w:val="0"/>
      <w:autoSpaceDN w:val="0"/>
    </w:pPr>
    <w:rPr>
      <w:rFonts w:hint="eastAsia" w:ascii="宋体" w:hAnsi="Calibri" w:eastAsia="宋体" w:cs="Times New Roman"/>
      <w:color w:val="000000"/>
      <w:sz w:val="24"/>
      <w:lang w:val="en-US" w:eastAsia="zh-CN" w:bidi="ar-SA"/>
    </w:rPr>
  </w:style>
  <w:style w:type="paragraph" w:customStyle="1" w:styleId="54">
    <w:name w:val="Body text|1"/>
    <w:basedOn w:val="1"/>
    <w:qFormat/>
    <w:uiPriority w:val="0"/>
    <w:pPr>
      <w:spacing w:line="389" w:lineRule="auto"/>
      <w:ind w:firstLine="400"/>
    </w:pPr>
    <w:rPr>
      <w:rFonts w:ascii="MingLiU" w:hAnsi="MingLiU" w:eastAsia="MingLiU" w:cs="MingLiU"/>
      <w:sz w:val="20"/>
      <w:szCs w:val="20"/>
      <w:lang w:val="zh-TW" w:eastAsia="zh-TW" w:bidi="zh-TW"/>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6">
    <w:name w:val="正文_1"/>
    <w:qFormat/>
    <w:uiPriority w:val="0"/>
    <w:pPr>
      <w:widowControl w:val="0"/>
      <w:jc w:val="both"/>
    </w:pPr>
    <w:rPr>
      <w:rFonts w:ascii="Calibri" w:hAnsi="Calibri" w:eastAsia="宋体" w:cs="Times New Roman"/>
      <w:kern w:val="2"/>
      <w:sz w:val="21"/>
      <w:lang w:val="en-US" w:eastAsia="zh-CN" w:bidi="ar-SA"/>
    </w:rPr>
  </w:style>
  <w:style w:type="paragraph" w:customStyle="1" w:styleId="57">
    <w:name w:val="正文环评"/>
    <w:qFormat/>
    <w:uiPriority w:val="0"/>
    <w:pPr>
      <w:adjustRightInd w:val="0"/>
      <w:snapToGrid w:val="0"/>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58">
    <w:name w:val="样式5"/>
    <w:basedOn w:val="1"/>
    <w:next w:val="1"/>
    <w:qFormat/>
    <w:uiPriority w:val="0"/>
    <w:pPr>
      <w:snapToGrid w:val="0"/>
      <w:spacing w:line="360" w:lineRule="auto"/>
      <w:ind w:firstLine="510"/>
    </w:pPr>
    <w:rPr>
      <w:sz w:val="24"/>
    </w:rPr>
  </w:style>
  <w:style w:type="paragraph" w:customStyle="1" w:styleId="5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61">
    <w:name w:val="样式 首行缩进:  2 字符 行距: 单倍行距"/>
    <w:basedOn w:val="1"/>
    <w:qFormat/>
    <w:uiPriority w:val="99"/>
    <w:pPr>
      <w:ind w:firstLine="200" w:firstLineChars="200"/>
    </w:pPr>
    <w:rPr>
      <w:rFonts w:cs="宋体"/>
      <w:sz w:val="28"/>
      <w:szCs w:val="20"/>
    </w:rPr>
  </w:style>
  <w:style w:type="table" w:customStyle="1" w:styleId="62">
    <w:name w:val="网格型1"/>
    <w:basedOn w:val="23"/>
    <w:qFormat/>
    <w:uiPriority w:val="59"/>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3">
    <w:name w:val="占位符文本1"/>
    <w:basedOn w:val="25"/>
    <w:semiHidden/>
    <w:qFormat/>
    <w:uiPriority w:val="99"/>
    <w:rPr>
      <w:color w:val="808080"/>
    </w:rPr>
  </w:style>
  <w:style w:type="character" w:customStyle="1" w:styleId="64">
    <w:name w:val="批注框文本 字符"/>
    <w:basedOn w:val="25"/>
    <w:link w:val="17"/>
    <w:qFormat/>
    <w:uiPriority w:val="0"/>
    <w:rPr>
      <w:kern w:val="2"/>
      <w:sz w:val="18"/>
      <w:szCs w:val="18"/>
    </w:rPr>
  </w:style>
  <w:style w:type="character" w:customStyle="1" w:styleId="65">
    <w:name w:val="font41"/>
    <w:basedOn w:val="25"/>
    <w:qFormat/>
    <w:uiPriority w:val="0"/>
    <w:rPr>
      <w:rFonts w:hint="default" w:ascii="Times New Roman" w:hAnsi="Times New Roman" w:cs="Times New Roman"/>
      <w:color w:val="000000"/>
      <w:sz w:val="24"/>
      <w:szCs w:val="24"/>
      <w:u w:val="single"/>
    </w:rPr>
  </w:style>
  <w:style w:type="character" w:customStyle="1" w:styleId="66">
    <w:name w:val="font71"/>
    <w:basedOn w:val="25"/>
    <w:qFormat/>
    <w:uiPriority w:val="0"/>
    <w:rPr>
      <w:rFonts w:hint="eastAsia" w:ascii="黑体" w:hAnsi="宋体" w:eastAsia="黑体" w:cs="黑体"/>
      <w:color w:val="000000"/>
      <w:sz w:val="21"/>
      <w:szCs w:val="21"/>
      <w:u w:val="none"/>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110</Pages>
  <Words>50909</Words>
  <Characters>60677</Characters>
  <Lines>512</Lines>
  <Paragraphs>144</Paragraphs>
  <TotalTime>2</TotalTime>
  <ScaleCrop>false</ScaleCrop>
  <LinksUpToDate>false</LinksUpToDate>
  <CharactersWithSpaces>61496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2022-10-08T08:16:00Z</dcterms:created>
  <dc:creator>Administrator</dc:creator>
  <cp:lastModifiedBy>米薇</cp:lastModifiedBy>
  <cp:lastPrinted>2022-09-27T06:50:00Z</cp:lastPrinted>
  <dcterms:modified xsi:type="dcterms:W3CDTF">2024-07-16T03:22:21Z</dcterms:modified>
  <dc:title>萍乡市芦溪县畜禽养殖污染防治</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19175E94AC45443397F3FCDBA34051C6_13</vt:lpwstr>
  </property>
</Properties>
</file>