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76B47">
      <w:pPr>
        <w:widowControl w:val="0"/>
        <w:adjustRightInd/>
        <w:snapToGrid/>
        <w:spacing w:after="0" w:line="540" w:lineRule="exact"/>
        <w:rPr>
          <w:rFonts w:ascii="Times New Roman" w:hAnsi="Times New Roman" w:eastAsia="宋体" w:cs="Times New Roman"/>
          <w:bCs/>
          <w:color w:val="auto"/>
          <w:kern w:val="2"/>
          <w:sz w:val="32"/>
          <w:szCs w:val="32"/>
          <w:highlight w:val="none"/>
        </w:rPr>
      </w:pPr>
      <w:r>
        <w:rPr>
          <w:rFonts w:hint="eastAsia" w:ascii="黑体" w:hAnsi="黑体" w:eastAsia="黑体" w:cs="黑体"/>
          <w:bCs/>
          <w:color w:val="auto"/>
          <w:kern w:val="2"/>
          <w:sz w:val="32"/>
          <w:szCs w:val="32"/>
          <w:highlight w:val="none"/>
        </w:rPr>
        <w:t>徐政财字〔2022〕96号附件</w:t>
      </w:r>
      <w:r>
        <w:rPr>
          <w:rFonts w:hint="default" w:ascii="黑体" w:hAnsi="黑体" w:eastAsia="黑体" w:cs="黑体"/>
          <w:bCs/>
          <w:color w:val="auto"/>
          <w:kern w:val="2"/>
          <w:sz w:val="32"/>
          <w:szCs w:val="32"/>
          <w:highlight w:val="none"/>
          <w:lang w:val="en-US"/>
        </w:rPr>
        <w:t>2</w:t>
      </w:r>
    </w:p>
    <w:p w14:paraId="4EFFAA99">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6A222D50">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color w:val="auto"/>
          <w:kern w:val="2"/>
          <w:sz w:val="44"/>
          <w:szCs w:val="44"/>
          <w:highlight w:val="none"/>
        </w:rPr>
      </w:pPr>
      <w:r>
        <w:rPr>
          <w:rFonts w:hint="eastAsia" w:asciiTheme="majorEastAsia" w:hAnsiTheme="majorEastAsia" w:eastAsiaTheme="majorEastAsia" w:cstheme="majorEastAsia"/>
          <w:b/>
          <w:bCs w:val="0"/>
          <w:color w:val="auto"/>
          <w:kern w:val="2"/>
          <w:sz w:val="44"/>
          <w:szCs w:val="44"/>
          <w:highlight w:val="none"/>
        </w:rPr>
        <w:t>保定市徐水区</w:t>
      </w:r>
      <w:r>
        <w:rPr>
          <w:rFonts w:hint="eastAsia" w:asciiTheme="majorEastAsia" w:hAnsiTheme="majorEastAsia" w:eastAsiaTheme="majorEastAsia" w:cstheme="majorEastAsia"/>
          <w:b/>
          <w:bCs w:val="0"/>
          <w:color w:val="auto"/>
          <w:kern w:val="2"/>
          <w:sz w:val="44"/>
          <w:szCs w:val="44"/>
          <w:highlight w:val="none"/>
          <w:lang w:eastAsia="zh-CN"/>
        </w:rPr>
        <w:t>漕河镇人民政府</w:t>
      </w:r>
      <w:r>
        <w:rPr>
          <w:rFonts w:hint="eastAsia" w:asciiTheme="majorEastAsia" w:hAnsiTheme="majorEastAsia" w:eastAsiaTheme="majorEastAsia" w:cstheme="majorEastAsia"/>
          <w:b/>
          <w:bCs w:val="0"/>
          <w:color w:val="auto"/>
          <w:kern w:val="2"/>
          <w:sz w:val="44"/>
          <w:szCs w:val="44"/>
          <w:highlight w:val="none"/>
        </w:rPr>
        <w:t>202</w:t>
      </w:r>
      <w:r>
        <w:rPr>
          <w:rFonts w:hint="default" w:asciiTheme="majorEastAsia" w:hAnsiTheme="majorEastAsia" w:eastAsiaTheme="majorEastAsia" w:cstheme="majorEastAsia"/>
          <w:b/>
          <w:bCs w:val="0"/>
          <w:color w:val="auto"/>
          <w:kern w:val="2"/>
          <w:sz w:val="44"/>
          <w:szCs w:val="44"/>
          <w:highlight w:val="none"/>
          <w:lang w:val="en-US"/>
        </w:rPr>
        <w:t>1</w:t>
      </w:r>
      <w:r>
        <w:rPr>
          <w:rFonts w:hint="eastAsia" w:asciiTheme="majorEastAsia" w:hAnsiTheme="majorEastAsia" w:eastAsiaTheme="majorEastAsia" w:cstheme="majorEastAsia"/>
          <w:b/>
          <w:bCs w:val="0"/>
          <w:color w:val="auto"/>
          <w:kern w:val="2"/>
          <w:sz w:val="44"/>
          <w:szCs w:val="44"/>
          <w:highlight w:val="none"/>
        </w:rPr>
        <w:t>年</w:t>
      </w:r>
    </w:p>
    <w:p w14:paraId="6C65DBCD">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color w:val="auto"/>
          <w:kern w:val="2"/>
          <w:sz w:val="48"/>
          <w:szCs w:val="48"/>
          <w:highlight w:val="none"/>
        </w:rPr>
      </w:pPr>
      <w:r>
        <w:rPr>
          <w:rFonts w:hint="eastAsia" w:asciiTheme="majorEastAsia" w:hAnsiTheme="majorEastAsia" w:eastAsiaTheme="majorEastAsia" w:cstheme="majorEastAsia"/>
          <w:b/>
          <w:bCs w:val="0"/>
          <w:color w:val="auto"/>
          <w:kern w:val="2"/>
          <w:sz w:val="44"/>
          <w:szCs w:val="44"/>
          <w:highlight w:val="none"/>
        </w:rPr>
        <w:t>部门整体支出绩效评价自评报告</w:t>
      </w:r>
    </w:p>
    <w:p w14:paraId="29FE2BF8">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54D28175">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2ECFA6D2">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002E0CA1">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46402ADD">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73AB9FF9">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18BE6FFD">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202300AC">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0691A1B2">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5C75743B">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222A97D0">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20D2FB4D">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78D1E954">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4E66AF44">
      <w:pPr>
        <w:widowControl w:val="0"/>
        <w:adjustRightInd/>
        <w:snapToGrid/>
        <w:spacing w:after="0" w:line="540" w:lineRule="exact"/>
        <w:ind w:firstLine="720" w:firstLineChars="200"/>
        <w:jc w:val="center"/>
        <w:rPr>
          <w:rFonts w:cs="Times New Roman" w:asciiTheme="minorEastAsia" w:hAnsiTheme="minorEastAsia" w:eastAsiaTheme="minorEastAsia"/>
          <w:bCs/>
          <w:color w:val="auto"/>
          <w:kern w:val="2"/>
          <w:sz w:val="36"/>
          <w:szCs w:val="36"/>
          <w:highlight w:val="none"/>
        </w:rPr>
      </w:pPr>
      <w:r>
        <w:rPr>
          <w:rFonts w:hint="eastAsia" w:cs="Times New Roman" w:asciiTheme="minorEastAsia" w:hAnsiTheme="minorEastAsia" w:eastAsiaTheme="minorEastAsia"/>
          <w:bCs/>
          <w:color w:val="auto"/>
          <w:kern w:val="2"/>
          <w:sz w:val="36"/>
          <w:szCs w:val="36"/>
          <w:highlight w:val="none"/>
        </w:rPr>
        <w:t>20</w:t>
      </w:r>
      <w:r>
        <w:rPr>
          <w:rFonts w:cs="Times New Roman" w:asciiTheme="minorEastAsia" w:hAnsiTheme="minorEastAsia" w:eastAsiaTheme="minorEastAsia"/>
          <w:bCs/>
          <w:color w:val="auto"/>
          <w:kern w:val="2"/>
          <w:sz w:val="36"/>
          <w:szCs w:val="36"/>
          <w:highlight w:val="none"/>
        </w:rPr>
        <w:t>2</w:t>
      </w:r>
      <w:r>
        <w:rPr>
          <w:rFonts w:hint="default" w:cs="Times New Roman" w:asciiTheme="minorEastAsia" w:hAnsiTheme="minorEastAsia" w:eastAsiaTheme="minorEastAsia"/>
          <w:bCs/>
          <w:color w:val="auto"/>
          <w:kern w:val="2"/>
          <w:sz w:val="36"/>
          <w:szCs w:val="36"/>
          <w:highlight w:val="none"/>
          <w:lang w:val="en-US"/>
        </w:rPr>
        <w:t>2</w:t>
      </w:r>
      <w:r>
        <w:rPr>
          <w:rFonts w:hint="eastAsia" w:cs="Times New Roman" w:asciiTheme="minorEastAsia" w:hAnsiTheme="minorEastAsia" w:eastAsiaTheme="minorEastAsia"/>
          <w:bCs/>
          <w:color w:val="auto"/>
          <w:kern w:val="2"/>
          <w:sz w:val="36"/>
          <w:szCs w:val="36"/>
          <w:highlight w:val="none"/>
        </w:rPr>
        <w:t>年</w:t>
      </w:r>
      <w:r>
        <w:rPr>
          <w:rFonts w:hint="eastAsia" w:cs="Times New Roman" w:asciiTheme="minorEastAsia" w:hAnsiTheme="minorEastAsia" w:eastAsiaTheme="minorEastAsia"/>
          <w:bCs/>
          <w:color w:val="auto"/>
          <w:kern w:val="2"/>
          <w:sz w:val="36"/>
          <w:szCs w:val="36"/>
          <w:highlight w:val="none"/>
          <w:lang w:val="en-US" w:eastAsia="zh-CN"/>
        </w:rPr>
        <w:t>11</w:t>
      </w:r>
      <w:r>
        <w:rPr>
          <w:rFonts w:hint="eastAsia" w:cs="Times New Roman" w:asciiTheme="minorEastAsia" w:hAnsiTheme="minorEastAsia" w:eastAsiaTheme="minorEastAsia"/>
          <w:bCs/>
          <w:color w:val="auto"/>
          <w:kern w:val="2"/>
          <w:sz w:val="36"/>
          <w:szCs w:val="36"/>
          <w:highlight w:val="none"/>
        </w:rPr>
        <w:t>月</w:t>
      </w:r>
    </w:p>
    <w:p w14:paraId="12C2037C">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1C53BD21">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19BD81DA">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14:paraId="0589109B">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sdt>
      <w:sdtPr>
        <w:rPr>
          <w:rFonts w:ascii="Tahoma" w:hAnsi="Tahoma" w:eastAsia="微软雅黑" w:cstheme="minorBidi"/>
          <w:b w:val="0"/>
          <w:bCs w:val="0"/>
          <w:color w:val="auto"/>
          <w:sz w:val="22"/>
          <w:szCs w:val="22"/>
          <w:highlight w:val="none"/>
          <w:lang w:val="zh-CN"/>
        </w:rPr>
        <w:id w:val="8905895"/>
        <w:docPartObj>
          <w:docPartGallery w:val="Table of Contents"/>
          <w:docPartUnique/>
        </w:docPartObj>
      </w:sdtPr>
      <w:sdtEndPr>
        <w:rPr>
          <w:rFonts w:ascii="Tahoma" w:hAnsi="Tahoma" w:eastAsia="微软雅黑" w:cstheme="minorBidi"/>
          <w:b w:val="0"/>
          <w:bCs w:val="0"/>
          <w:color w:val="auto"/>
          <w:sz w:val="22"/>
          <w:szCs w:val="22"/>
          <w:highlight w:val="none"/>
          <w:lang w:val="en-US"/>
        </w:rPr>
      </w:sdtEndPr>
      <w:sdtContent>
        <w:p w14:paraId="23042C8C">
          <w:pPr>
            <w:pStyle w:val="71"/>
            <w:ind w:firstLine="440" w:firstLineChars="200"/>
            <w:jc w:val="center"/>
            <w:rPr>
              <w:rFonts w:ascii="Tahoma" w:hAnsi="Tahoma" w:eastAsia="微软雅黑" w:cstheme="minorBidi"/>
              <w:b w:val="0"/>
              <w:bCs w:val="0"/>
              <w:color w:val="auto"/>
              <w:sz w:val="22"/>
              <w:szCs w:val="22"/>
              <w:highlight w:val="none"/>
              <w:lang w:val="zh-CN"/>
            </w:rPr>
          </w:pPr>
        </w:p>
        <w:p w14:paraId="63110B0E">
          <w:pPr>
            <w:pStyle w:val="71"/>
            <w:ind w:firstLine="883" w:firstLineChars="200"/>
            <w:jc w:val="center"/>
            <w:rPr>
              <w:color w:val="auto"/>
              <w:sz w:val="44"/>
              <w:szCs w:val="44"/>
              <w:highlight w:val="none"/>
              <w:lang w:val="zh-CN"/>
            </w:rPr>
          </w:pPr>
          <w:r>
            <w:rPr>
              <w:color w:val="auto"/>
              <w:sz w:val="44"/>
              <w:szCs w:val="44"/>
              <w:highlight w:val="none"/>
              <w:lang w:val="zh-CN"/>
            </w:rPr>
            <w:t>目</w:t>
          </w:r>
          <w:r>
            <w:rPr>
              <w:rFonts w:hint="eastAsia"/>
              <w:color w:val="auto"/>
              <w:sz w:val="44"/>
              <w:szCs w:val="44"/>
              <w:highlight w:val="none"/>
              <w:lang w:val="zh-CN"/>
            </w:rPr>
            <w:t xml:space="preserve">    </w:t>
          </w:r>
          <w:r>
            <w:rPr>
              <w:color w:val="auto"/>
              <w:sz w:val="44"/>
              <w:szCs w:val="44"/>
              <w:highlight w:val="none"/>
              <w:lang w:val="zh-CN"/>
            </w:rPr>
            <w:t>录</w:t>
          </w:r>
        </w:p>
        <w:p w14:paraId="08A5519F">
          <w:pPr>
            <w:pStyle w:val="18"/>
            <w:tabs>
              <w:tab w:val="right" w:leader="dot" w:pos="8312"/>
            </w:tabs>
            <w:spacing w:line="312" w:lineRule="auto"/>
            <w:ind w:left="0" w:leftChars="0"/>
            <w:rPr>
              <w:rFonts w:asciiTheme="majorEastAsia" w:hAnsiTheme="majorEastAsia" w:eastAsiaTheme="majorEastAsia" w:cstheme="majorEastAsia"/>
              <w:b/>
              <w:bCs/>
              <w:color w:val="auto"/>
              <w:sz w:val="24"/>
              <w:highlight w:val="none"/>
            </w:rPr>
          </w:pPr>
          <w:r>
            <w:rPr>
              <w:rFonts w:asciiTheme="minorEastAsia" w:hAnsiTheme="minorEastAsia" w:eastAsiaTheme="minorEastAsia"/>
              <w:color w:val="auto"/>
              <w:sz w:val="24"/>
              <w:highlight w:val="none"/>
            </w:rPr>
            <w:fldChar w:fldCharType="begin"/>
          </w:r>
          <w:r>
            <w:rPr>
              <w:rFonts w:asciiTheme="minorEastAsia" w:hAnsiTheme="minorEastAsia" w:eastAsiaTheme="minorEastAsia"/>
              <w:color w:val="auto"/>
              <w:sz w:val="24"/>
              <w:highlight w:val="none"/>
            </w:rPr>
            <w:instrText xml:space="preserve"> TOC \o "1-3" \h \z \u </w:instrText>
          </w:r>
          <w:r>
            <w:rPr>
              <w:rFonts w:asciiTheme="minorEastAsia" w:hAnsiTheme="minorEastAsia" w:eastAsiaTheme="minorEastAsia"/>
              <w:color w:val="auto"/>
              <w:sz w:val="24"/>
              <w:highlight w:val="none"/>
            </w:rPr>
            <w:fldChar w:fldCharType="separate"/>
          </w:r>
          <w:r>
            <w:rPr>
              <w:color w:val="auto"/>
              <w:highlight w:val="none"/>
            </w:rPr>
            <w:fldChar w:fldCharType="begin"/>
          </w:r>
          <w:r>
            <w:rPr>
              <w:color w:val="auto"/>
              <w:highlight w:val="none"/>
            </w:rPr>
            <w:instrText xml:space="preserve"> HYPERLINK \l "_Toc25184"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第一部分   摘  要</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_Toc25184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14:paraId="7B4D43B2">
          <w:pPr>
            <w:pStyle w:val="18"/>
            <w:tabs>
              <w:tab w:val="right" w:leader="dot" w:pos="8312"/>
            </w:tabs>
            <w:spacing w:line="312" w:lineRule="auto"/>
            <w:ind w:left="0" w:leftChars="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"_Toc4346"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第二部分   绩效评价报告</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_Toc4346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5</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14:paraId="4259BED9">
          <w:pPr>
            <w:pStyle w:val="18"/>
            <w:tabs>
              <w:tab w:val="right" w:leader="dot" w:pos="8312"/>
            </w:tabs>
            <w:spacing w:line="312" w:lineRule="auto"/>
            <w:ind w:left="0" w:leftChars="0"/>
            <w:rPr>
              <w:rFonts w:asciiTheme="majorEastAsia" w:hAnsiTheme="majorEastAsia" w:eastAsiaTheme="majorEastAsia" w:cstheme="majorEastAsia"/>
              <w:b/>
              <w:bCs/>
              <w:color w:val="auto"/>
              <w:sz w:val="24"/>
              <w:highlight w:val="none"/>
            </w:rPr>
          </w:pPr>
          <w:r>
            <w:rPr>
              <w:color w:val="auto"/>
              <w:highlight w:val="none"/>
            </w:rPr>
            <w:fldChar w:fldCharType="begin"/>
          </w:r>
          <w:r>
            <w:rPr>
              <w:color w:val="auto"/>
              <w:highlight w:val="none"/>
            </w:rPr>
            <w:instrText xml:space="preserve"> HYPERLINK \l "_Toc427"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一、保定市徐水区</w:t>
          </w:r>
          <w:r>
            <w:rPr>
              <w:rFonts w:hint="eastAsia" w:asciiTheme="majorEastAsia" w:hAnsiTheme="majorEastAsia" w:eastAsiaTheme="majorEastAsia" w:cstheme="majorEastAsia"/>
              <w:b/>
              <w:bCs/>
              <w:color w:val="auto"/>
              <w:sz w:val="24"/>
              <w:highlight w:val="none"/>
              <w:lang w:eastAsia="zh-CN"/>
            </w:rPr>
            <w:t>漕河镇人民政府</w:t>
          </w:r>
          <w:r>
            <w:rPr>
              <w:rFonts w:hint="eastAsia" w:asciiTheme="majorEastAsia" w:hAnsiTheme="majorEastAsia" w:eastAsiaTheme="majorEastAsia" w:cstheme="majorEastAsia"/>
              <w:b/>
              <w:bCs/>
              <w:color w:val="auto"/>
              <w:sz w:val="24"/>
              <w:highlight w:val="none"/>
            </w:rPr>
            <w:t>基本情况</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_Toc427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6</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14:paraId="298014A4">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"_Toc11473"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（一）部门职责和工作活动</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_Toc11473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6</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1071F216">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"_Toc7075"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（二）部门年度发展规划总体目标和职责分类绩效目标</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_Toc7075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7</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50E17148">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"_Toc1678"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（三）部门预算收入及决算收入</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_Toc1678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7</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24BEBD91">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"_Toc18197"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（四）预算支出及决算支出</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_Toc18197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12</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5EA0D903">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"_Toc19291"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（五）“三公”经费预算安排及支出情况</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_Toc19291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15</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5A8884C4">
          <w:pPr>
            <w:pStyle w:val="18"/>
            <w:tabs>
              <w:tab w:val="right" w:leader="dot" w:pos="8312"/>
            </w:tabs>
            <w:spacing w:line="312" w:lineRule="auto"/>
            <w:ind w:left="0" w:leftChars="0"/>
            <w:rPr>
              <w:rFonts w:asciiTheme="majorEastAsia" w:hAnsiTheme="majorEastAsia" w:eastAsiaTheme="majorEastAsia" w:cstheme="majorEastAsia"/>
              <w:b/>
              <w:bCs/>
              <w:color w:val="auto"/>
              <w:sz w:val="24"/>
              <w:highlight w:val="none"/>
            </w:rPr>
          </w:pPr>
          <w:r>
            <w:rPr>
              <w:color w:val="auto"/>
              <w:highlight w:val="none"/>
            </w:rPr>
            <w:fldChar w:fldCharType="begin"/>
          </w:r>
          <w:r>
            <w:rPr>
              <w:color w:val="auto"/>
              <w:highlight w:val="none"/>
            </w:rPr>
            <w:instrText xml:space="preserve"> HYPERLINK \l "_Toc20454"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二、部门整体支出绩效评价指标体系设定情况</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_Toc20454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17</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14:paraId="5ED320F8">
          <w:pPr>
            <w:pStyle w:val="18"/>
            <w:tabs>
              <w:tab w:val="right" w:leader="dot" w:pos="8312"/>
            </w:tabs>
            <w:spacing w:line="312" w:lineRule="auto"/>
            <w:ind w:left="0" w:leftChars="0" w:firstLine="30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"_Toc9569"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（一）投入</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_Toc9569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17</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54DABBF4">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"_Toc30221"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（二）过程</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_Toc30221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17</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2DF39942">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"_Toc24932"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（三）产出</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_Toc24932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18</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794FDB97">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"_Toc21821"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（四）效果</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_Toc21821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18</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078EBD8F">
          <w:pPr>
            <w:pStyle w:val="18"/>
            <w:tabs>
              <w:tab w:val="right" w:leader="dot" w:pos="8312"/>
            </w:tabs>
            <w:spacing w:line="312" w:lineRule="auto"/>
            <w:ind w:left="0" w:leftChars="0"/>
            <w:rPr>
              <w:rFonts w:asciiTheme="majorEastAsia" w:hAnsiTheme="majorEastAsia" w:eastAsiaTheme="majorEastAsia" w:cstheme="majorEastAsia"/>
              <w:b/>
              <w:bCs/>
              <w:color w:val="auto"/>
              <w:sz w:val="24"/>
              <w:highlight w:val="none"/>
            </w:rPr>
          </w:pPr>
          <w:r>
            <w:rPr>
              <w:color w:val="auto"/>
              <w:highlight w:val="none"/>
            </w:rPr>
            <w:fldChar w:fldCharType="begin"/>
          </w:r>
          <w:r>
            <w:rPr>
              <w:color w:val="auto"/>
              <w:highlight w:val="none"/>
            </w:rPr>
            <w:instrText xml:space="preserve"> HYPERLINK \l "_Toc11842"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三、综合绩效评价工作情况</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_Toc11842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19</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14:paraId="493CF889">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"_Toc17138"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（一）绩效评价目的</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_Toc17138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19</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1DD91EDC">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"_Toc11607"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（二）绩效评价依据</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_Toc11607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19</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3F774151">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"_Toc7609"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（三）绩效评价内容</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_Toc7609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20</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1FE97631">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"_Toc789"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（四）绩效评价原则</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_Toc789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20</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60B70502">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"_Toc8171"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（五）绩效评价方法</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_Toc8171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21</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035E5706">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"_Toc20821"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（六）绩效评价工作过程</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_Toc20821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21</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70873E6A">
          <w:pPr>
            <w:pStyle w:val="18"/>
            <w:tabs>
              <w:tab w:val="right" w:leader="dot" w:pos="8312"/>
            </w:tabs>
            <w:spacing w:line="312" w:lineRule="auto"/>
            <w:ind w:left="0" w:leftChars="0"/>
            <w:rPr>
              <w:rFonts w:asciiTheme="majorEastAsia" w:hAnsiTheme="majorEastAsia" w:eastAsiaTheme="majorEastAsia" w:cstheme="majorEastAsia"/>
              <w:b/>
              <w:bCs/>
              <w:color w:val="auto"/>
              <w:sz w:val="24"/>
              <w:highlight w:val="none"/>
            </w:rPr>
          </w:pPr>
          <w:r>
            <w:rPr>
              <w:color w:val="auto"/>
              <w:highlight w:val="none"/>
            </w:rPr>
            <w:fldChar w:fldCharType="begin"/>
          </w:r>
          <w:r>
            <w:rPr>
              <w:color w:val="auto"/>
              <w:highlight w:val="none"/>
            </w:rPr>
            <w:instrText xml:space="preserve"> HYPERLINK \l "_Toc6467"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四、绩效评价评分情况</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_Toc6467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23</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14:paraId="29AD9F2A">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"_Toc4390"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（一）投入</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_Toc4390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23</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6AC25E96">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"_Toc19940"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（二）过程</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_Toc19940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26</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33953BCE">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"_Toc12330"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（三）产出</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_Toc12330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34</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7A723CC7">
          <w:pPr>
            <w:pStyle w:val="11"/>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"_Toc28363"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（四）效果</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_Toc28363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35</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14:paraId="2BB78528">
          <w:pPr>
            <w:pStyle w:val="18"/>
            <w:tabs>
              <w:tab w:val="right" w:leader="dot" w:pos="8312"/>
            </w:tabs>
            <w:spacing w:line="312" w:lineRule="auto"/>
            <w:ind w:left="0" w:leftChars="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"_Toc13757"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五、绩效评价发现的问题</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_Toc13757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37</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14:paraId="05B828D7">
          <w:pPr>
            <w:pStyle w:val="18"/>
            <w:tabs>
              <w:tab w:val="right" w:leader="dot" w:pos="8312"/>
            </w:tabs>
            <w:spacing w:line="312" w:lineRule="auto"/>
            <w:ind w:left="0" w:leftChars="0"/>
            <w:rPr>
              <w:b/>
              <w:bCs/>
              <w:color w:val="auto"/>
              <w:highlight w:val="none"/>
            </w:rPr>
          </w:pPr>
          <w:r>
            <w:rPr>
              <w:color w:val="auto"/>
              <w:highlight w:val="none"/>
            </w:rPr>
            <w:fldChar w:fldCharType="begin"/>
          </w:r>
          <w:r>
            <w:rPr>
              <w:color w:val="auto"/>
              <w:highlight w:val="none"/>
            </w:rPr>
            <w:instrText xml:space="preserve"> HYPERLINK \l "_Toc20723"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六、绩效评价意见及建议</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_Toc20723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37</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14:paraId="74DD94B6">
          <w:pPr>
            <w:spacing w:line="312" w:lineRule="auto"/>
            <w:ind w:firstLine="440" w:firstLineChars="200"/>
            <w:jc w:val="both"/>
            <w:rPr>
              <w:color w:val="auto"/>
              <w:highlight w:val="none"/>
            </w:rPr>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color w:val="auto"/>
              <w:szCs w:val="24"/>
              <w:highlight w:val="none"/>
            </w:rPr>
            <w:fldChar w:fldCharType="end"/>
          </w:r>
        </w:p>
      </w:sdtContent>
    </w:sdt>
    <w:p w14:paraId="49E1DD7B">
      <w:pPr>
        <w:pStyle w:val="3"/>
        <w:spacing w:line="540" w:lineRule="exact"/>
        <w:jc w:val="center"/>
        <w:rPr>
          <w:rFonts w:ascii="黑体" w:hAnsi="黑体"/>
          <w:b w:val="0"/>
          <w:color w:val="auto"/>
          <w:highlight w:val="none"/>
        </w:rPr>
      </w:pPr>
      <w:bookmarkStart w:id="0" w:name="_Toc25184"/>
      <w:r>
        <w:rPr>
          <w:rFonts w:hint="eastAsia" w:ascii="黑体" w:hAnsi="黑体"/>
          <w:b w:val="0"/>
          <w:color w:val="auto"/>
          <w:highlight w:val="none"/>
        </w:rPr>
        <w:t>第一部分   摘  要</w:t>
      </w:r>
      <w:bookmarkEnd w:id="0"/>
    </w:p>
    <w:p w14:paraId="06F147BF">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年部门整体支出情况开展了绩效自评价工作。</w:t>
      </w:r>
    </w:p>
    <w:p w14:paraId="57A1BB11">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ascii="仿宋" w:hAnsi="仿宋" w:eastAsia="仿宋" w:cs="DengXian-Regular"/>
          <w:color w:val="auto"/>
          <w:sz w:val="32"/>
          <w:szCs w:val="32"/>
          <w:highlight w:val="none"/>
        </w:rPr>
      </w:pPr>
      <w:r>
        <w:rPr>
          <w:rFonts w:hint="eastAsia" w:ascii="仿宋_GB2312" w:eastAsia="仿宋_GB2312" w:cs="DengXian-Regular"/>
          <w:color w:val="auto"/>
          <w:sz w:val="32"/>
          <w:szCs w:val="32"/>
          <w:highlight w:val="none"/>
        </w:rPr>
        <w:t>保定市徐水区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为正科级行政单位，经费保障形式为财政拨款，</w:t>
      </w:r>
      <w:r>
        <w:rPr>
          <w:rFonts w:hint="eastAsia" w:ascii="仿宋" w:hAnsi="仿宋" w:eastAsia="仿宋" w:cs="DengXian-Regular"/>
          <w:color w:val="auto"/>
          <w:sz w:val="32"/>
          <w:szCs w:val="32"/>
          <w:highlight w:val="none"/>
        </w:rPr>
        <w:t>经费保障形式为财政拨款，下设</w:t>
      </w:r>
      <w:r>
        <w:rPr>
          <w:rFonts w:ascii="仿宋" w:hAnsi="仿宋" w:eastAsia="仿宋" w:cs="DengXian-Regular"/>
          <w:color w:val="auto"/>
          <w:sz w:val="32"/>
          <w:szCs w:val="32"/>
          <w:highlight w:val="none"/>
        </w:rPr>
        <w:t>4</w:t>
      </w:r>
      <w:r>
        <w:rPr>
          <w:rFonts w:hint="eastAsia" w:ascii="仿宋" w:hAnsi="仿宋" w:eastAsia="仿宋" w:cs="DengXian-Regular"/>
          <w:color w:val="auto"/>
          <w:sz w:val="32"/>
          <w:szCs w:val="32"/>
          <w:highlight w:val="none"/>
        </w:rPr>
        <w:t>个股室，</w:t>
      </w:r>
      <w:r>
        <w:rPr>
          <w:rFonts w:ascii="仿宋" w:hAnsi="仿宋" w:eastAsia="仿宋" w:cs="DengXian-Regular"/>
          <w:color w:val="auto"/>
          <w:sz w:val="32"/>
          <w:szCs w:val="32"/>
          <w:highlight w:val="none"/>
        </w:rPr>
        <w:t>2</w:t>
      </w:r>
      <w:r>
        <w:rPr>
          <w:rFonts w:hint="eastAsia" w:ascii="仿宋" w:hAnsi="仿宋" w:eastAsia="仿宋" w:cs="DengXian-Regular"/>
          <w:color w:val="auto"/>
          <w:sz w:val="32"/>
          <w:szCs w:val="32"/>
          <w:highlight w:val="none"/>
        </w:rPr>
        <w:t>个中心：分别为党政办公室、经济发展办公室、社会治安综合治理办公室；乡环境保护所、退役军人服务站。主要职责有：</w:t>
      </w:r>
      <w:r>
        <w:rPr>
          <w:rFonts w:ascii="仿宋" w:hAnsi="仿宋" w:eastAsia="仿宋" w:cs="DengXian-Regular"/>
          <w:color w:val="auto"/>
          <w:sz w:val="32"/>
          <w:szCs w:val="32"/>
          <w:highlight w:val="none"/>
        </w:rPr>
        <w:t xml:space="preserve"> </w:t>
      </w:r>
    </w:p>
    <w:p w14:paraId="14E1471E">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ascii="仿宋" w:hAnsi="仿宋" w:eastAsia="仿宋"/>
          <w:color w:val="auto"/>
          <w:sz w:val="32"/>
          <w:szCs w:val="32"/>
          <w:highlight w:val="none"/>
        </w:rPr>
      </w:pPr>
      <w:r>
        <w:rPr>
          <w:rFonts w:hint="eastAsia" w:ascii="仿宋" w:hAnsi="仿宋" w:eastAsia="仿宋" w:cs="DengXian-Regular"/>
          <w:color w:val="auto"/>
          <w:sz w:val="32"/>
          <w:szCs w:val="32"/>
          <w:highlight w:val="none"/>
        </w:rPr>
        <w:t>（一）</w:t>
      </w:r>
      <w:r>
        <w:rPr>
          <w:rFonts w:ascii="仿宋" w:hAnsi="仿宋" w:eastAsia="仿宋" w:cs="DengXian-Regular"/>
          <w:color w:val="auto"/>
          <w:sz w:val="32"/>
          <w:szCs w:val="32"/>
          <w:highlight w:val="none"/>
        </w:rPr>
        <w:t xml:space="preserve"> </w:t>
      </w:r>
      <w:r>
        <w:rPr>
          <w:rFonts w:hint="eastAsia" w:ascii="仿宋" w:hAnsi="仿宋" w:eastAsia="仿宋" w:cs="DengXian-Regular"/>
          <w:color w:val="auto"/>
          <w:sz w:val="32"/>
          <w:szCs w:val="32"/>
          <w:highlight w:val="none"/>
        </w:rPr>
        <w:t>负责党委、人大、政府交办的各项日常工作和纪检监察、</w:t>
      </w:r>
      <w:r>
        <w:rPr>
          <w:rFonts w:hint="eastAsia" w:ascii="仿宋" w:hAnsi="仿宋" w:eastAsia="仿宋"/>
          <w:color w:val="auto"/>
          <w:sz w:val="32"/>
          <w:szCs w:val="32"/>
          <w:highlight w:val="none"/>
        </w:rPr>
        <w:t>组织、宣传、统一战线、人事编制、工青妇及各部门、各方面的综合协调工作。负责民政优抚、扶贫开发、民族宗教、劳动和社会保障、科教文卫等工作。负责落实人口计划，开展和推动人口和计划生育各项工作，贯彻实施计划生育条例和法规。负责本乡农村社会化发展；负责乡村基础设施、交通等规划、建设、管理工作，负责国土资源、环境保护、安全生产等工作。协调与社会事务相关的其他工作。督促检查有关工作的落实。指导计划生育服务中心工作。</w:t>
      </w:r>
      <w:r>
        <w:rPr>
          <w:rFonts w:ascii="仿宋" w:hAnsi="仿宋" w:eastAsia="仿宋"/>
          <w:color w:val="auto"/>
          <w:sz w:val="32"/>
          <w:szCs w:val="32"/>
          <w:highlight w:val="none"/>
        </w:rPr>
        <w:tab/>
      </w:r>
    </w:p>
    <w:p w14:paraId="7EB248E6">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（二）负责谋划发展思路、创优发展环境、推进农业产业化、促进农民增收、抓好项目建设、服务辖区企业、</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加强基础设施建设、国有资产管理、搞好统计工作，协调与经济发展相关的其他工作。负责本级财政预决算、收支和村级财务监督检查等工作。</w:t>
      </w:r>
    </w:p>
    <w:p w14:paraId="15CD1DD8">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（三）负责来信来访、协调法庭、公安等部门工作，负责辖区内社会治安综合治理和法制宣传等工作，调解民事纠纷，维护社会稳定。</w:t>
      </w:r>
    </w:p>
    <w:p w14:paraId="114DD9AA">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（四）负责计划生育技术服务；负责生育指导和避孕咨询；负责婚前咨询和新婚保健；负责计划生育技术人员与婚前保健服务人员培训；负责计划生育科学研究等。</w:t>
      </w:r>
    </w:p>
    <w:p w14:paraId="6CB09647">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五）开展科技宣传等各种形式的文体活动，推动健康向上的农村文化，发展广播电影电视事业，进一步丰富农村业余文化生活，建设好农村社会主义文化阵地，在建设农村物质文明的同时、建设好农村精神文明。</w:t>
      </w:r>
      <w:r>
        <w:rPr>
          <w:rFonts w:hint="eastAsia" w:ascii="仿宋" w:hAnsi="仿宋" w:eastAsia="仿宋" w:cs="DengXian-Regular"/>
          <w:color w:val="auto"/>
          <w:sz w:val="32"/>
          <w:szCs w:val="32"/>
          <w:highlight w:val="none"/>
        </w:rPr>
        <w:t>负责全乡工作。</w:t>
      </w:r>
    </w:p>
    <w:p w14:paraId="2A0E0855">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23063AEC">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评价工作经过了前期准备、绩效评价实施方案和指标体系制定、组织实施、绩效评价报告撰写四个阶段。</w:t>
      </w:r>
    </w:p>
    <w:p w14:paraId="62845E8F">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年部门整体支出绩效评价工作。</w:t>
      </w:r>
    </w:p>
    <w:p w14:paraId="1906E2B1">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年部门整体支出绩效评价指标体系共设置4个一级指标、7个二级指标、2</w:t>
      </w:r>
      <w:r>
        <w:rPr>
          <w:rFonts w:hint="eastAsia" w:ascii="仿宋_GB2312" w:eastAsia="仿宋_GB2312" w:cs="DengXian-Regular"/>
          <w:color w:val="auto"/>
          <w:sz w:val="32"/>
          <w:szCs w:val="32"/>
          <w:highlight w:val="none"/>
          <w:lang w:val="en-US" w:eastAsia="zh-CN"/>
        </w:rPr>
        <w:t>8</w:t>
      </w:r>
      <w:r>
        <w:rPr>
          <w:rFonts w:hint="eastAsia" w:ascii="仿宋_GB2312" w:eastAsia="仿宋_GB2312" w:cs="DengXian-Regular"/>
          <w:color w:val="auto"/>
          <w:sz w:val="32"/>
          <w:szCs w:val="32"/>
          <w:highlight w:val="none"/>
        </w:rPr>
        <w:t>个三级指标，从投入、过程、产出、效果四个方面对区</w:t>
      </w:r>
      <w:r>
        <w:rPr>
          <w:rFonts w:hint="eastAsia" w:ascii="仿宋_GB2312" w:eastAsia="仿宋_GB2312" w:cs="DengXian-Regular"/>
          <w:color w:val="auto"/>
          <w:sz w:val="32"/>
          <w:szCs w:val="32"/>
          <w:highlight w:val="none"/>
          <w:lang w:eastAsia="zh-CN"/>
        </w:rPr>
        <w:t>漕河镇</w:t>
      </w:r>
      <w:r>
        <w:rPr>
          <w:rFonts w:hint="eastAsia" w:ascii="仿宋_GB2312" w:eastAsia="仿宋_GB2312" w:cs="DengXian-Regular"/>
          <w:color w:val="auto"/>
          <w:sz w:val="32"/>
          <w:szCs w:val="32"/>
          <w:highlight w:val="none"/>
        </w:rPr>
        <w:t>整体支出情况评分定级。指标体系设定满分为100分，绩效评价分值≥90为“优”；80≤分值＜90为“良”；60≤分值＜80为“合格”；60分以下为“差”。</w:t>
      </w:r>
    </w:p>
    <w:p w14:paraId="18AEC149">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年部门整体支出综合评价得分为</w:t>
      </w:r>
      <w:r>
        <w:rPr>
          <w:rFonts w:hint="eastAsia" w:ascii="仿宋_GB2312" w:eastAsia="仿宋_GB2312" w:cs="DengXian-Regular"/>
          <w:color w:val="auto"/>
          <w:sz w:val="32"/>
          <w:szCs w:val="32"/>
          <w:highlight w:val="none"/>
          <w:lang w:val="en-US" w:eastAsia="zh-CN"/>
        </w:rPr>
        <w:t>100</w:t>
      </w:r>
      <w:r>
        <w:rPr>
          <w:rFonts w:hint="eastAsia" w:ascii="仿宋_GB2312" w:eastAsia="仿宋_GB2312" w:cs="DengXian-Regular"/>
          <w:color w:val="auto"/>
          <w:sz w:val="32"/>
          <w:szCs w:val="32"/>
          <w:highlight w:val="none"/>
        </w:rPr>
        <w:t>分，评价等级为“</w:t>
      </w:r>
      <w:r>
        <w:rPr>
          <w:rFonts w:hint="eastAsia" w:ascii="仿宋_GB2312" w:eastAsia="仿宋_GB2312" w:cs="DengXian-Regular"/>
          <w:color w:val="auto"/>
          <w:sz w:val="32"/>
          <w:szCs w:val="32"/>
          <w:highlight w:val="none"/>
          <w:lang w:eastAsia="zh-CN"/>
        </w:rPr>
        <w:t>优</w:t>
      </w:r>
      <w:r>
        <w:rPr>
          <w:rFonts w:hint="eastAsia" w:ascii="仿宋_GB2312" w:eastAsia="仿宋_GB2312" w:cs="DengXian-Regular"/>
          <w:color w:val="auto"/>
          <w:sz w:val="32"/>
          <w:szCs w:val="32"/>
          <w:highlight w:val="none"/>
        </w:rPr>
        <w:t>”。</w:t>
      </w:r>
    </w:p>
    <w:p w14:paraId="199E5931">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经评价，</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2B818D43">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通过本次绩效评价工作，发现我单位在以下几个方面存在一些不足之处，具体如下：</w:t>
      </w:r>
    </w:p>
    <w:p w14:paraId="03C3C005">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1.绩效指标方面</w:t>
      </w:r>
    </w:p>
    <w:p w14:paraId="395914CF">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2.预算决算比较</w:t>
      </w:r>
    </w:p>
    <w:p w14:paraId="100C6264">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3.预算追加方面</w:t>
      </w:r>
    </w:p>
    <w:p w14:paraId="39F63C0E">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4.政府采购方面</w:t>
      </w:r>
    </w:p>
    <w:p w14:paraId="1B4D7EE3">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5.项目资金使用率</w:t>
      </w:r>
    </w:p>
    <w:p w14:paraId="4FA631CA">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6.部分基础数据信息方面</w:t>
      </w:r>
    </w:p>
    <w:p w14:paraId="18D92EF9">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针对此次绩效评价过程中发现的问题，我们建议：</w:t>
      </w:r>
    </w:p>
    <w:p w14:paraId="63D7927E">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1.增强绩效指标设置的明确性</w:t>
      </w:r>
    </w:p>
    <w:p w14:paraId="633E94FA">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工作活动、预算项目绩效指标应当清晰、可评价、可衡量。建议在设置职责活动绩效指标时，将绩效目标细化分解为具体的工作任务数，从而使绩效目标可量化，便于对目标实现情况进行考核。</w:t>
      </w:r>
    </w:p>
    <w:p w14:paraId="633E2959">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2.提高预算编制质量</w:t>
      </w:r>
    </w:p>
    <w:p w14:paraId="313DC4F6">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部门预算编制工作要全面反映和体现部门职责，根据具体情况及时调整预算的编制，缩小预算与决算差额，减少中期预算追加，提高预算编制质量，发挥预算约束作用。</w:t>
      </w:r>
    </w:p>
    <w:p w14:paraId="35F6B336">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3.强化政府采购执行</w:t>
      </w:r>
    </w:p>
    <w:p w14:paraId="77C8AA93">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建议严格按照《中华人民共和国政府采购法》及河北省2017年《政府采购集中采购目录和限额标准》的相关规定，执行政府采购，加快预算执行进度，提高政府采购效率。</w:t>
      </w:r>
      <w:bookmarkStart w:id="1" w:name="_Toc4346"/>
    </w:p>
    <w:p w14:paraId="3251FFF4">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4.提高项目资金使用率</w:t>
      </w:r>
    </w:p>
    <w:p w14:paraId="1A48657B">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建议</w:t>
      </w:r>
      <w:r>
        <w:rPr>
          <w:rFonts w:hint="eastAsia" w:ascii="仿宋_GB2312" w:eastAsia="仿宋_GB2312" w:cs="DengXian-Regular"/>
          <w:color w:val="auto"/>
          <w:sz w:val="32"/>
          <w:szCs w:val="32"/>
          <w:highlight w:val="none"/>
        </w:rPr>
        <w:t>保定市徐水区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Times New Roman" w:hAnsiTheme="minorEastAsia"/>
          <w:color w:val="auto"/>
          <w:sz w:val="32"/>
          <w:szCs w:val="32"/>
          <w:highlight w:val="none"/>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14:paraId="7B4CBFE2">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5</w:t>
      </w:r>
      <w:r>
        <w:rPr>
          <w:rFonts w:ascii="仿宋_GB2312" w:eastAsia="仿宋_GB2312" w:cs="DengXian-Regular"/>
          <w:color w:val="auto"/>
          <w:sz w:val="32"/>
          <w:szCs w:val="32"/>
          <w:highlight w:val="none"/>
        </w:rPr>
        <w:t>.完善基础信息管理</w:t>
      </w:r>
    </w:p>
    <w:p w14:paraId="65CDE5D7">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ascii="仿宋_GB2312" w:eastAsia="仿宋_GB2312" w:cs="DengXian-Regular"/>
          <w:color w:val="auto"/>
          <w:sz w:val="32"/>
          <w:szCs w:val="32"/>
          <w:highlight w:val="none"/>
        </w:rPr>
        <w:t>建议严格按照档案管理的相关规定对基础数据信息档案资料及时归档保存，保证项目资料的完整性和可查阅性。</w:t>
      </w:r>
    </w:p>
    <w:p w14:paraId="18686E27">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6.预算安排建议</w:t>
      </w:r>
    </w:p>
    <w:p w14:paraId="7C4AFAB7">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人员经费方面：</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w:t>
      </w:r>
      <w:r>
        <w:rPr>
          <w:rFonts w:hint="eastAsia" w:ascii="仿宋_GB2312" w:eastAsia="仿宋_GB2312" w:cs="DengXian-Regular"/>
          <w:color w:val="auto"/>
          <w:sz w:val="32"/>
          <w:szCs w:val="32"/>
          <w:highlight w:val="none"/>
          <w:lang w:val="en-US" w:eastAsia="zh-CN"/>
        </w:rPr>
        <w:t>1</w:t>
      </w:r>
      <w:r>
        <w:rPr>
          <w:rFonts w:ascii="仿宋_GB2312" w:eastAsia="仿宋_GB2312" w:cs="DengXian-Regular"/>
          <w:color w:val="auto"/>
          <w:sz w:val="32"/>
          <w:szCs w:val="32"/>
          <w:highlight w:val="none"/>
        </w:rPr>
        <w:t>年基本支出决算数较预算数增加比例较大，主要原因为基层司法所招录公务员增加人员经费支出，建议202</w:t>
      </w:r>
      <w:r>
        <w:rPr>
          <w:rFonts w:hint="eastAsia" w:ascii="仿宋_GB2312" w:eastAsia="仿宋_GB2312" w:cs="DengXian-Regular"/>
          <w:color w:val="auto"/>
          <w:sz w:val="32"/>
          <w:szCs w:val="32"/>
          <w:highlight w:val="none"/>
          <w:lang w:val="en-US" w:eastAsia="zh-CN"/>
        </w:rPr>
        <w:t>2</w:t>
      </w:r>
      <w:r>
        <w:rPr>
          <w:rFonts w:ascii="仿宋_GB2312" w:eastAsia="仿宋_GB2312" w:cs="DengXian-Regular"/>
          <w:color w:val="auto"/>
          <w:sz w:val="32"/>
          <w:szCs w:val="32"/>
          <w:highlight w:val="none"/>
        </w:rPr>
        <w:t>年预算根据</w:t>
      </w:r>
      <w:r>
        <w:rPr>
          <w:rFonts w:hint="eastAsia" w:ascii="仿宋_GB2312" w:eastAsia="仿宋_GB2312" w:cs="DengXian-Regular"/>
          <w:color w:val="auto"/>
          <w:sz w:val="32"/>
          <w:szCs w:val="32"/>
          <w:highlight w:val="none"/>
        </w:rPr>
        <w:t>202</w:t>
      </w:r>
      <w:r>
        <w:rPr>
          <w:rFonts w:hint="eastAsia" w:ascii="仿宋_GB2312" w:eastAsia="仿宋_GB2312" w:cs="DengXian-Regular"/>
          <w:color w:val="auto"/>
          <w:sz w:val="32"/>
          <w:szCs w:val="32"/>
          <w:highlight w:val="none"/>
          <w:lang w:val="en-US" w:eastAsia="zh-CN"/>
        </w:rPr>
        <w:t>1</w:t>
      </w:r>
      <w:r>
        <w:rPr>
          <w:rFonts w:hint="eastAsia" w:ascii="仿宋_GB2312" w:eastAsia="仿宋_GB2312" w:cs="DengXian-Regular"/>
          <w:color w:val="auto"/>
          <w:sz w:val="32"/>
          <w:szCs w:val="32"/>
          <w:highlight w:val="none"/>
        </w:rPr>
        <w:t>年实际发生人员经费支出、人员数量和工资标准适当安排人员经费预算。</w:t>
      </w:r>
    </w:p>
    <w:p w14:paraId="01751999">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项目资金方面：</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w:t>
      </w:r>
      <w:r>
        <w:rPr>
          <w:rFonts w:hint="eastAsia" w:ascii="仿宋_GB2312" w:eastAsia="仿宋_GB2312" w:cs="DengXian-Regular"/>
          <w:color w:val="auto"/>
          <w:sz w:val="32"/>
          <w:szCs w:val="32"/>
          <w:highlight w:val="none"/>
          <w:lang w:val="en-US" w:eastAsia="zh-CN"/>
        </w:rPr>
        <w:t>1</w:t>
      </w:r>
      <w:r>
        <w:rPr>
          <w:rFonts w:ascii="仿宋_GB2312" w:eastAsia="仿宋_GB2312" w:cs="DengXian-Regular"/>
          <w:color w:val="auto"/>
          <w:sz w:val="32"/>
          <w:szCs w:val="32"/>
          <w:highlight w:val="none"/>
        </w:rPr>
        <w:t>年项目支出资金使用率较低，</w:t>
      </w:r>
      <w:r>
        <w:rPr>
          <w:rFonts w:hint="eastAsia" w:ascii="仿宋_GB2312" w:eastAsia="仿宋_GB2312" w:cs="DengXian-Regular"/>
          <w:color w:val="auto"/>
          <w:sz w:val="32"/>
          <w:szCs w:val="32"/>
          <w:highlight w:val="none"/>
        </w:rPr>
        <w:t>针对</w:t>
      </w:r>
      <w:r>
        <w:rPr>
          <w:rFonts w:ascii="仿宋_GB2312" w:eastAsia="仿宋_GB2312" w:cs="DengXian-Regular"/>
          <w:color w:val="auto"/>
          <w:sz w:val="32"/>
          <w:szCs w:val="32"/>
          <w:highlight w:val="none"/>
        </w:rPr>
        <w:t>部分未实施项目资金结转至下一年度</w:t>
      </w:r>
      <w:r>
        <w:rPr>
          <w:rFonts w:hint="eastAsia" w:ascii="仿宋_GB2312" w:eastAsia="仿宋_GB2312" w:cs="DengXian-Regular"/>
          <w:color w:val="auto"/>
          <w:sz w:val="32"/>
          <w:szCs w:val="32"/>
          <w:highlight w:val="none"/>
        </w:rPr>
        <w:t>的，建议</w:t>
      </w:r>
      <w:r>
        <w:rPr>
          <w:rFonts w:ascii="仿宋_GB2312" w:eastAsia="仿宋_GB2312" w:cs="DengXian-Regular"/>
          <w:color w:val="auto"/>
          <w:sz w:val="32"/>
          <w:szCs w:val="32"/>
          <w:highlight w:val="none"/>
        </w:rPr>
        <w:t>202</w:t>
      </w:r>
      <w:r>
        <w:rPr>
          <w:rFonts w:hint="eastAsia" w:ascii="仿宋_GB2312" w:eastAsia="仿宋_GB2312" w:cs="DengXian-Regular"/>
          <w:color w:val="auto"/>
          <w:sz w:val="32"/>
          <w:szCs w:val="32"/>
          <w:highlight w:val="none"/>
          <w:lang w:val="en-US" w:eastAsia="zh-CN"/>
        </w:rPr>
        <w:t>2</w:t>
      </w:r>
      <w:r>
        <w:rPr>
          <w:rFonts w:ascii="仿宋_GB2312" w:eastAsia="仿宋_GB2312" w:cs="DengXian-Regular"/>
          <w:color w:val="auto"/>
          <w:sz w:val="32"/>
          <w:szCs w:val="32"/>
          <w:highlight w:val="none"/>
        </w:rPr>
        <w:t>年预算不增加</w:t>
      </w:r>
      <w:r>
        <w:rPr>
          <w:rFonts w:hint="eastAsia" w:ascii="仿宋_GB2312" w:eastAsia="仿宋_GB2312" w:cs="DengXian-Regular"/>
          <w:color w:val="auto"/>
          <w:sz w:val="32"/>
          <w:szCs w:val="32"/>
          <w:highlight w:val="none"/>
        </w:rPr>
        <w:t>该部分</w:t>
      </w:r>
      <w:r>
        <w:rPr>
          <w:rFonts w:ascii="仿宋_GB2312" w:eastAsia="仿宋_GB2312" w:cs="DengXian-Regular"/>
          <w:color w:val="auto"/>
          <w:sz w:val="32"/>
          <w:szCs w:val="32"/>
          <w:highlight w:val="none"/>
        </w:rPr>
        <w:t>项目资金预算</w:t>
      </w:r>
      <w:r>
        <w:rPr>
          <w:rFonts w:hint="eastAsia" w:ascii="仿宋_GB2312" w:eastAsia="仿宋_GB2312" w:cs="DengXian-Regular"/>
          <w:color w:val="auto"/>
          <w:sz w:val="32"/>
          <w:szCs w:val="32"/>
          <w:highlight w:val="none"/>
        </w:rPr>
        <w:t>；</w:t>
      </w:r>
      <w:r>
        <w:rPr>
          <w:rFonts w:ascii="仿宋_GB2312" w:eastAsia="仿宋_GB2312" w:cs="DengXian-Regular"/>
          <w:color w:val="auto"/>
          <w:sz w:val="32"/>
          <w:szCs w:val="32"/>
          <w:highlight w:val="none"/>
        </w:rPr>
        <w:t>其他项目资金根据实际情况予以保持或适当</w:t>
      </w:r>
      <w:r>
        <w:rPr>
          <w:rFonts w:hint="eastAsia" w:ascii="仿宋_GB2312" w:eastAsia="仿宋_GB2312" w:cs="DengXian-Regular"/>
          <w:color w:val="auto"/>
          <w:sz w:val="32"/>
          <w:szCs w:val="32"/>
          <w:highlight w:val="none"/>
        </w:rPr>
        <w:t>增减</w:t>
      </w:r>
      <w:r>
        <w:rPr>
          <w:rFonts w:ascii="仿宋_GB2312" w:eastAsia="仿宋_GB2312" w:cs="DengXian-Regular"/>
          <w:color w:val="auto"/>
          <w:sz w:val="32"/>
          <w:szCs w:val="32"/>
          <w:highlight w:val="none"/>
        </w:rPr>
        <w:t>。</w:t>
      </w:r>
    </w:p>
    <w:p w14:paraId="3E697D06">
      <w:pPr>
        <w:pStyle w:val="3"/>
        <w:spacing w:line="540" w:lineRule="exact"/>
        <w:jc w:val="center"/>
        <w:rPr>
          <w:rFonts w:ascii="黑体" w:hAnsi="黑体"/>
          <w:b w:val="0"/>
          <w:color w:val="auto"/>
          <w:highlight w:val="none"/>
        </w:rPr>
      </w:pPr>
      <w:r>
        <w:rPr>
          <w:rFonts w:hint="eastAsia" w:ascii="黑体" w:hAnsi="黑体"/>
          <w:b w:val="0"/>
          <w:color w:val="auto"/>
          <w:highlight w:val="none"/>
        </w:rPr>
        <w:t>第二部分   绩效评价报告</w:t>
      </w:r>
      <w:bookmarkEnd w:id="1"/>
    </w:p>
    <w:p w14:paraId="0FEC35C4">
      <w:pPr>
        <w:pStyle w:val="3"/>
        <w:pageBreakBefore w:val="0"/>
        <w:kinsoku/>
        <w:wordWrap/>
        <w:overflowPunct/>
        <w:topLinePunct w:val="0"/>
        <w:autoSpaceDE/>
        <w:autoSpaceDN/>
        <w:bidi w:val="0"/>
        <w:spacing w:before="0" w:after="0" w:line="360" w:lineRule="auto"/>
        <w:ind w:firstLine="643" w:firstLineChars="200"/>
        <w:rPr>
          <w:rFonts w:ascii="楷体" w:hAnsi="楷体" w:eastAsia="楷体" w:cs="楷体"/>
          <w:color w:val="auto"/>
          <w:highlight w:val="none"/>
        </w:rPr>
      </w:pPr>
      <w:bookmarkStart w:id="2" w:name="_Toc427"/>
      <w:bookmarkStart w:id="3" w:name="_Toc492652763"/>
      <w:r>
        <w:rPr>
          <w:rFonts w:hint="eastAsia" w:ascii="楷体" w:hAnsi="楷体" w:eastAsia="楷体" w:cs="楷体"/>
          <w:color w:val="auto"/>
          <w:highlight w:val="none"/>
        </w:rPr>
        <w:t>一、保定市徐水区</w:t>
      </w:r>
      <w:r>
        <w:rPr>
          <w:rFonts w:hint="eastAsia" w:ascii="楷体" w:hAnsi="楷体" w:eastAsia="楷体" w:cs="楷体"/>
          <w:color w:val="auto"/>
          <w:highlight w:val="none"/>
          <w:lang w:eastAsia="zh-CN"/>
        </w:rPr>
        <w:t>漕河镇人民政府</w:t>
      </w:r>
      <w:r>
        <w:rPr>
          <w:rFonts w:hint="eastAsia" w:ascii="楷体" w:hAnsi="楷体" w:eastAsia="楷体" w:cs="楷体"/>
          <w:color w:val="auto"/>
          <w:highlight w:val="none"/>
        </w:rPr>
        <w:t>基本情况</w:t>
      </w:r>
      <w:bookmarkEnd w:id="2"/>
      <w:bookmarkEnd w:id="3"/>
      <w:bookmarkStart w:id="4" w:name="_Toc492652764"/>
    </w:p>
    <w:p w14:paraId="746EDE6F">
      <w:pPr>
        <w:pStyle w:val="4"/>
        <w:pageBreakBefore w:val="0"/>
        <w:kinsoku/>
        <w:wordWrap/>
        <w:overflowPunct/>
        <w:topLinePunct w:val="0"/>
        <w:autoSpaceDE/>
        <w:autoSpaceDN/>
        <w:bidi w:val="0"/>
        <w:spacing w:before="0" w:after="0" w:line="360" w:lineRule="auto"/>
        <w:ind w:firstLine="643" w:firstLineChars="200"/>
        <w:jc w:val="both"/>
        <w:rPr>
          <w:rFonts w:ascii="仿宋_GB2312" w:hAnsi="Tahoma" w:cs="DengXian-Regular"/>
          <w:color w:val="auto"/>
          <w:sz w:val="32"/>
          <w:highlight w:val="none"/>
        </w:rPr>
      </w:pPr>
      <w:bookmarkStart w:id="5" w:name="_Toc11473"/>
      <w:r>
        <w:rPr>
          <w:rFonts w:hint="eastAsia" w:ascii="仿宋_GB2312" w:hAnsi="Tahoma" w:cs="DengXian-Regular"/>
          <w:color w:val="auto"/>
          <w:sz w:val="32"/>
          <w:highlight w:val="none"/>
        </w:rPr>
        <w:t>（一）部门职责和工作活动</w:t>
      </w:r>
      <w:bookmarkEnd w:id="4"/>
      <w:bookmarkEnd w:id="5"/>
    </w:p>
    <w:p w14:paraId="217EDE54">
      <w:pPr>
        <w:pageBreakBefore w:val="0"/>
        <w:kinsoku/>
        <w:wordWrap/>
        <w:overflowPunct/>
        <w:topLinePunct w:val="0"/>
        <w:autoSpaceDE/>
        <w:autoSpaceDN/>
        <w:bidi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根据中共保定市徐水区委办公室、保定市徐水区人民政府办公室关于印发《保定市徐水区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单位职能配置内设机构和人员编制规定》的通知，区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单位为区政府工作部门，正科级单位，下设</w:t>
      </w:r>
      <w:r>
        <w:rPr>
          <w:rFonts w:hint="eastAsia" w:ascii="仿宋_GB2312" w:eastAsia="仿宋_GB2312" w:cs="DengXian-Regular"/>
          <w:color w:val="auto"/>
          <w:sz w:val="32"/>
          <w:szCs w:val="32"/>
          <w:highlight w:val="none"/>
          <w:lang w:val="en-US" w:eastAsia="zh-CN"/>
        </w:rPr>
        <w:t>4</w:t>
      </w:r>
      <w:r>
        <w:rPr>
          <w:rFonts w:hint="eastAsia" w:ascii="仿宋_GB2312" w:eastAsia="仿宋_GB2312" w:cs="DengXian-Regular"/>
          <w:color w:val="auto"/>
          <w:sz w:val="32"/>
          <w:szCs w:val="32"/>
          <w:highlight w:val="none"/>
        </w:rPr>
        <w:t>个股室</w:t>
      </w:r>
      <w:bookmarkStart w:id="6" w:name="_Toc465149499"/>
      <w:bookmarkStart w:id="7" w:name="_Toc492652765"/>
      <w:r>
        <w:rPr>
          <w:rFonts w:hint="eastAsia" w:ascii="仿宋_GB2312" w:eastAsia="仿宋_GB2312" w:cs="DengXian-Regular"/>
          <w:color w:val="auto"/>
          <w:sz w:val="32"/>
          <w:szCs w:val="32"/>
          <w:highlight w:val="none"/>
          <w:lang w:eastAsia="zh-CN"/>
        </w:rPr>
        <w:t>，</w:t>
      </w:r>
      <w:r>
        <w:rPr>
          <w:rFonts w:ascii="仿宋" w:hAnsi="仿宋" w:eastAsia="仿宋" w:cs="DengXian-Regular"/>
          <w:color w:val="auto"/>
          <w:sz w:val="32"/>
          <w:szCs w:val="32"/>
          <w:highlight w:val="none"/>
        </w:rPr>
        <w:t>2</w:t>
      </w:r>
      <w:r>
        <w:rPr>
          <w:rFonts w:hint="eastAsia" w:ascii="仿宋" w:hAnsi="仿宋" w:eastAsia="仿宋" w:cs="DengXian-Regular"/>
          <w:color w:val="auto"/>
          <w:sz w:val="32"/>
          <w:szCs w:val="32"/>
          <w:highlight w:val="none"/>
        </w:rPr>
        <w:t>个中心。徐水区漕河镇人民政府根据绩效预算管理改革的相关要求，按照“部门职责</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工作活动绩效目标”的层级设立了绩效预算架构，职责活动包括</w:t>
      </w:r>
      <w:r>
        <w:rPr>
          <w:rFonts w:ascii="仿宋" w:hAnsi="仿宋" w:eastAsia="仿宋" w:cs="DengXian-Regular"/>
          <w:color w:val="auto"/>
          <w:sz w:val="32"/>
          <w:szCs w:val="32"/>
          <w:highlight w:val="none"/>
        </w:rPr>
        <w:t>:</w:t>
      </w:r>
      <w:r>
        <w:rPr>
          <w:rFonts w:ascii="仿宋" w:hAnsi="仿宋" w:eastAsia="仿宋"/>
          <w:color w:val="auto"/>
          <w:sz w:val="32"/>
          <w:szCs w:val="32"/>
          <w:highlight w:val="none"/>
        </w:rPr>
        <w:t xml:space="preserve"> 1.</w:t>
      </w:r>
      <w:r>
        <w:rPr>
          <w:rFonts w:hint="eastAsia" w:ascii="仿宋" w:hAnsi="仿宋" w:eastAsia="仿宋"/>
          <w:color w:val="auto"/>
          <w:sz w:val="32"/>
          <w:szCs w:val="32"/>
          <w:highlight w:val="none"/>
        </w:rPr>
        <w:t>政法综治稳定和国家安全；</w:t>
      </w:r>
      <w:r>
        <w:rPr>
          <w:rFonts w:ascii="仿宋" w:hAnsi="仿宋" w:eastAsia="仿宋"/>
          <w:color w:val="auto"/>
          <w:sz w:val="32"/>
          <w:szCs w:val="32"/>
          <w:highlight w:val="none"/>
        </w:rPr>
        <w:t>2.</w:t>
      </w:r>
      <w:r>
        <w:rPr>
          <w:rFonts w:hint="eastAsia" w:ascii="仿宋" w:hAnsi="仿宋" w:eastAsia="仿宋"/>
          <w:color w:val="auto"/>
          <w:sz w:val="32"/>
          <w:szCs w:val="32"/>
          <w:highlight w:val="none"/>
        </w:rPr>
        <w:t>社会管理与服务；</w:t>
      </w:r>
      <w:r>
        <w:rPr>
          <w:rFonts w:ascii="仿宋" w:hAnsi="仿宋" w:eastAsia="仿宋"/>
          <w:color w:val="auto"/>
          <w:sz w:val="32"/>
          <w:szCs w:val="32"/>
          <w:highlight w:val="none"/>
        </w:rPr>
        <w:t xml:space="preserve"> 3.</w:t>
      </w:r>
      <w:r>
        <w:rPr>
          <w:rFonts w:hint="eastAsia" w:ascii="仿宋" w:hAnsi="仿宋" w:eastAsia="仿宋"/>
          <w:color w:val="auto"/>
          <w:sz w:val="32"/>
          <w:szCs w:val="32"/>
          <w:highlight w:val="none"/>
        </w:rPr>
        <w:t>水利科技支撑和公共服务；４</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政务管理；</w:t>
      </w:r>
      <w:r>
        <w:rPr>
          <w:rFonts w:ascii="仿宋" w:hAnsi="仿宋" w:eastAsia="仿宋"/>
          <w:color w:val="auto"/>
          <w:sz w:val="32"/>
          <w:szCs w:val="32"/>
          <w:highlight w:val="none"/>
        </w:rPr>
        <w:t xml:space="preserve"> 5.</w:t>
      </w:r>
      <w:r>
        <w:rPr>
          <w:rFonts w:hint="eastAsia" w:ascii="仿宋" w:hAnsi="仿宋" w:eastAsia="仿宋"/>
          <w:color w:val="auto"/>
          <w:sz w:val="32"/>
          <w:szCs w:val="32"/>
          <w:highlight w:val="none"/>
        </w:rPr>
        <w:t>环境污染综合防治；</w:t>
      </w:r>
      <w:r>
        <w:rPr>
          <w:rFonts w:ascii="仿宋" w:hAnsi="仿宋" w:eastAsia="仿宋"/>
          <w:color w:val="auto"/>
          <w:sz w:val="32"/>
          <w:szCs w:val="32"/>
          <w:highlight w:val="none"/>
        </w:rPr>
        <w:t xml:space="preserve"> 6.</w:t>
      </w:r>
      <w:r>
        <w:rPr>
          <w:rFonts w:hint="eastAsia" w:ascii="仿宋" w:hAnsi="仿宋" w:eastAsia="仿宋"/>
          <w:color w:val="auto"/>
          <w:sz w:val="32"/>
          <w:szCs w:val="32"/>
          <w:highlight w:val="none"/>
        </w:rPr>
        <w:t>交通运输基础设施养护、维护；</w:t>
      </w:r>
      <w:r>
        <w:rPr>
          <w:rFonts w:ascii="仿宋" w:hAnsi="仿宋" w:eastAsia="仿宋"/>
          <w:color w:val="auto"/>
          <w:sz w:val="32"/>
          <w:szCs w:val="32"/>
          <w:highlight w:val="none"/>
        </w:rPr>
        <w:t>7.</w:t>
      </w:r>
      <w:r>
        <w:rPr>
          <w:rFonts w:hint="eastAsia" w:ascii="仿宋" w:hAnsi="仿宋" w:eastAsia="仿宋"/>
          <w:color w:val="auto"/>
          <w:sz w:val="32"/>
          <w:szCs w:val="32"/>
          <w:highlight w:val="none"/>
        </w:rPr>
        <w:t>农村文化建设；</w:t>
      </w:r>
      <w:r>
        <w:rPr>
          <w:rFonts w:ascii="仿宋" w:hAnsi="仿宋" w:eastAsia="仿宋"/>
          <w:color w:val="auto"/>
          <w:sz w:val="32"/>
          <w:szCs w:val="32"/>
          <w:highlight w:val="none"/>
        </w:rPr>
        <w:t xml:space="preserve"> 8.</w:t>
      </w:r>
      <w:r>
        <w:rPr>
          <w:rFonts w:hint="eastAsia" w:ascii="仿宋" w:hAnsi="仿宋" w:eastAsia="仿宋"/>
          <w:color w:val="auto"/>
          <w:sz w:val="32"/>
          <w:szCs w:val="32"/>
          <w:highlight w:val="none"/>
        </w:rPr>
        <w:t>安全生产综合监督管理；</w:t>
      </w:r>
      <w:r>
        <w:rPr>
          <w:rFonts w:ascii="仿宋" w:hAnsi="仿宋" w:eastAsia="仿宋"/>
          <w:color w:val="auto"/>
          <w:sz w:val="32"/>
          <w:szCs w:val="32"/>
          <w:highlight w:val="none"/>
        </w:rPr>
        <w:t xml:space="preserve"> 9.</w:t>
      </w:r>
      <w:r>
        <w:rPr>
          <w:rFonts w:hint="eastAsia" w:ascii="仿宋" w:hAnsi="仿宋" w:eastAsia="仿宋"/>
          <w:color w:val="auto"/>
          <w:sz w:val="32"/>
          <w:szCs w:val="32"/>
          <w:highlight w:val="none"/>
        </w:rPr>
        <w:t>防灾减灾救灾。</w:t>
      </w:r>
    </w:p>
    <w:p w14:paraId="0727BDA4">
      <w:pPr>
        <w:pStyle w:val="4"/>
        <w:pageBreakBefore w:val="0"/>
        <w:kinsoku/>
        <w:wordWrap/>
        <w:overflowPunct/>
        <w:topLinePunct w:val="0"/>
        <w:autoSpaceDE/>
        <w:autoSpaceDN/>
        <w:bidi w:val="0"/>
        <w:spacing w:before="0" w:after="0" w:line="360" w:lineRule="auto"/>
        <w:ind w:firstLine="643" w:firstLineChars="200"/>
        <w:jc w:val="both"/>
        <w:rPr>
          <w:rFonts w:ascii="仿宋_GB2312" w:hAnsi="Tahoma" w:cs="DengXian-Regular"/>
          <w:color w:val="auto"/>
          <w:sz w:val="32"/>
          <w:highlight w:val="none"/>
        </w:rPr>
      </w:pPr>
      <w:bookmarkStart w:id="8" w:name="_Toc7075"/>
      <w:r>
        <w:rPr>
          <w:rFonts w:hint="eastAsia" w:ascii="仿宋_GB2312" w:hAnsi="Tahoma" w:cs="DengXian-Regular"/>
          <w:color w:val="auto"/>
          <w:sz w:val="32"/>
          <w:highlight w:val="none"/>
        </w:rPr>
        <w:t>（二）</w:t>
      </w:r>
      <w:bookmarkEnd w:id="6"/>
      <w:r>
        <w:rPr>
          <w:rFonts w:hint="eastAsia" w:ascii="仿宋_GB2312" w:hAnsi="Tahoma" w:cs="DengXian-Regular"/>
          <w:color w:val="auto"/>
          <w:sz w:val="32"/>
          <w:highlight w:val="none"/>
        </w:rPr>
        <w:t>部门年度发展规划总体目标和职责分类绩效目标</w:t>
      </w:r>
      <w:bookmarkEnd w:id="7"/>
      <w:bookmarkEnd w:id="8"/>
    </w:p>
    <w:p w14:paraId="22F37643">
      <w:pPr>
        <w:pageBreakBefore w:val="0"/>
        <w:kinsoku/>
        <w:wordWrap/>
        <w:overflowPunct/>
        <w:topLinePunct w:val="0"/>
        <w:autoSpaceDE/>
        <w:autoSpaceDN/>
        <w:bidi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按照202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年绩效预算编制要求，</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lang w:val="en-US" w:eastAsia="zh-CN"/>
        </w:rPr>
        <w:t>,</w:t>
      </w:r>
      <w:r>
        <w:rPr>
          <w:rFonts w:hint="eastAsia" w:ascii="仿宋_GB2312" w:eastAsia="仿宋_GB2312" w:cs="DengXian-Regular"/>
          <w:color w:val="auto"/>
          <w:sz w:val="32"/>
          <w:szCs w:val="32"/>
          <w:highlight w:val="none"/>
        </w:rPr>
        <w:t>设置的年度发展规划总体目标为：</w:t>
      </w:r>
    </w:p>
    <w:p w14:paraId="1AD18B61">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bookmarkStart w:id="9" w:name="_Toc1678"/>
      <w:bookmarkStart w:id="10" w:name="_Toc465149500"/>
      <w:bookmarkStart w:id="11" w:name="_Toc492652766"/>
      <w:r>
        <w:rPr>
          <w:rFonts w:hint="eastAsia" w:ascii="仿宋" w:hAnsi="仿宋" w:eastAsia="仿宋"/>
          <w:color w:val="auto"/>
          <w:sz w:val="32"/>
          <w:szCs w:val="32"/>
          <w:highlight w:val="none"/>
        </w:rPr>
        <w:t>紧紧围绕乡党委、政府的重要部署</w:t>
      </w:r>
      <w:r>
        <w:rPr>
          <w:rFonts w:ascii="仿宋" w:hAnsi="仿宋" w:eastAsia="仿宋"/>
          <w:color w:val="auto"/>
          <w:sz w:val="32"/>
          <w:szCs w:val="32"/>
          <w:highlight w:val="none"/>
        </w:rPr>
        <w:t>,</w:t>
      </w:r>
      <w:r>
        <w:rPr>
          <w:rFonts w:hint="eastAsia" w:ascii="仿宋" w:hAnsi="仿宋" w:eastAsia="仿宋"/>
          <w:color w:val="auto"/>
          <w:sz w:val="32"/>
          <w:szCs w:val="32"/>
          <w:highlight w:val="none"/>
        </w:rPr>
        <w:t>以习近平新时代中国特色社会主义思想为指导，深入贯彻落实</w:t>
      </w:r>
      <w:r>
        <w:rPr>
          <w:rFonts w:hint="eastAsia" w:ascii="仿宋" w:hAnsi="仿宋" w:eastAsia="仿宋"/>
          <w:color w:val="auto"/>
          <w:sz w:val="32"/>
          <w:szCs w:val="32"/>
          <w:highlight w:val="none"/>
          <w:lang w:eastAsia="zh-CN"/>
        </w:rPr>
        <w:t>党的</w:t>
      </w:r>
      <w:bookmarkStart w:id="80" w:name="_GoBack"/>
      <w:bookmarkEnd w:id="80"/>
      <w:r>
        <w:rPr>
          <w:rFonts w:hint="eastAsia" w:ascii="仿宋" w:hAnsi="仿宋" w:eastAsia="仿宋"/>
          <w:color w:val="auto"/>
          <w:sz w:val="32"/>
          <w:szCs w:val="32"/>
          <w:highlight w:val="none"/>
          <w:lang w:eastAsia="zh-CN"/>
        </w:rPr>
        <w:t>十九大精神</w:t>
      </w:r>
      <w:r>
        <w:rPr>
          <w:rFonts w:hint="eastAsia" w:ascii="仿宋" w:hAnsi="仿宋" w:eastAsia="仿宋"/>
          <w:color w:val="auto"/>
          <w:sz w:val="32"/>
          <w:szCs w:val="32"/>
          <w:highlight w:val="none"/>
        </w:rPr>
        <w:t>，加大党建示范区建设和后进支部整顿工作；依照山区绿化实施方案要求引导我乡群众大力发展林果业；加大生态示范园区建设和荒山综合治理，打造绿色生态屏障；加大基础设施建设投入，完善节水灌溉配套设施和机井电力配套，改善群众生产生活条件以及植被灌溉条件；完善维稳网络，打造和谐稳定的社会环境；统筹安排，认真完成各项民生工作使环境进一步优化</w:t>
      </w:r>
      <w:r>
        <w:rPr>
          <w:rFonts w:ascii="仿宋" w:hAnsi="仿宋" w:eastAsia="仿宋"/>
          <w:color w:val="auto"/>
          <w:sz w:val="32"/>
          <w:szCs w:val="32"/>
          <w:highlight w:val="none"/>
        </w:rPr>
        <w:t>,</w:t>
      </w:r>
      <w:r>
        <w:rPr>
          <w:rFonts w:hint="eastAsia" w:ascii="仿宋" w:hAnsi="仿宋" w:eastAsia="仿宋"/>
          <w:color w:val="auto"/>
          <w:sz w:val="32"/>
          <w:szCs w:val="32"/>
          <w:highlight w:val="none"/>
        </w:rPr>
        <w:t>全面推动全乡各项事业快速发展。</w:t>
      </w:r>
    </w:p>
    <w:p w14:paraId="2104B94C">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ascii="仿宋" w:hAnsi="仿宋" w:eastAsia="仿宋" w:cs="DengXian-Regular"/>
          <w:color w:val="auto"/>
          <w:sz w:val="32"/>
          <w:szCs w:val="32"/>
          <w:highlight w:val="none"/>
        </w:rPr>
      </w:pPr>
      <w:r>
        <w:rPr>
          <w:rFonts w:hint="eastAsia" w:ascii="仿宋" w:hAnsi="仿宋" w:eastAsia="仿宋" w:cs="DengXian-Regular"/>
          <w:color w:val="auto"/>
          <w:sz w:val="32"/>
          <w:szCs w:val="32"/>
          <w:highlight w:val="none"/>
        </w:rPr>
        <w:t>职责分类绩效目标为：</w:t>
      </w:r>
    </w:p>
    <w:p w14:paraId="1D98CBD8">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政法综治稳定和国家安全</w:t>
      </w:r>
    </w:p>
    <w:p w14:paraId="4F5296E8">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hint="eastAsia" w:ascii="仿宋" w:hAnsi="仿宋" w:eastAsia="仿宋"/>
          <w:color w:val="auto"/>
          <w:sz w:val="32"/>
          <w:szCs w:val="32"/>
          <w:highlight w:val="none"/>
        </w:rPr>
        <w:t>协调社会稳定和国家安全。一是安全生产经费。用于安全生产检查、巡查、保护社会稳定，杜绝不法生产、采矿。预防、减少不稳定因素的发生，有效化解不稳定隐患、群体事件和突发事件，维护社会安全工作。认真做好群众来信来访工作，维护群众利益诉求。完善矛盾纠纷排查机制，把矛盾化解在基层、化解在萌芽状态。争取矛盾纠纷排查率达</w:t>
      </w:r>
      <w:r>
        <w:rPr>
          <w:rFonts w:ascii="仿宋" w:hAnsi="仿宋" w:eastAsia="仿宋"/>
          <w:color w:val="auto"/>
          <w:sz w:val="32"/>
          <w:szCs w:val="32"/>
          <w:highlight w:val="none"/>
        </w:rPr>
        <w:t>100%</w:t>
      </w:r>
      <w:r>
        <w:rPr>
          <w:rFonts w:hint="eastAsia" w:ascii="仿宋" w:hAnsi="仿宋" w:eastAsia="仿宋"/>
          <w:color w:val="auto"/>
          <w:sz w:val="32"/>
          <w:szCs w:val="32"/>
          <w:highlight w:val="none"/>
        </w:rPr>
        <w:t>，给全乡百姓创造一个和谐稳定的社会环境。</w:t>
      </w:r>
    </w:p>
    <w:p w14:paraId="09533925">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社会管理与服务</w:t>
      </w:r>
    </w:p>
    <w:p w14:paraId="3D74B64F">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hint="eastAsia" w:ascii="仿宋" w:hAnsi="仿宋" w:eastAsia="仿宋"/>
          <w:color w:val="auto"/>
          <w:sz w:val="32"/>
          <w:szCs w:val="32"/>
          <w:highlight w:val="none"/>
        </w:rPr>
        <w:t>基层政权和社区建设。维持村级组织正常运转，指导村（居）民民主决策、民主管理和民主监督，村务公开；保证新农合、土地确权等用工、指导村级建设及服务管理工作，达到村民满意度</w:t>
      </w:r>
      <w:r>
        <w:rPr>
          <w:rFonts w:ascii="仿宋" w:hAnsi="仿宋" w:eastAsia="仿宋"/>
          <w:color w:val="auto"/>
          <w:sz w:val="32"/>
          <w:szCs w:val="32"/>
          <w:highlight w:val="none"/>
        </w:rPr>
        <w:t>98%</w:t>
      </w:r>
      <w:r>
        <w:rPr>
          <w:rFonts w:hint="eastAsia" w:ascii="仿宋" w:hAnsi="仿宋" w:eastAsia="仿宋"/>
          <w:color w:val="auto"/>
          <w:sz w:val="32"/>
          <w:szCs w:val="32"/>
          <w:highlight w:val="none"/>
        </w:rPr>
        <w:t>以上。</w:t>
      </w:r>
    </w:p>
    <w:p w14:paraId="113F0C66">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水利科技支撑和公共服务</w:t>
      </w:r>
    </w:p>
    <w:p w14:paraId="0FCECFBE">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hint="eastAsia" w:ascii="仿宋" w:hAnsi="仿宋" w:eastAsia="仿宋"/>
          <w:color w:val="auto"/>
          <w:sz w:val="32"/>
          <w:szCs w:val="32"/>
          <w:highlight w:val="none"/>
        </w:rPr>
        <w:t>防汛抗旱。维护、清理和修建防汛设施，确保群众的安全、有效做好排水和疏导。发挥防汛减灾体系作用，最大限度减少水灾造成的人员伤亡和财产损失，争取旱涝带来的财产损失数量同期下降</w:t>
      </w:r>
      <w:r>
        <w:rPr>
          <w:rFonts w:ascii="仿宋" w:hAnsi="仿宋" w:eastAsia="仿宋"/>
          <w:color w:val="auto"/>
          <w:sz w:val="32"/>
          <w:szCs w:val="32"/>
          <w:highlight w:val="none"/>
        </w:rPr>
        <w:t>85%</w:t>
      </w:r>
      <w:r>
        <w:rPr>
          <w:rFonts w:hint="eastAsia" w:ascii="仿宋" w:hAnsi="仿宋" w:eastAsia="仿宋"/>
          <w:color w:val="auto"/>
          <w:sz w:val="32"/>
          <w:szCs w:val="32"/>
          <w:highlight w:val="none"/>
        </w:rPr>
        <w:t>。</w:t>
      </w:r>
    </w:p>
    <w:p w14:paraId="15D10347">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政务管理</w:t>
      </w:r>
    </w:p>
    <w:p w14:paraId="52BB0AAB">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hint="eastAsia" w:ascii="仿宋" w:hAnsi="仿宋" w:eastAsia="仿宋"/>
          <w:color w:val="auto"/>
          <w:sz w:val="32"/>
          <w:szCs w:val="32"/>
          <w:highlight w:val="none"/>
        </w:rPr>
        <w:t>综合事物管理。搞好服务保障，为广大干部职工提供安全、快捷、细致、周到的工作环境；加强财务管理，确保扶贫资金等安全，提高财政资金使用效益；提升党建创建水平，更好的发挥党的引领示范作用，做好为民服务的全程代办工作，落实我乡党风廉政建设监督责任，加强调查研究，帮助解决实际困难和问题，推动党风廉政建设监督责任落实。</w:t>
      </w:r>
    </w:p>
    <w:p w14:paraId="47E1F2BA">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环境污染综合防治</w:t>
      </w:r>
    </w:p>
    <w:p w14:paraId="03016855">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hint="eastAsia" w:ascii="仿宋" w:hAnsi="仿宋" w:eastAsia="仿宋"/>
          <w:color w:val="auto"/>
          <w:sz w:val="32"/>
          <w:szCs w:val="32"/>
          <w:highlight w:val="none"/>
        </w:rPr>
        <w:t>大气污染防治。乡村两级做好禁烧及秸秆清运工作，禁烧处理及时率达</w:t>
      </w:r>
      <w:r>
        <w:rPr>
          <w:rFonts w:ascii="仿宋" w:hAnsi="仿宋" w:eastAsia="仿宋"/>
          <w:color w:val="auto"/>
          <w:sz w:val="32"/>
          <w:szCs w:val="32"/>
          <w:highlight w:val="none"/>
        </w:rPr>
        <w:t>100%</w:t>
      </w:r>
      <w:r>
        <w:rPr>
          <w:rFonts w:hint="eastAsia" w:ascii="仿宋" w:hAnsi="仿宋" w:eastAsia="仿宋"/>
          <w:color w:val="auto"/>
          <w:sz w:val="32"/>
          <w:szCs w:val="32"/>
          <w:highlight w:val="none"/>
        </w:rPr>
        <w:t>，加强大气污染防治，推动乡村环境空气质量改善。</w:t>
      </w:r>
    </w:p>
    <w:p w14:paraId="0BE0E02C">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交通运输基础设施养护、维护</w:t>
      </w:r>
    </w:p>
    <w:p w14:paraId="3EB91842">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hint="eastAsia" w:ascii="仿宋" w:hAnsi="仿宋" w:eastAsia="仿宋"/>
          <w:color w:val="auto"/>
          <w:sz w:val="32"/>
          <w:szCs w:val="32"/>
          <w:highlight w:val="none"/>
        </w:rPr>
        <w:t>公路、水运工程养护监督和管理。完成农村水毁道路，治理道路隐患；加强机关事务性管理，按时完成工作。</w:t>
      </w:r>
    </w:p>
    <w:p w14:paraId="60E6EA8F">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ascii="仿宋" w:hAnsi="仿宋" w:eastAsia="仿宋"/>
          <w:color w:val="auto"/>
          <w:sz w:val="32"/>
          <w:szCs w:val="32"/>
          <w:highlight w:val="none"/>
        </w:rPr>
        <w:t>7.</w:t>
      </w:r>
      <w:r>
        <w:rPr>
          <w:rFonts w:hint="eastAsia" w:ascii="仿宋" w:hAnsi="仿宋" w:eastAsia="仿宋"/>
          <w:color w:val="auto"/>
          <w:sz w:val="32"/>
          <w:szCs w:val="32"/>
          <w:highlight w:val="none"/>
        </w:rPr>
        <w:t>农村文化建设</w:t>
      </w:r>
    </w:p>
    <w:p w14:paraId="124E9E44">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hint="eastAsia" w:ascii="仿宋" w:hAnsi="仿宋" w:eastAsia="仿宋"/>
          <w:color w:val="auto"/>
          <w:sz w:val="32"/>
          <w:szCs w:val="32"/>
          <w:highlight w:val="none"/>
        </w:rPr>
        <w:t>公共服务工程推广。协助完成国家下达的农家书屋建设、群众文化体育活动、全民阅读活动等任务目标。力求组织农村文化活动全年最少举行</w:t>
      </w:r>
      <w:r>
        <w:rPr>
          <w:rFonts w:ascii="仿宋" w:hAnsi="仿宋" w:eastAsia="仿宋"/>
          <w:color w:val="auto"/>
          <w:sz w:val="32"/>
          <w:szCs w:val="32"/>
          <w:highlight w:val="none"/>
        </w:rPr>
        <w:t>4</w:t>
      </w:r>
      <w:r>
        <w:rPr>
          <w:rFonts w:hint="eastAsia" w:ascii="仿宋" w:hAnsi="仿宋" w:eastAsia="仿宋"/>
          <w:color w:val="auto"/>
          <w:sz w:val="32"/>
          <w:szCs w:val="32"/>
          <w:highlight w:val="none"/>
        </w:rPr>
        <w:t>次。</w:t>
      </w:r>
    </w:p>
    <w:p w14:paraId="6C102584">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ascii="仿宋" w:hAnsi="仿宋" w:eastAsia="仿宋"/>
          <w:color w:val="auto"/>
          <w:sz w:val="32"/>
          <w:szCs w:val="32"/>
          <w:highlight w:val="none"/>
        </w:rPr>
        <w:t>8.</w:t>
      </w:r>
      <w:r>
        <w:rPr>
          <w:rFonts w:hint="eastAsia" w:ascii="仿宋" w:hAnsi="仿宋" w:eastAsia="仿宋"/>
          <w:color w:val="auto"/>
          <w:sz w:val="32"/>
          <w:szCs w:val="32"/>
          <w:highlight w:val="none"/>
        </w:rPr>
        <w:t>安全生产综合监督管理</w:t>
      </w:r>
    </w:p>
    <w:p w14:paraId="5BC43164">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hint="eastAsia" w:ascii="仿宋" w:hAnsi="仿宋" w:eastAsia="仿宋"/>
          <w:color w:val="auto"/>
          <w:sz w:val="32"/>
          <w:szCs w:val="32"/>
          <w:highlight w:val="none"/>
        </w:rPr>
        <w:t>加强安全生产综合监督管理。定期组织在全乡内开展安全生产检查活动，对重点行业和作业场所职业卫生安全生产进行检查；不断加强安全生产监管能力建设；组织开展安全生产教育活动，促进企业全面落实安全生产诚信管理。</w:t>
      </w:r>
    </w:p>
    <w:p w14:paraId="34C7BD84">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ascii="仿宋" w:hAnsi="仿宋" w:eastAsia="仿宋"/>
          <w:color w:val="auto"/>
          <w:sz w:val="32"/>
          <w:szCs w:val="32"/>
          <w:highlight w:val="none"/>
        </w:rPr>
        <w:t>9.</w:t>
      </w:r>
      <w:r>
        <w:rPr>
          <w:rFonts w:hint="eastAsia" w:ascii="仿宋" w:hAnsi="仿宋" w:eastAsia="仿宋"/>
          <w:color w:val="auto"/>
          <w:sz w:val="32"/>
          <w:szCs w:val="32"/>
          <w:highlight w:val="none"/>
        </w:rPr>
        <w:t>防灾减灾救灾</w:t>
      </w:r>
    </w:p>
    <w:p w14:paraId="2D5D4D6D">
      <w:pPr>
        <w:keepNext w:val="0"/>
        <w:keepLines w:val="0"/>
        <w:pageBreakBefore w:val="0"/>
        <w:widowControl/>
        <w:kinsoku/>
        <w:wordWrap/>
        <w:overflowPunct/>
        <w:topLinePunct w:val="0"/>
        <w:autoSpaceDE/>
        <w:autoSpaceDN/>
        <w:bidi w:val="0"/>
        <w:adjustRightInd w:val="0"/>
        <w:snapToGrid w:val="0"/>
        <w:spacing w:after="0" w:line="360" w:lineRule="auto"/>
        <w:ind w:firstLine="560"/>
        <w:rPr>
          <w:rFonts w:ascii="仿宋" w:hAnsi="仿宋" w:eastAsia="仿宋"/>
          <w:color w:val="auto"/>
          <w:sz w:val="32"/>
          <w:szCs w:val="32"/>
          <w:highlight w:val="none"/>
        </w:rPr>
      </w:pPr>
      <w:r>
        <w:rPr>
          <w:rFonts w:hint="eastAsia" w:ascii="仿宋" w:hAnsi="仿宋" w:eastAsia="仿宋"/>
          <w:color w:val="auto"/>
          <w:sz w:val="32"/>
          <w:szCs w:val="32"/>
          <w:highlight w:val="none"/>
        </w:rPr>
        <w:t>防灾减灾及救灾准备。组织乡级防灾减灾及救灾活动；提高专业队伍业务素质。防震减灾宣传工作完成率力求达到</w:t>
      </w:r>
      <w:r>
        <w:rPr>
          <w:rFonts w:ascii="仿宋" w:hAnsi="仿宋" w:eastAsia="仿宋"/>
          <w:color w:val="auto"/>
          <w:sz w:val="32"/>
          <w:szCs w:val="32"/>
          <w:highlight w:val="none"/>
        </w:rPr>
        <w:t>9</w:t>
      </w:r>
      <w:r>
        <w:rPr>
          <w:rFonts w:hint="eastAsia" w:ascii="仿宋" w:hAnsi="仿宋" w:eastAsia="仿宋"/>
          <w:color w:val="auto"/>
          <w:sz w:val="32"/>
          <w:szCs w:val="32"/>
          <w:highlight w:val="none"/>
          <w:lang w:val="en-US" w:eastAsia="zh-CN"/>
        </w:rPr>
        <w:t>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BE303C6">
      <w:pPr>
        <w:pageBreakBefore w:val="0"/>
        <w:kinsoku/>
        <w:wordWrap/>
        <w:overflowPunct/>
        <w:topLinePunct w:val="0"/>
        <w:autoSpaceDE/>
        <w:autoSpaceDN/>
        <w:bidi w:val="0"/>
        <w:spacing w:after="0" w:line="360" w:lineRule="auto"/>
        <w:ind w:firstLine="643" w:firstLineChars="200"/>
        <w:jc w:val="both"/>
        <w:textAlignment w:val="baseline"/>
        <w:rPr>
          <w:rFonts w:ascii="仿宋_GB2312" w:eastAsia="仿宋_GB2312" w:cs="DengXian-Regular"/>
          <w:b/>
          <w:bCs/>
          <w:color w:val="auto"/>
          <w:sz w:val="32"/>
          <w:szCs w:val="32"/>
          <w:highlight w:val="none"/>
        </w:rPr>
      </w:pPr>
      <w:r>
        <w:rPr>
          <w:rFonts w:hint="eastAsia" w:ascii="仿宋_GB2312" w:eastAsia="仿宋_GB2312" w:cs="DengXian-Regular"/>
          <w:b/>
          <w:bCs/>
          <w:color w:val="auto"/>
          <w:sz w:val="32"/>
          <w:szCs w:val="32"/>
          <w:highlight w:val="none"/>
        </w:rPr>
        <w:t>（三）部门预算收入及决算收入</w:t>
      </w:r>
      <w:bookmarkEnd w:id="9"/>
    </w:p>
    <w:p w14:paraId="7B6ACB32">
      <w:pPr>
        <w:pageBreakBefore w:val="0"/>
        <w:kinsoku/>
        <w:wordWrap/>
        <w:overflowPunct/>
        <w:topLinePunct w:val="0"/>
        <w:autoSpaceDE/>
        <w:autoSpaceDN/>
        <w:bidi w:val="0"/>
        <w:spacing w:after="0" w:line="360" w:lineRule="auto"/>
        <w:ind w:firstLine="640" w:firstLineChars="200"/>
        <w:jc w:val="both"/>
        <w:textAlignment w:val="baseline"/>
        <w:rPr>
          <w:rFonts w:hint="eastAsia" w:ascii="仿宋" w:hAnsi="仿宋" w:eastAsia="仿宋" w:cs="DengXian-Regular"/>
          <w:color w:val="auto"/>
          <w:sz w:val="32"/>
          <w:szCs w:val="32"/>
          <w:highlight w:val="none"/>
        </w:rPr>
      </w:pP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预算收入</w:t>
      </w:r>
      <w:r>
        <w:rPr>
          <w:rFonts w:hint="eastAsia" w:ascii="仿宋_GB2312" w:eastAsia="仿宋_GB2312" w:cs="DengXian-Regular"/>
          <w:color w:val="auto"/>
          <w:sz w:val="32"/>
          <w:szCs w:val="32"/>
          <w:highlight w:val="none"/>
          <w:lang w:val="en-US" w:eastAsia="zh-CN"/>
        </w:rPr>
        <w:t>1666.64</w:t>
      </w:r>
      <w:r>
        <w:rPr>
          <w:rFonts w:hint="eastAsia" w:ascii="仿宋_GB2312" w:eastAsia="仿宋_GB2312" w:cs="DengXian-Regular"/>
          <w:color w:val="auto"/>
          <w:sz w:val="32"/>
          <w:szCs w:val="32"/>
          <w:highlight w:val="none"/>
        </w:rPr>
        <w:t>万元，均为一般公共预算拨款，其中：财政拨款</w:t>
      </w:r>
      <w:r>
        <w:rPr>
          <w:rFonts w:hint="eastAsia" w:ascii="仿宋_GB2312" w:eastAsia="仿宋_GB2312" w:cs="DengXian-Regular"/>
          <w:color w:val="auto"/>
          <w:sz w:val="32"/>
          <w:szCs w:val="32"/>
          <w:highlight w:val="none"/>
          <w:lang w:val="en-US" w:eastAsia="zh-CN"/>
        </w:rPr>
        <w:t>1666.64</w:t>
      </w:r>
      <w:r>
        <w:rPr>
          <w:rFonts w:hint="eastAsia" w:ascii="仿宋_GB2312" w:eastAsia="仿宋_GB2312" w:cs="DengXian-Regular"/>
          <w:color w:val="auto"/>
          <w:sz w:val="32"/>
          <w:szCs w:val="32"/>
          <w:highlight w:val="none"/>
        </w:rPr>
        <w:t>万元，中央财政提前通知转移支付</w:t>
      </w:r>
      <w:r>
        <w:rPr>
          <w:rFonts w:hint="eastAsia" w:ascii="仿宋_GB2312" w:eastAsia="仿宋_GB2312" w:cs="DengXian-Regular"/>
          <w:color w:val="auto"/>
          <w:sz w:val="32"/>
          <w:szCs w:val="32"/>
          <w:highlight w:val="none"/>
          <w:lang w:val="en-US" w:eastAsia="zh-CN"/>
        </w:rPr>
        <w:t>0</w:t>
      </w:r>
      <w:r>
        <w:rPr>
          <w:rFonts w:hint="eastAsia" w:ascii="仿宋_GB2312" w:eastAsia="仿宋_GB2312" w:cs="DengXian-Regular"/>
          <w:color w:val="auto"/>
          <w:sz w:val="32"/>
          <w:szCs w:val="32"/>
          <w:highlight w:val="none"/>
        </w:rPr>
        <w:t>万元。预算收入按功能分类包含：</w:t>
      </w:r>
      <w:r>
        <w:rPr>
          <w:rFonts w:hint="eastAsia" w:ascii="仿宋_GB2312" w:eastAsia="仿宋_GB2312" w:cs="DengXian-Regular"/>
          <w:color w:val="auto"/>
          <w:sz w:val="32"/>
          <w:szCs w:val="32"/>
          <w:highlight w:val="none"/>
          <w:lang w:eastAsia="zh-CN"/>
        </w:rPr>
        <w:t>一般公共服务支出</w:t>
      </w:r>
      <w:r>
        <w:rPr>
          <w:rFonts w:hint="eastAsia" w:ascii="仿宋_GB2312" w:eastAsia="仿宋_GB2312" w:cs="DengXian-Regular"/>
          <w:color w:val="auto"/>
          <w:sz w:val="32"/>
          <w:szCs w:val="32"/>
          <w:highlight w:val="none"/>
          <w:lang w:val="en-US" w:eastAsia="zh-CN"/>
        </w:rPr>
        <w:t>1126.37万元</w:t>
      </w:r>
      <w:r>
        <w:rPr>
          <w:rFonts w:hint="eastAsia" w:ascii="仿宋_GB2312" w:eastAsia="仿宋_GB2312" w:cs="DengXian-Regular"/>
          <w:color w:val="auto"/>
          <w:sz w:val="32"/>
          <w:szCs w:val="32"/>
          <w:highlight w:val="none"/>
          <w:lang w:eastAsia="zh-CN"/>
        </w:rPr>
        <w:t>，公共安全支出</w:t>
      </w:r>
      <w:r>
        <w:rPr>
          <w:rFonts w:hint="eastAsia" w:ascii="仿宋_GB2312" w:eastAsia="仿宋_GB2312" w:cs="DengXian-Regular"/>
          <w:color w:val="auto"/>
          <w:sz w:val="32"/>
          <w:szCs w:val="32"/>
          <w:highlight w:val="none"/>
          <w:lang w:val="en-US" w:eastAsia="zh-CN"/>
        </w:rPr>
        <w:t>8.55万元</w:t>
      </w:r>
      <w:r>
        <w:rPr>
          <w:rFonts w:hint="eastAsia" w:ascii="仿宋" w:hAnsi="仿宋" w:eastAsia="仿宋" w:cs="DengXian-Regular"/>
          <w:color w:val="auto"/>
          <w:sz w:val="32"/>
          <w:szCs w:val="32"/>
          <w:highlight w:val="none"/>
        </w:rPr>
        <w:t>，文化旅游体育与传媒支出</w:t>
      </w:r>
      <w:r>
        <w:rPr>
          <w:rFonts w:hint="eastAsia" w:ascii="仿宋" w:hAnsi="仿宋" w:eastAsia="仿宋" w:cs="DengXian-Regular"/>
          <w:color w:val="auto"/>
          <w:sz w:val="32"/>
          <w:szCs w:val="32"/>
          <w:highlight w:val="none"/>
          <w:lang w:val="en-US" w:eastAsia="zh-CN"/>
        </w:rPr>
        <w:t>1.5</w:t>
      </w:r>
      <w:r>
        <w:rPr>
          <w:rFonts w:hint="eastAsia" w:ascii="仿宋" w:hAnsi="仿宋" w:eastAsia="仿宋" w:cs="DengXian-Regular"/>
          <w:color w:val="auto"/>
          <w:sz w:val="32"/>
          <w:szCs w:val="32"/>
          <w:highlight w:val="none"/>
        </w:rPr>
        <w:t>万元，社会保障和就业支出</w:t>
      </w:r>
      <w:r>
        <w:rPr>
          <w:rFonts w:hint="eastAsia" w:ascii="仿宋" w:hAnsi="仿宋" w:eastAsia="仿宋" w:cs="DengXian-Regular"/>
          <w:color w:val="auto"/>
          <w:sz w:val="32"/>
          <w:szCs w:val="32"/>
          <w:highlight w:val="none"/>
          <w:lang w:val="en-US" w:eastAsia="zh-CN"/>
        </w:rPr>
        <w:t>171.41</w:t>
      </w:r>
      <w:r>
        <w:rPr>
          <w:rFonts w:hint="eastAsia" w:ascii="仿宋" w:hAnsi="仿宋" w:eastAsia="仿宋" w:cs="DengXian-Regular"/>
          <w:color w:val="auto"/>
          <w:sz w:val="32"/>
          <w:szCs w:val="32"/>
          <w:highlight w:val="none"/>
        </w:rPr>
        <w:t>万元，卫生健康支出</w:t>
      </w:r>
      <w:r>
        <w:rPr>
          <w:rFonts w:hint="eastAsia" w:ascii="仿宋" w:hAnsi="仿宋" w:eastAsia="仿宋" w:cs="DengXian-Regular"/>
          <w:color w:val="auto"/>
          <w:sz w:val="32"/>
          <w:szCs w:val="32"/>
          <w:highlight w:val="none"/>
          <w:lang w:val="en-US" w:eastAsia="zh-CN"/>
        </w:rPr>
        <w:t>45.73</w:t>
      </w:r>
      <w:r>
        <w:rPr>
          <w:rFonts w:hint="eastAsia" w:ascii="仿宋" w:hAnsi="仿宋" w:eastAsia="仿宋" w:cs="DengXian-Regular"/>
          <w:color w:val="auto"/>
          <w:sz w:val="32"/>
          <w:szCs w:val="32"/>
          <w:highlight w:val="none"/>
        </w:rPr>
        <w:t>万元，节能环保支出</w:t>
      </w:r>
      <w:r>
        <w:rPr>
          <w:rFonts w:hint="eastAsia" w:ascii="仿宋" w:hAnsi="仿宋" w:eastAsia="仿宋" w:cs="DengXian-Regular"/>
          <w:color w:val="auto"/>
          <w:sz w:val="32"/>
          <w:szCs w:val="32"/>
          <w:highlight w:val="none"/>
          <w:lang w:val="en-US" w:eastAsia="zh-CN"/>
        </w:rPr>
        <w:t>4</w:t>
      </w:r>
      <w:r>
        <w:rPr>
          <w:rFonts w:hint="eastAsia" w:ascii="仿宋" w:hAnsi="仿宋" w:eastAsia="仿宋" w:cs="DengXian-Regular"/>
          <w:color w:val="auto"/>
          <w:sz w:val="32"/>
          <w:szCs w:val="32"/>
          <w:highlight w:val="none"/>
        </w:rPr>
        <w:t>万元，农林水支出</w:t>
      </w:r>
      <w:r>
        <w:rPr>
          <w:rFonts w:hint="eastAsia" w:ascii="仿宋" w:hAnsi="仿宋" w:eastAsia="仿宋" w:cs="DengXian-Regular"/>
          <w:color w:val="auto"/>
          <w:sz w:val="32"/>
          <w:szCs w:val="32"/>
          <w:highlight w:val="none"/>
          <w:lang w:val="en-US" w:eastAsia="zh-CN"/>
        </w:rPr>
        <w:t>229.44</w:t>
      </w:r>
      <w:r>
        <w:rPr>
          <w:rFonts w:hint="eastAsia" w:ascii="仿宋" w:hAnsi="仿宋" w:eastAsia="仿宋" w:cs="DengXian-Regular"/>
          <w:color w:val="auto"/>
          <w:sz w:val="32"/>
          <w:szCs w:val="32"/>
          <w:highlight w:val="none"/>
        </w:rPr>
        <w:t>万元，交通运输支出</w:t>
      </w:r>
      <w:r>
        <w:rPr>
          <w:rFonts w:ascii="仿宋" w:hAnsi="仿宋" w:eastAsia="仿宋" w:cs="DengXian-Regular"/>
          <w:color w:val="auto"/>
          <w:sz w:val="32"/>
          <w:szCs w:val="32"/>
          <w:highlight w:val="none"/>
        </w:rPr>
        <w:t>12.42</w:t>
      </w:r>
      <w:r>
        <w:rPr>
          <w:rFonts w:hint="eastAsia" w:ascii="仿宋" w:hAnsi="仿宋" w:eastAsia="仿宋" w:cs="DengXian-Regular"/>
          <w:color w:val="auto"/>
          <w:sz w:val="32"/>
          <w:szCs w:val="32"/>
          <w:highlight w:val="none"/>
        </w:rPr>
        <w:t>万元，住房保障支出</w:t>
      </w:r>
      <w:r>
        <w:rPr>
          <w:rFonts w:ascii="仿宋" w:hAnsi="仿宋" w:eastAsia="仿宋" w:cs="DengXian-Regular"/>
          <w:color w:val="auto"/>
          <w:sz w:val="32"/>
          <w:szCs w:val="32"/>
          <w:highlight w:val="none"/>
        </w:rPr>
        <w:t>6</w:t>
      </w:r>
      <w:r>
        <w:rPr>
          <w:rFonts w:hint="eastAsia" w:ascii="仿宋" w:hAnsi="仿宋" w:eastAsia="仿宋" w:cs="DengXian-Regular"/>
          <w:color w:val="auto"/>
          <w:sz w:val="32"/>
          <w:szCs w:val="32"/>
          <w:highlight w:val="none"/>
          <w:lang w:val="en-US" w:eastAsia="zh-CN"/>
        </w:rPr>
        <w:t>5.14</w:t>
      </w:r>
      <w:r>
        <w:rPr>
          <w:rFonts w:hint="eastAsia" w:ascii="仿宋" w:hAnsi="仿宋" w:eastAsia="仿宋" w:cs="DengXian-Regular"/>
          <w:color w:val="auto"/>
          <w:sz w:val="32"/>
          <w:szCs w:val="32"/>
          <w:highlight w:val="none"/>
        </w:rPr>
        <w:t>万元，灾害防治及应急管理支出</w:t>
      </w:r>
      <w:r>
        <w:rPr>
          <w:rFonts w:ascii="仿宋" w:hAnsi="仿宋" w:eastAsia="仿宋" w:cs="DengXian-Regular"/>
          <w:color w:val="auto"/>
          <w:sz w:val="32"/>
          <w:szCs w:val="32"/>
          <w:highlight w:val="none"/>
        </w:rPr>
        <w:t>2.0</w:t>
      </w:r>
      <w:r>
        <w:rPr>
          <w:rFonts w:hint="eastAsia" w:ascii="仿宋" w:hAnsi="仿宋" w:eastAsia="仿宋" w:cs="DengXian-Regular"/>
          <w:color w:val="auto"/>
          <w:sz w:val="32"/>
          <w:szCs w:val="32"/>
          <w:highlight w:val="none"/>
          <w:lang w:val="en-US" w:eastAsia="zh-CN"/>
        </w:rPr>
        <w:t>8</w:t>
      </w:r>
      <w:r>
        <w:rPr>
          <w:rFonts w:hint="eastAsia" w:ascii="仿宋" w:hAnsi="仿宋" w:eastAsia="仿宋" w:cs="DengXian-Regular"/>
          <w:color w:val="auto"/>
          <w:sz w:val="32"/>
          <w:szCs w:val="32"/>
          <w:highlight w:val="none"/>
        </w:rPr>
        <w:t>万元。具体预算收入详见附件</w:t>
      </w:r>
      <w:r>
        <w:rPr>
          <w:rFonts w:ascii="仿宋" w:hAnsi="仿宋" w:eastAsia="仿宋" w:cs="DengXian-Regular"/>
          <w:color w:val="auto"/>
          <w:sz w:val="32"/>
          <w:szCs w:val="32"/>
          <w:highlight w:val="none"/>
        </w:rPr>
        <w:t>2</w:t>
      </w:r>
      <w:r>
        <w:rPr>
          <w:rFonts w:hint="eastAsia" w:ascii="仿宋" w:hAnsi="仿宋" w:eastAsia="仿宋" w:cs="DengXian-Regular"/>
          <w:color w:val="auto"/>
          <w:sz w:val="32"/>
          <w:szCs w:val="32"/>
          <w:highlight w:val="none"/>
        </w:rPr>
        <w:t>。</w:t>
      </w:r>
    </w:p>
    <w:p w14:paraId="38EDCED3">
      <w:pPr>
        <w:pageBreakBefore w:val="0"/>
        <w:kinsoku/>
        <w:wordWrap/>
        <w:overflowPunct/>
        <w:topLinePunct w:val="0"/>
        <w:autoSpaceDE/>
        <w:autoSpaceDN/>
        <w:bidi w:val="0"/>
        <w:spacing w:after="0" w:line="360" w:lineRule="auto"/>
        <w:ind w:firstLine="640" w:firstLineChars="200"/>
        <w:jc w:val="both"/>
        <w:textAlignment w:val="baseline"/>
        <w:rPr>
          <w:rFonts w:ascii="??_GB2312" w:eastAsia="Times New Roman" w:cs="DengXian-Regular"/>
          <w:color w:val="auto"/>
          <w:sz w:val="32"/>
          <w:szCs w:val="32"/>
          <w:highlight w:val="none"/>
        </w:rPr>
      </w:pPr>
      <w:r>
        <w:rPr>
          <w:rFonts w:ascii="仿宋" w:hAnsi="仿宋" w:eastAsia="仿宋" w:cs="DengXian-Regular"/>
          <w:color w:val="auto"/>
          <w:sz w:val="32"/>
          <w:szCs w:val="32"/>
          <w:highlight w:val="none"/>
        </w:rPr>
        <w:t>202</w:t>
      </w:r>
      <w:r>
        <w:rPr>
          <w:rFonts w:hint="eastAsia" w:ascii="仿宋" w:hAnsi="仿宋" w:eastAsia="仿宋" w:cs="DengXian-Regular"/>
          <w:color w:val="auto"/>
          <w:sz w:val="32"/>
          <w:szCs w:val="32"/>
          <w:highlight w:val="none"/>
          <w:lang w:val="en-US" w:eastAsia="zh-CN"/>
        </w:rPr>
        <w:t>1</w:t>
      </w:r>
      <w:r>
        <w:rPr>
          <w:rFonts w:hint="eastAsia" w:ascii="仿宋" w:hAnsi="仿宋" w:eastAsia="仿宋" w:cs="DengXian-Regular"/>
          <w:color w:val="auto"/>
          <w:sz w:val="32"/>
          <w:szCs w:val="32"/>
          <w:highlight w:val="none"/>
        </w:rPr>
        <w:t>年徐水区漕河镇人民政府决算收入</w:t>
      </w:r>
      <w:r>
        <w:rPr>
          <w:rFonts w:hint="eastAsia" w:ascii="仿宋" w:hAnsi="仿宋" w:eastAsia="仿宋" w:cs="DengXian-Regular"/>
          <w:color w:val="auto"/>
          <w:sz w:val="32"/>
          <w:szCs w:val="32"/>
          <w:highlight w:val="none"/>
          <w:lang w:val="en-US" w:eastAsia="zh-CN"/>
        </w:rPr>
        <w:t>1790.83</w:t>
      </w:r>
      <w:r>
        <w:rPr>
          <w:rFonts w:hint="eastAsia" w:ascii="仿宋" w:hAnsi="仿宋" w:eastAsia="仿宋" w:cs="DengXian-Regular"/>
          <w:color w:val="auto"/>
          <w:sz w:val="32"/>
          <w:szCs w:val="32"/>
          <w:highlight w:val="none"/>
        </w:rPr>
        <w:t>万元，其中：财政拨款收入</w:t>
      </w:r>
      <w:r>
        <w:rPr>
          <w:rFonts w:hint="eastAsia" w:ascii="仿宋" w:hAnsi="仿宋" w:eastAsia="仿宋" w:cs="DengXian-Regular"/>
          <w:color w:val="auto"/>
          <w:sz w:val="32"/>
          <w:szCs w:val="32"/>
          <w:highlight w:val="none"/>
          <w:lang w:val="en-US" w:eastAsia="zh-CN"/>
        </w:rPr>
        <w:t>1790.68</w:t>
      </w:r>
      <w:r>
        <w:rPr>
          <w:rFonts w:hint="eastAsia" w:ascii="仿宋" w:hAnsi="仿宋" w:eastAsia="仿宋" w:cs="DengXian-Regular"/>
          <w:color w:val="auto"/>
          <w:sz w:val="32"/>
          <w:szCs w:val="32"/>
          <w:highlight w:val="none"/>
        </w:rPr>
        <w:t>万元</w:t>
      </w:r>
      <w:r>
        <w:rPr>
          <w:rFonts w:hint="eastAsia" w:ascii="仿宋" w:hAnsi="仿宋" w:eastAsia="仿宋" w:cs="DengXian-Regular"/>
          <w:color w:val="auto"/>
          <w:sz w:val="32"/>
          <w:szCs w:val="32"/>
          <w:highlight w:val="none"/>
          <w:lang w:eastAsia="zh-CN"/>
        </w:rPr>
        <w:t>，其他收入</w:t>
      </w:r>
      <w:r>
        <w:rPr>
          <w:rFonts w:hint="eastAsia" w:ascii="仿宋" w:hAnsi="仿宋" w:eastAsia="仿宋" w:cs="DengXian-Regular"/>
          <w:color w:val="auto"/>
          <w:sz w:val="32"/>
          <w:szCs w:val="32"/>
          <w:highlight w:val="none"/>
          <w:lang w:val="en-US" w:eastAsia="zh-CN"/>
        </w:rPr>
        <w:t>0.16万元（全部为利息收入）</w:t>
      </w:r>
      <w:r>
        <w:rPr>
          <w:rFonts w:hint="eastAsia" w:ascii="仿宋" w:hAnsi="仿宋" w:eastAsia="仿宋" w:cs="DengXian-Regular"/>
          <w:color w:val="auto"/>
          <w:sz w:val="32"/>
          <w:szCs w:val="32"/>
          <w:highlight w:val="none"/>
        </w:rPr>
        <w:t>。决算收入按功能分类包含：一般公共服务支出</w:t>
      </w:r>
      <w:r>
        <w:rPr>
          <w:rFonts w:hint="eastAsia" w:ascii="仿宋" w:hAnsi="仿宋" w:eastAsia="仿宋" w:cs="DengXian-Regular"/>
          <w:color w:val="auto"/>
          <w:sz w:val="32"/>
          <w:szCs w:val="32"/>
          <w:highlight w:val="none"/>
          <w:lang w:val="en-US" w:eastAsia="zh-CN"/>
        </w:rPr>
        <w:t>964.74</w:t>
      </w:r>
      <w:r>
        <w:rPr>
          <w:rFonts w:hint="eastAsia" w:ascii="仿宋" w:hAnsi="仿宋" w:eastAsia="仿宋" w:cs="DengXian-Regular"/>
          <w:color w:val="auto"/>
          <w:sz w:val="32"/>
          <w:szCs w:val="32"/>
          <w:highlight w:val="none"/>
        </w:rPr>
        <w:t>万元，占比</w:t>
      </w:r>
      <w:r>
        <w:rPr>
          <w:rFonts w:hint="eastAsia" w:ascii="仿宋" w:hAnsi="仿宋" w:eastAsia="仿宋" w:cs="DengXian-Regular"/>
          <w:color w:val="auto"/>
          <w:sz w:val="32"/>
          <w:szCs w:val="32"/>
          <w:highlight w:val="none"/>
          <w:lang w:val="en-US" w:eastAsia="zh-CN"/>
        </w:rPr>
        <w:t>53.87</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；公共安全支出</w:t>
      </w:r>
      <w:r>
        <w:rPr>
          <w:rFonts w:ascii="仿宋" w:hAnsi="仿宋" w:eastAsia="仿宋" w:cs="DengXian-Regular"/>
          <w:color w:val="auto"/>
          <w:sz w:val="32"/>
          <w:szCs w:val="32"/>
          <w:highlight w:val="none"/>
        </w:rPr>
        <w:t>8.5</w:t>
      </w:r>
      <w:r>
        <w:rPr>
          <w:rFonts w:hint="eastAsia" w:ascii="仿宋" w:hAnsi="仿宋" w:eastAsia="仿宋" w:cs="DengXian-Regular"/>
          <w:color w:val="auto"/>
          <w:sz w:val="32"/>
          <w:szCs w:val="32"/>
          <w:highlight w:val="none"/>
          <w:lang w:val="en-US" w:eastAsia="zh-CN"/>
        </w:rPr>
        <w:t>4</w:t>
      </w:r>
      <w:r>
        <w:rPr>
          <w:rFonts w:hint="eastAsia" w:ascii="仿宋" w:hAnsi="仿宋" w:eastAsia="仿宋" w:cs="DengXian-Regular"/>
          <w:color w:val="auto"/>
          <w:sz w:val="32"/>
          <w:szCs w:val="32"/>
          <w:highlight w:val="none"/>
        </w:rPr>
        <w:t>万元，占比</w:t>
      </w:r>
      <w:r>
        <w:rPr>
          <w:rFonts w:ascii="仿宋" w:hAnsi="仿宋" w:eastAsia="仿宋" w:cs="DengXian-Regular"/>
          <w:color w:val="auto"/>
          <w:sz w:val="32"/>
          <w:szCs w:val="32"/>
          <w:highlight w:val="none"/>
        </w:rPr>
        <w:t>0.4</w:t>
      </w:r>
      <w:r>
        <w:rPr>
          <w:rFonts w:hint="eastAsia" w:ascii="仿宋" w:hAnsi="仿宋" w:eastAsia="仿宋" w:cs="DengXian-Regular"/>
          <w:color w:val="auto"/>
          <w:sz w:val="32"/>
          <w:szCs w:val="32"/>
          <w:highlight w:val="none"/>
          <w:lang w:val="en-US" w:eastAsia="zh-CN"/>
        </w:rPr>
        <w:t>8</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文化旅游体育与传媒支出</w:t>
      </w:r>
      <w:r>
        <w:rPr>
          <w:rFonts w:hint="eastAsia" w:ascii="仿宋" w:hAnsi="仿宋" w:eastAsia="仿宋" w:cs="DengXian-Regular"/>
          <w:color w:val="auto"/>
          <w:sz w:val="32"/>
          <w:szCs w:val="32"/>
          <w:highlight w:val="none"/>
          <w:lang w:val="en-US" w:eastAsia="zh-CN"/>
        </w:rPr>
        <w:t>11.50</w:t>
      </w:r>
      <w:r>
        <w:rPr>
          <w:rFonts w:hint="eastAsia" w:ascii="仿宋" w:hAnsi="仿宋" w:eastAsia="仿宋" w:cs="DengXian-Regular"/>
          <w:color w:val="auto"/>
          <w:sz w:val="32"/>
          <w:szCs w:val="32"/>
          <w:highlight w:val="none"/>
        </w:rPr>
        <w:t>万元，占比</w:t>
      </w:r>
      <w:r>
        <w:rPr>
          <w:rFonts w:ascii="仿宋" w:hAnsi="仿宋" w:eastAsia="仿宋" w:cs="DengXian-Regular"/>
          <w:color w:val="auto"/>
          <w:sz w:val="32"/>
          <w:szCs w:val="32"/>
          <w:highlight w:val="none"/>
        </w:rPr>
        <w:t>0.</w:t>
      </w:r>
      <w:r>
        <w:rPr>
          <w:rFonts w:hint="eastAsia" w:ascii="仿宋" w:hAnsi="仿宋" w:eastAsia="仿宋" w:cs="DengXian-Regular"/>
          <w:color w:val="auto"/>
          <w:sz w:val="32"/>
          <w:szCs w:val="32"/>
          <w:highlight w:val="none"/>
          <w:lang w:val="en-US" w:eastAsia="zh-CN"/>
        </w:rPr>
        <w:t>64</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；社会保障和就业支出</w:t>
      </w:r>
      <w:r>
        <w:rPr>
          <w:rFonts w:hint="eastAsia" w:ascii="仿宋" w:hAnsi="仿宋" w:eastAsia="仿宋" w:cs="DengXian-Regular"/>
          <w:color w:val="auto"/>
          <w:sz w:val="32"/>
          <w:szCs w:val="32"/>
          <w:highlight w:val="none"/>
          <w:lang w:val="en-US" w:eastAsia="zh-CN"/>
        </w:rPr>
        <w:t>194.43</w:t>
      </w:r>
      <w:r>
        <w:rPr>
          <w:rFonts w:hint="eastAsia" w:ascii="仿宋" w:hAnsi="仿宋" w:eastAsia="仿宋" w:cs="DengXian-Regular"/>
          <w:color w:val="auto"/>
          <w:sz w:val="32"/>
          <w:szCs w:val="32"/>
          <w:highlight w:val="none"/>
        </w:rPr>
        <w:t>万元，占比</w:t>
      </w:r>
      <w:r>
        <w:rPr>
          <w:rFonts w:hint="eastAsia" w:ascii="仿宋" w:hAnsi="仿宋" w:eastAsia="仿宋" w:cs="DengXian-Regular"/>
          <w:color w:val="auto"/>
          <w:sz w:val="32"/>
          <w:szCs w:val="32"/>
          <w:highlight w:val="none"/>
          <w:lang w:val="en-US" w:eastAsia="zh-CN"/>
        </w:rPr>
        <w:t>10.86</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；卫生健康支出</w:t>
      </w:r>
      <w:r>
        <w:rPr>
          <w:rFonts w:hint="eastAsia" w:ascii="仿宋" w:hAnsi="仿宋" w:eastAsia="仿宋" w:cs="DengXian-Regular"/>
          <w:color w:val="auto"/>
          <w:sz w:val="32"/>
          <w:szCs w:val="32"/>
          <w:highlight w:val="none"/>
          <w:lang w:val="en-US" w:eastAsia="zh-CN"/>
        </w:rPr>
        <w:t>44.08</w:t>
      </w:r>
      <w:r>
        <w:rPr>
          <w:rFonts w:hint="eastAsia" w:ascii="仿宋" w:hAnsi="仿宋" w:eastAsia="仿宋" w:cs="DengXian-Regular"/>
          <w:color w:val="auto"/>
          <w:sz w:val="32"/>
          <w:szCs w:val="32"/>
          <w:highlight w:val="none"/>
        </w:rPr>
        <w:t>万元，占比</w:t>
      </w:r>
      <w:r>
        <w:rPr>
          <w:rFonts w:ascii="仿宋" w:hAnsi="仿宋" w:eastAsia="仿宋" w:cs="DengXian-Regular"/>
          <w:color w:val="auto"/>
          <w:sz w:val="32"/>
          <w:szCs w:val="32"/>
          <w:highlight w:val="none"/>
        </w:rPr>
        <w:t>2.</w:t>
      </w:r>
      <w:r>
        <w:rPr>
          <w:rFonts w:hint="eastAsia" w:ascii="仿宋" w:hAnsi="仿宋" w:eastAsia="仿宋" w:cs="DengXian-Regular"/>
          <w:color w:val="auto"/>
          <w:sz w:val="32"/>
          <w:szCs w:val="32"/>
          <w:highlight w:val="none"/>
          <w:lang w:val="en-US" w:eastAsia="zh-CN"/>
        </w:rPr>
        <w:t>46</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；节能环保支出</w:t>
      </w:r>
      <w:r>
        <w:rPr>
          <w:rFonts w:hint="eastAsia" w:ascii="仿宋" w:hAnsi="仿宋" w:eastAsia="仿宋" w:cs="DengXian-Regular"/>
          <w:color w:val="auto"/>
          <w:sz w:val="32"/>
          <w:szCs w:val="32"/>
          <w:highlight w:val="none"/>
          <w:lang w:val="en-US" w:eastAsia="zh-CN"/>
        </w:rPr>
        <w:t>33.25</w:t>
      </w:r>
      <w:r>
        <w:rPr>
          <w:rFonts w:hint="eastAsia" w:ascii="仿宋" w:hAnsi="仿宋" w:eastAsia="仿宋" w:cs="DengXian-Regular"/>
          <w:color w:val="auto"/>
          <w:sz w:val="32"/>
          <w:szCs w:val="32"/>
          <w:highlight w:val="none"/>
        </w:rPr>
        <w:t>万元，占比</w:t>
      </w:r>
      <w:r>
        <w:rPr>
          <w:rFonts w:hint="eastAsia" w:ascii="仿宋" w:hAnsi="仿宋" w:eastAsia="仿宋" w:cs="DengXian-Regular"/>
          <w:color w:val="auto"/>
          <w:sz w:val="32"/>
          <w:szCs w:val="32"/>
          <w:highlight w:val="none"/>
          <w:lang w:val="en-US" w:eastAsia="zh-CN"/>
        </w:rPr>
        <w:t>1.86</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；城乡社区支出</w:t>
      </w:r>
      <w:r>
        <w:rPr>
          <w:rFonts w:hint="eastAsia" w:ascii="仿宋" w:hAnsi="仿宋" w:eastAsia="仿宋" w:cs="DengXian-Regular"/>
          <w:color w:val="auto"/>
          <w:sz w:val="32"/>
          <w:szCs w:val="32"/>
          <w:highlight w:val="none"/>
          <w:lang w:val="en-US" w:eastAsia="zh-CN"/>
        </w:rPr>
        <w:t>71.52</w:t>
      </w:r>
      <w:r>
        <w:rPr>
          <w:rFonts w:hint="eastAsia" w:ascii="仿宋" w:hAnsi="仿宋" w:eastAsia="仿宋" w:cs="DengXian-Regular"/>
          <w:color w:val="auto"/>
          <w:sz w:val="32"/>
          <w:szCs w:val="32"/>
          <w:highlight w:val="none"/>
        </w:rPr>
        <w:t>万元</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占比</w:t>
      </w:r>
      <w:r>
        <w:rPr>
          <w:rFonts w:hint="eastAsia" w:ascii="仿宋" w:hAnsi="仿宋" w:eastAsia="仿宋" w:cs="DengXian-Regular"/>
          <w:color w:val="auto"/>
          <w:sz w:val="32"/>
          <w:szCs w:val="32"/>
          <w:highlight w:val="none"/>
          <w:lang w:val="en-US" w:eastAsia="zh-CN"/>
        </w:rPr>
        <w:t>3.99</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农林水支出</w:t>
      </w:r>
      <w:r>
        <w:rPr>
          <w:rFonts w:hint="eastAsia" w:ascii="仿宋" w:hAnsi="仿宋" w:eastAsia="仿宋" w:cs="DengXian-Regular"/>
          <w:color w:val="auto"/>
          <w:sz w:val="32"/>
          <w:szCs w:val="32"/>
          <w:highlight w:val="none"/>
          <w:lang w:val="en-US" w:eastAsia="zh-CN"/>
        </w:rPr>
        <w:t>376.44</w:t>
      </w:r>
      <w:r>
        <w:rPr>
          <w:rFonts w:hint="eastAsia" w:ascii="仿宋" w:hAnsi="仿宋" w:eastAsia="仿宋" w:cs="DengXian-Regular"/>
          <w:color w:val="auto"/>
          <w:sz w:val="32"/>
          <w:szCs w:val="32"/>
          <w:highlight w:val="none"/>
        </w:rPr>
        <w:t>万元，占比</w:t>
      </w:r>
      <w:r>
        <w:rPr>
          <w:rFonts w:hint="eastAsia" w:ascii="仿宋" w:hAnsi="仿宋" w:eastAsia="仿宋" w:cs="DengXian-Regular"/>
          <w:color w:val="auto"/>
          <w:sz w:val="32"/>
          <w:szCs w:val="32"/>
          <w:highlight w:val="none"/>
          <w:lang w:val="en-US" w:eastAsia="zh-CN"/>
        </w:rPr>
        <w:t>21.02</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；交通运输支出</w:t>
      </w:r>
      <w:r>
        <w:rPr>
          <w:rFonts w:hint="eastAsia" w:ascii="仿宋" w:hAnsi="仿宋" w:eastAsia="仿宋" w:cs="DengXian-Regular"/>
          <w:color w:val="auto"/>
          <w:sz w:val="32"/>
          <w:szCs w:val="32"/>
          <w:highlight w:val="none"/>
          <w:lang w:val="en-US" w:eastAsia="zh-CN"/>
        </w:rPr>
        <w:t>10.76</w:t>
      </w:r>
      <w:r>
        <w:rPr>
          <w:rFonts w:hint="eastAsia" w:ascii="仿宋" w:hAnsi="仿宋" w:eastAsia="仿宋" w:cs="DengXian-Regular"/>
          <w:color w:val="auto"/>
          <w:sz w:val="32"/>
          <w:szCs w:val="32"/>
          <w:highlight w:val="none"/>
        </w:rPr>
        <w:t>万元，占比</w:t>
      </w:r>
      <w:r>
        <w:rPr>
          <w:rFonts w:ascii="仿宋" w:hAnsi="仿宋" w:eastAsia="仿宋" w:cs="DengXian-Regular"/>
          <w:color w:val="auto"/>
          <w:sz w:val="32"/>
          <w:szCs w:val="32"/>
          <w:highlight w:val="none"/>
        </w:rPr>
        <w:t>0.</w:t>
      </w:r>
      <w:r>
        <w:rPr>
          <w:rFonts w:hint="eastAsia" w:ascii="仿宋" w:hAnsi="仿宋" w:eastAsia="仿宋" w:cs="DengXian-Regular"/>
          <w:color w:val="auto"/>
          <w:sz w:val="32"/>
          <w:szCs w:val="32"/>
          <w:highlight w:val="none"/>
          <w:lang w:val="en-US" w:eastAsia="zh-CN"/>
        </w:rPr>
        <w:t>60</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；住房保障支出</w:t>
      </w:r>
      <w:r>
        <w:rPr>
          <w:rFonts w:hint="eastAsia" w:ascii="仿宋" w:hAnsi="仿宋" w:eastAsia="仿宋" w:cs="DengXian-Regular"/>
          <w:color w:val="auto"/>
          <w:sz w:val="32"/>
          <w:szCs w:val="32"/>
          <w:highlight w:val="none"/>
          <w:lang w:val="en-US" w:eastAsia="zh-CN"/>
        </w:rPr>
        <w:t>73.49</w:t>
      </w:r>
      <w:r>
        <w:rPr>
          <w:rFonts w:hint="eastAsia" w:ascii="仿宋" w:hAnsi="仿宋" w:eastAsia="仿宋" w:cs="DengXian-Regular"/>
          <w:color w:val="auto"/>
          <w:sz w:val="32"/>
          <w:szCs w:val="32"/>
          <w:highlight w:val="none"/>
        </w:rPr>
        <w:t>万元，占比</w:t>
      </w:r>
      <w:r>
        <w:rPr>
          <w:rFonts w:hint="eastAsia" w:ascii="仿宋" w:hAnsi="仿宋" w:eastAsia="仿宋" w:cs="DengXian-Regular"/>
          <w:color w:val="auto"/>
          <w:sz w:val="32"/>
          <w:szCs w:val="32"/>
          <w:highlight w:val="none"/>
          <w:lang w:val="en-US" w:eastAsia="zh-CN"/>
        </w:rPr>
        <w:t>4.10</w:t>
      </w:r>
      <w:r>
        <w:rPr>
          <w:rFonts w:ascii="仿宋" w:hAnsi="仿宋" w:eastAsia="仿宋" w:cs="DengXian-Regular"/>
          <w:color w:val="auto"/>
          <w:sz w:val="32"/>
          <w:szCs w:val="32"/>
          <w:highlight w:val="none"/>
        </w:rPr>
        <w:t>%</w:t>
      </w:r>
      <w:r>
        <w:rPr>
          <w:rFonts w:hint="eastAsia" w:ascii="仿宋" w:hAnsi="仿宋" w:eastAsia="仿宋" w:cs="DengXian-Regular"/>
          <w:color w:val="auto"/>
          <w:sz w:val="32"/>
          <w:szCs w:val="32"/>
          <w:highlight w:val="none"/>
        </w:rPr>
        <w:t>；灾害防治及应急管理支</w:t>
      </w:r>
      <w:r>
        <w:rPr>
          <w:rFonts w:hint="eastAsia" w:ascii="仿宋" w:hAnsi="仿宋" w:eastAsia="仿宋" w:cs="DengXian-Regular"/>
          <w:color w:val="auto"/>
          <w:sz w:val="32"/>
          <w:szCs w:val="32"/>
          <w:highlight w:val="none"/>
          <w:lang w:val="en-US" w:eastAsia="zh-CN"/>
        </w:rPr>
        <w:t>出2.08万元，占比0.12%。</w:t>
      </w:r>
      <w:r>
        <w:rPr>
          <w:rFonts w:ascii="??_GB2312" w:eastAsia="Times New Roman" w:cs="DengXian-Regular"/>
          <w:color w:val="auto"/>
          <w:sz w:val="32"/>
          <w:szCs w:val="32"/>
          <w:highlight w:val="none"/>
        </w:rPr>
        <w:t>具体决算收入详见附件2。</w:t>
      </w:r>
    </w:p>
    <w:p w14:paraId="7DDE36CA">
      <w:pPr>
        <w:pageBreakBefore w:val="0"/>
        <w:kinsoku/>
        <w:wordWrap/>
        <w:overflowPunct/>
        <w:topLinePunct w:val="0"/>
        <w:autoSpaceDE/>
        <w:autoSpaceDN/>
        <w:bidi w:val="0"/>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2。决算收入结构如图1。</w:t>
      </w:r>
    </w:p>
    <w:p w14:paraId="2A722081">
      <w:pPr>
        <w:pageBreakBefore w:val="0"/>
        <w:kinsoku/>
        <w:wordWrap/>
        <w:overflowPunct/>
        <w:topLinePunct w:val="0"/>
        <w:autoSpaceDE/>
        <w:autoSpaceDN/>
        <w:bidi w:val="0"/>
        <w:spacing w:after="0" w:line="360" w:lineRule="auto"/>
        <w:jc w:val="center"/>
        <w:textAlignment w:val="baseline"/>
        <w:rPr>
          <w:rFonts w:hint="eastAsia" w:ascii="??_GB2312" w:eastAsia="宋体" w:cs="DengXian-Regular"/>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图1  202</w:t>
      </w:r>
      <w:r>
        <w:rPr>
          <w:rFonts w:hint="default" w:asciiTheme="minorEastAsia" w:hAnsiTheme="minorEastAsia" w:eastAsiaTheme="minorEastAsia" w:cstheme="minorEastAsia"/>
          <w:b/>
          <w:bCs/>
          <w:color w:val="auto"/>
          <w:sz w:val="32"/>
          <w:szCs w:val="32"/>
          <w:highlight w:val="none"/>
          <w:lang w:val="en-US"/>
        </w:rPr>
        <w:t>1</w:t>
      </w:r>
      <w:r>
        <w:rPr>
          <w:rFonts w:hint="eastAsia" w:asciiTheme="minorEastAsia" w:hAnsiTheme="minorEastAsia" w:eastAsiaTheme="minorEastAsia" w:cstheme="minorEastAsia"/>
          <w:b/>
          <w:bCs/>
          <w:color w:val="auto"/>
          <w:sz w:val="32"/>
          <w:szCs w:val="32"/>
          <w:highlight w:val="none"/>
        </w:rPr>
        <w:t>年度</w:t>
      </w:r>
      <w:r>
        <w:rPr>
          <w:rFonts w:hint="eastAsia" w:asciiTheme="minorEastAsia" w:hAnsiTheme="minorEastAsia" w:eastAsiaTheme="minorEastAsia" w:cstheme="minorEastAsia"/>
          <w:b/>
          <w:bCs/>
          <w:color w:val="auto"/>
          <w:sz w:val="32"/>
          <w:szCs w:val="32"/>
          <w:highlight w:val="none"/>
          <w:lang w:eastAsia="zh-CN"/>
        </w:rPr>
        <w:t>漕河镇人民政府</w:t>
      </w:r>
      <w:r>
        <w:rPr>
          <w:rFonts w:hint="eastAsia" w:asciiTheme="minorEastAsia" w:hAnsiTheme="minorEastAsia" w:eastAsiaTheme="minorEastAsia" w:cstheme="minorEastAsia"/>
          <w:b/>
          <w:bCs/>
          <w:color w:val="auto"/>
          <w:sz w:val="32"/>
          <w:szCs w:val="32"/>
          <w:highlight w:val="none"/>
        </w:rPr>
        <w:t>决算收入结构图</w:t>
      </w:r>
      <w:r>
        <w:rPr>
          <w:rFonts w:hint="eastAsia" w:ascii="??_GB2312" w:eastAsia="宋体" w:cs="DengXian-Regular"/>
          <w:color w:val="auto"/>
          <w:sz w:val="32"/>
          <w:szCs w:val="32"/>
          <w:highlight w:val="none"/>
          <w:lang w:val="en-US" w:eastAsia="zh-CN"/>
        </w:rPr>
        <w:t xml:space="preserve">      </w:t>
      </w:r>
    </w:p>
    <w:p w14:paraId="6495136E">
      <w:pPr>
        <w:spacing w:after="0" w:line="360" w:lineRule="auto"/>
        <w:jc w:val="center"/>
        <w:textAlignment w:val="baseline"/>
        <w:rPr>
          <w:rFonts w:hint="eastAsia" w:ascii="??_GB2312" w:eastAsia="宋体" w:cs="DengXian-Regular"/>
          <w:color w:val="auto"/>
          <w:sz w:val="32"/>
          <w:szCs w:val="32"/>
          <w:highlight w:val="none"/>
          <w:lang w:val="en-US" w:eastAsia="zh-CN"/>
        </w:rPr>
      </w:pPr>
      <w:r>
        <w:drawing>
          <wp:inline distT="0" distB="0" distL="114300" distR="114300">
            <wp:extent cx="5276215" cy="3556635"/>
            <wp:effectExtent l="4445" t="4445" r="15240" b="20320"/>
            <wp:docPr id="10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3651DC">
      <w:pPr>
        <w:spacing w:after="0" w:line="360" w:lineRule="auto"/>
        <w:jc w:val="left"/>
        <w:rPr>
          <w:rFonts w:ascii="??_GB2312" w:eastAsia="Times New Roman" w:cs="DengXian-Regular"/>
          <w:color w:val="auto"/>
          <w:sz w:val="32"/>
          <w:szCs w:val="32"/>
          <w:highlight w:val="none"/>
        </w:rPr>
      </w:pPr>
      <w:r>
        <w:rPr>
          <w:rFonts w:hint="eastAsia" w:ascii="??_GB2312" w:eastAsia="宋体" w:cs="DengXian-Regular"/>
          <w:color w:val="auto"/>
          <w:sz w:val="32"/>
          <w:szCs w:val="32"/>
          <w:highlight w:val="none"/>
          <w:lang w:val="en-US" w:eastAsia="zh-CN"/>
        </w:rPr>
        <w:t xml:space="preserve">     </w:t>
      </w:r>
      <w:r>
        <w:rPr>
          <w:rFonts w:ascii="??_GB2312" w:eastAsia="Times New Roman" w:cs="DengXian-Regular"/>
          <w:color w:val="auto"/>
          <w:sz w:val="32"/>
          <w:szCs w:val="32"/>
          <w:highlight w:val="none"/>
        </w:rPr>
        <w:t>徐水区漕河镇人民政府一般公共预算财政拨款决算收入比年初预算增加</w:t>
      </w:r>
      <w:r>
        <w:rPr>
          <w:rFonts w:hint="eastAsia" w:ascii="??_GB2312" w:eastAsia="宋体" w:cs="DengXian-Regular"/>
          <w:color w:val="auto"/>
          <w:sz w:val="32"/>
          <w:szCs w:val="32"/>
          <w:highlight w:val="none"/>
          <w:lang w:val="en-US" w:eastAsia="zh-CN"/>
        </w:rPr>
        <w:t>249.39</w:t>
      </w:r>
      <w:r>
        <w:rPr>
          <w:rFonts w:ascii="??_GB2312" w:eastAsia="Times New Roman" w:cs="DengXian-Regular"/>
          <w:color w:val="auto"/>
          <w:sz w:val="32"/>
          <w:szCs w:val="32"/>
          <w:highlight w:val="none"/>
        </w:rPr>
        <w:t>万元，完成年初预算的</w:t>
      </w:r>
      <w:r>
        <w:rPr>
          <w:rFonts w:hint="eastAsia" w:ascii="??_GB2312" w:eastAsia="宋体" w:cs="DengXian-Regular"/>
          <w:color w:val="auto"/>
          <w:sz w:val="32"/>
          <w:szCs w:val="32"/>
          <w:highlight w:val="none"/>
          <w:lang w:val="en-US" w:eastAsia="zh-CN"/>
        </w:rPr>
        <w:t>114.96</w:t>
      </w:r>
      <w:r>
        <w:rPr>
          <w:rFonts w:ascii="??_GB2312" w:eastAsia="Times New Roman" w:cs="DengXian-Regular"/>
          <w:color w:val="auto"/>
          <w:sz w:val="32"/>
          <w:szCs w:val="32"/>
          <w:highlight w:val="none"/>
        </w:rPr>
        <w:t>%；决算收入大于预算收入的主要原因为202</w:t>
      </w:r>
      <w:r>
        <w:rPr>
          <w:rFonts w:hint="eastAsia" w:ascii="??_GB2312" w:eastAsia="宋体" w:cs="DengXian-Regular"/>
          <w:color w:val="auto"/>
          <w:sz w:val="32"/>
          <w:szCs w:val="32"/>
          <w:highlight w:val="none"/>
          <w:lang w:val="en-US" w:eastAsia="zh-CN"/>
        </w:rPr>
        <w:t>1</w:t>
      </w:r>
      <w:r>
        <w:rPr>
          <w:rFonts w:ascii="??_GB2312" w:eastAsia="Times New Roman" w:cs="DengXian-Regular"/>
          <w:color w:val="auto"/>
          <w:sz w:val="32"/>
          <w:szCs w:val="32"/>
          <w:highlight w:val="none"/>
        </w:rPr>
        <w:t>年度我单位新增</w:t>
      </w:r>
      <w:r>
        <w:rPr>
          <w:rFonts w:hint="eastAsia" w:ascii="??_GB2312" w:eastAsia="宋体" w:cs="DengXian-Regular"/>
          <w:color w:val="auto"/>
          <w:sz w:val="32"/>
          <w:szCs w:val="32"/>
          <w:highlight w:val="none"/>
          <w:lang w:eastAsia="zh-CN"/>
        </w:rPr>
        <w:t>低氮锅炉改造、清真寺改造和乡村振兴工作组经费等</w:t>
      </w:r>
      <w:r>
        <w:rPr>
          <w:rFonts w:ascii="??_GB2312" w:eastAsia="Times New Roman" w:cs="DengXian-Regular"/>
          <w:color w:val="auto"/>
          <w:sz w:val="32"/>
          <w:szCs w:val="32"/>
          <w:highlight w:val="none"/>
        </w:rPr>
        <w:t>项目、新增公务员及工资普调等。预算收入与决算收入对比情况见图2。</w:t>
      </w:r>
    </w:p>
    <w:p w14:paraId="503A4BFE">
      <w:pPr>
        <w:spacing w:after="0" w:line="360" w:lineRule="auto"/>
        <w:jc w:val="center"/>
        <w:rPr>
          <w:rFonts w:hint="eastAsia" w:asciiTheme="minorEastAsia" w:hAnsiTheme="minorEastAsia" w:eastAsiaTheme="minorEastAsia" w:cstheme="minorEastAsia"/>
          <w:b/>
          <w:color w:val="auto"/>
          <w:sz w:val="32"/>
          <w:szCs w:val="32"/>
          <w:highlight w:val="none"/>
          <w:u w:color="000000"/>
        </w:rPr>
      </w:pPr>
      <w:r>
        <w:rPr>
          <w:rFonts w:hint="eastAsia" w:asciiTheme="minorEastAsia" w:hAnsiTheme="minorEastAsia" w:eastAsiaTheme="minorEastAsia" w:cstheme="minorEastAsia"/>
          <w:b/>
          <w:color w:val="auto"/>
          <w:sz w:val="32"/>
          <w:szCs w:val="32"/>
          <w:highlight w:val="none"/>
          <w:u w:color="000000"/>
        </w:rPr>
        <w:t>图2  202</w:t>
      </w:r>
      <w:r>
        <w:rPr>
          <w:rFonts w:hint="default" w:asciiTheme="minorEastAsia" w:hAnsiTheme="minorEastAsia" w:eastAsiaTheme="minorEastAsia" w:cstheme="minorEastAsia"/>
          <w:b/>
          <w:color w:val="auto"/>
          <w:sz w:val="32"/>
          <w:szCs w:val="32"/>
          <w:highlight w:val="none"/>
          <w:u w:color="000000"/>
          <w:lang w:val="en-US"/>
        </w:rPr>
        <w:t>1</w:t>
      </w:r>
      <w:r>
        <w:rPr>
          <w:rFonts w:hint="eastAsia" w:asciiTheme="minorEastAsia" w:hAnsiTheme="minorEastAsia" w:eastAsiaTheme="minorEastAsia" w:cstheme="minorEastAsia"/>
          <w:b/>
          <w:color w:val="auto"/>
          <w:sz w:val="32"/>
          <w:szCs w:val="32"/>
          <w:highlight w:val="none"/>
          <w:u w:color="000000"/>
        </w:rPr>
        <w:t>年度</w:t>
      </w:r>
      <w:r>
        <w:rPr>
          <w:rFonts w:hint="eastAsia" w:asciiTheme="minorEastAsia" w:hAnsiTheme="minorEastAsia" w:eastAsiaTheme="minorEastAsia" w:cstheme="minorEastAsia"/>
          <w:b/>
          <w:color w:val="auto"/>
          <w:sz w:val="32"/>
          <w:szCs w:val="32"/>
          <w:highlight w:val="none"/>
          <w:u w:color="000000"/>
          <w:lang w:eastAsia="zh-CN"/>
        </w:rPr>
        <w:t>漕河镇人民政府</w:t>
      </w:r>
      <w:r>
        <w:rPr>
          <w:rFonts w:hint="eastAsia" w:asciiTheme="minorEastAsia" w:hAnsiTheme="minorEastAsia" w:eastAsiaTheme="minorEastAsia" w:cstheme="minorEastAsia"/>
          <w:b/>
          <w:color w:val="auto"/>
          <w:sz w:val="32"/>
          <w:szCs w:val="32"/>
          <w:highlight w:val="none"/>
          <w:u w:color="000000"/>
        </w:rPr>
        <w:t>预算收入与决算收入</w:t>
      </w:r>
    </w:p>
    <w:p w14:paraId="784539D5">
      <w:pPr>
        <w:spacing w:after="0" w:line="360" w:lineRule="auto"/>
        <w:jc w:val="center"/>
        <w:rPr>
          <w:rFonts w:hint="eastAsia" w:asciiTheme="minorEastAsia" w:hAnsiTheme="minorEastAsia" w:eastAsiaTheme="minorEastAsia" w:cstheme="minorEastAsia"/>
          <w:b/>
          <w:color w:val="auto"/>
          <w:sz w:val="32"/>
          <w:szCs w:val="32"/>
          <w:highlight w:val="none"/>
          <w:u w:color="000000"/>
          <w:lang w:eastAsia="zh-CN"/>
        </w:rPr>
      </w:pPr>
      <w:r>
        <w:rPr>
          <w:rFonts w:hint="eastAsia" w:asciiTheme="minorEastAsia" w:hAnsiTheme="minorEastAsia" w:eastAsiaTheme="minorEastAsia" w:cstheme="minorEastAsia"/>
          <w:b/>
          <w:color w:val="auto"/>
          <w:sz w:val="32"/>
          <w:szCs w:val="32"/>
          <w:highlight w:val="none"/>
          <w:u w:color="000000"/>
          <w:lang w:eastAsia="zh-CN"/>
        </w:rPr>
        <w:t>对比图</w:t>
      </w:r>
    </w:p>
    <w:p w14:paraId="183331A4">
      <w:pPr>
        <w:spacing w:after="0" w:line="360" w:lineRule="auto"/>
        <w:jc w:val="center"/>
        <w:rPr>
          <w:rFonts w:hint="eastAsia" w:asciiTheme="minorEastAsia" w:hAnsiTheme="minorEastAsia" w:eastAsiaTheme="minorEastAsia" w:cstheme="minorEastAsia"/>
          <w:b/>
          <w:color w:val="auto"/>
          <w:sz w:val="32"/>
          <w:szCs w:val="32"/>
          <w:highlight w:val="none"/>
          <w:u w:color="000000"/>
        </w:rPr>
      </w:pPr>
      <w:r>
        <w:drawing>
          <wp:inline distT="0" distB="0" distL="114300" distR="114300">
            <wp:extent cx="5521325" cy="5964555"/>
            <wp:effectExtent l="4445" t="4445" r="17780" b="12700"/>
            <wp:docPr id="102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5BBF3D">
      <w:pPr>
        <w:pStyle w:val="4"/>
        <w:spacing w:before="0" w:after="0"/>
        <w:ind w:firstLine="643" w:firstLineChars="200"/>
        <w:jc w:val="both"/>
        <w:rPr>
          <w:rFonts w:ascii="仿宋_GB2312" w:hAnsiTheme="minorEastAsia"/>
          <w:color w:val="auto"/>
          <w:sz w:val="32"/>
          <w:highlight w:val="none"/>
        </w:rPr>
      </w:pPr>
      <w:bookmarkStart w:id="12" w:name="_Toc18197"/>
      <w:r>
        <w:rPr>
          <w:rFonts w:hint="eastAsia" w:ascii="仿宋_GB2312" w:hAnsiTheme="minorEastAsia"/>
          <w:color w:val="auto"/>
          <w:sz w:val="32"/>
          <w:highlight w:val="none"/>
        </w:rPr>
        <w:t>（四）预算支出及决算</w:t>
      </w:r>
      <w:bookmarkEnd w:id="10"/>
      <w:bookmarkEnd w:id="11"/>
      <w:r>
        <w:rPr>
          <w:rFonts w:hint="eastAsia" w:ascii="仿宋_GB2312" w:hAnsiTheme="minorEastAsia"/>
          <w:color w:val="auto"/>
          <w:sz w:val="32"/>
          <w:highlight w:val="none"/>
        </w:rPr>
        <w:t>支出</w:t>
      </w:r>
      <w:bookmarkEnd w:id="12"/>
    </w:p>
    <w:p w14:paraId="6A7A7E76">
      <w:pPr>
        <w:spacing w:after="0" w:line="360" w:lineRule="auto"/>
        <w:ind w:firstLine="640" w:firstLineChars="200"/>
        <w:jc w:val="both"/>
        <w:rPr>
          <w:rFonts w:ascii="仿宋_GB2312" w:eastAsia="仿宋_GB2312" w:cs="Times New Roman" w:hAnsiTheme="minorEastAsia"/>
          <w:color w:val="auto"/>
          <w:sz w:val="32"/>
          <w:szCs w:val="32"/>
          <w:highlight w:val="none"/>
          <w:u w:color="000000"/>
        </w:rPr>
      </w:pP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年度区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Times New Roman" w:hAnsiTheme="minorEastAsia"/>
          <w:color w:val="auto"/>
          <w:sz w:val="32"/>
          <w:szCs w:val="32"/>
          <w:highlight w:val="none"/>
          <w:u w:color="000000"/>
        </w:rPr>
        <w:t>预算支出安排</w:t>
      </w:r>
      <w:r>
        <w:rPr>
          <w:rFonts w:hint="eastAsia" w:ascii="仿宋_GB2312" w:eastAsia="仿宋_GB2312" w:cs="DengXian-Regular"/>
          <w:color w:val="auto"/>
          <w:sz w:val="32"/>
          <w:szCs w:val="32"/>
          <w:highlight w:val="none"/>
          <w:lang w:val="en-US" w:eastAsia="zh-CN"/>
        </w:rPr>
        <w:t>1666.64</w:t>
      </w:r>
      <w:r>
        <w:rPr>
          <w:rFonts w:hint="eastAsia" w:ascii="仿宋_GB2312" w:eastAsia="仿宋_GB2312" w:cs="Times New Roman" w:hAnsiTheme="minorEastAsia"/>
          <w:color w:val="auto"/>
          <w:sz w:val="32"/>
          <w:szCs w:val="32"/>
          <w:highlight w:val="none"/>
          <w:u w:color="000000"/>
        </w:rPr>
        <w:t>万元，其中：基本支出</w:t>
      </w:r>
      <w:r>
        <w:rPr>
          <w:rFonts w:hint="eastAsia" w:ascii="仿宋_GB2312" w:eastAsia="仿宋_GB2312" w:cs="Times New Roman" w:hAnsiTheme="minorEastAsia"/>
          <w:color w:val="auto"/>
          <w:sz w:val="32"/>
          <w:szCs w:val="32"/>
          <w:highlight w:val="none"/>
          <w:u w:color="000000"/>
          <w:lang w:val="en-US" w:eastAsia="zh-CN"/>
        </w:rPr>
        <w:t>1367.51</w:t>
      </w:r>
      <w:r>
        <w:rPr>
          <w:rFonts w:hint="eastAsia" w:ascii="仿宋_GB2312" w:eastAsia="仿宋_GB2312" w:cs="Times New Roman" w:hAnsiTheme="minorEastAsia"/>
          <w:color w:val="auto"/>
          <w:sz w:val="32"/>
          <w:szCs w:val="32"/>
          <w:highlight w:val="none"/>
          <w:u w:color="000000"/>
        </w:rPr>
        <w:t>万元，项目支出</w:t>
      </w:r>
      <w:r>
        <w:rPr>
          <w:rFonts w:hint="eastAsia" w:ascii="仿宋_GB2312" w:eastAsia="仿宋_GB2312" w:cs="Times New Roman" w:hAnsiTheme="minorEastAsia"/>
          <w:color w:val="auto"/>
          <w:sz w:val="32"/>
          <w:szCs w:val="32"/>
          <w:highlight w:val="none"/>
          <w:u w:color="000000"/>
          <w:lang w:val="en-US" w:eastAsia="zh-CN"/>
        </w:rPr>
        <w:t>299.13</w:t>
      </w:r>
      <w:r>
        <w:rPr>
          <w:rFonts w:hint="eastAsia" w:ascii="仿宋_GB2312" w:eastAsia="仿宋_GB2312" w:cs="Times New Roman" w:hAnsiTheme="minorEastAsia"/>
          <w:color w:val="auto"/>
          <w:sz w:val="32"/>
          <w:szCs w:val="32"/>
          <w:highlight w:val="none"/>
          <w:u w:color="000000"/>
        </w:rPr>
        <w:t>万元。</w:t>
      </w:r>
      <w:r>
        <w:rPr>
          <w:rFonts w:hint="eastAsia" w:ascii="仿宋_GB2312" w:eastAsia="仿宋_GB2312" w:cs="DengXian-Regular"/>
          <w:color w:val="auto"/>
          <w:sz w:val="32"/>
          <w:szCs w:val="32"/>
          <w:highlight w:val="none"/>
        </w:rPr>
        <w:t>预算</w:t>
      </w:r>
      <w:r>
        <w:rPr>
          <w:rFonts w:hint="eastAsia" w:ascii="仿宋_GB2312" w:eastAsia="仿宋_GB2312" w:cs="DengXian-Regular"/>
          <w:color w:val="auto"/>
          <w:sz w:val="32"/>
          <w:szCs w:val="32"/>
          <w:highlight w:val="none"/>
          <w:lang w:eastAsia="zh-CN"/>
        </w:rPr>
        <w:t>支出</w:t>
      </w:r>
      <w:r>
        <w:rPr>
          <w:rFonts w:hint="eastAsia" w:ascii="仿宋_GB2312" w:eastAsia="仿宋_GB2312" w:cs="DengXian-Regular"/>
          <w:color w:val="auto"/>
          <w:sz w:val="32"/>
          <w:szCs w:val="32"/>
          <w:highlight w:val="none"/>
        </w:rPr>
        <w:t>按功能分类包含：</w:t>
      </w:r>
      <w:r>
        <w:rPr>
          <w:rFonts w:hint="eastAsia" w:ascii="仿宋_GB2312" w:eastAsia="仿宋_GB2312" w:cs="DengXian-Regular"/>
          <w:color w:val="auto"/>
          <w:sz w:val="32"/>
          <w:szCs w:val="32"/>
          <w:highlight w:val="none"/>
          <w:lang w:eastAsia="zh-CN"/>
        </w:rPr>
        <w:t>一般公共服务支出</w:t>
      </w:r>
      <w:r>
        <w:rPr>
          <w:rFonts w:hint="eastAsia" w:ascii="仿宋_GB2312" w:eastAsia="仿宋_GB2312" w:cs="DengXian-Regular"/>
          <w:color w:val="auto"/>
          <w:sz w:val="32"/>
          <w:szCs w:val="32"/>
          <w:highlight w:val="none"/>
          <w:lang w:val="en-US" w:eastAsia="zh-CN"/>
        </w:rPr>
        <w:t>1126.37万元</w:t>
      </w:r>
      <w:r>
        <w:rPr>
          <w:rFonts w:hint="eastAsia" w:ascii="仿宋_GB2312" w:eastAsia="仿宋_GB2312" w:cs="DengXian-Regular"/>
          <w:color w:val="auto"/>
          <w:sz w:val="32"/>
          <w:szCs w:val="32"/>
          <w:highlight w:val="none"/>
          <w:lang w:eastAsia="zh-CN"/>
        </w:rPr>
        <w:t>，公共安全支出</w:t>
      </w:r>
      <w:r>
        <w:rPr>
          <w:rFonts w:hint="eastAsia" w:ascii="仿宋_GB2312" w:eastAsia="仿宋_GB2312" w:cs="DengXian-Regular"/>
          <w:color w:val="auto"/>
          <w:sz w:val="32"/>
          <w:szCs w:val="32"/>
          <w:highlight w:val="none"/>
          <w:lang w:val="en-US" w:eastAsia="zh-CN"/>
        </w:rPr>
        <w:t>8.55万元</w:t>
      </w:r>
      <w:r>
        <w:rPr>
          <w:rFonts w:hint="eastAsia" w:ascii="仿宋" w:hAnsi="仿宋" w:eastAsia="仿宋" w:cs="DengXian-Regular"/>
          <w:color w:val="auto"/>
          <w:sz w:val="32"/>
          <w:szCs w:val="32"/>
          <w:highlight w:val="none"/>
        </w:rPr>
        <w:t>，文化旅游体育与传媒支出</w:t>
      </w:r>
      <w:r>
        <w:rPr>
          <w:rFonts w:hint="eastAsia" w:ascii="仿宋" w:hAnsi="仿宋" w:eastAsia="仿宋" w:cs="DengXian-Regular"/>
          <w:color w:val="auto"/>
          <w:sz w:val="32"/>
          <w:szCs w:val="32"/>
          <w:highlight w:val="none"/>
          <w:lang w:val="en-US" w:eastAsia="zh-CN"/>
        </w:rPr>
        <w:t>1.5</w:t>
      </w:r>
      <w:r>
        <w:rPr>
          <w:rFonts w:hint="eastAsia" w:ascii="仿宋" w:hAnsi="仿宋" w:eastAsia="仿宋" w:cs="DengXian-Regular"/>
          <w:color w:val="auto"/>
          <w:sz w:val="32"/>
          <w:szCs w:val="32"/>
          <w:highlight w:val="none"/>
        </w:rPr>
        <w:t>万元，社会保障和就业支出</w:t>
      </w:r>
      <w:r>
        <w:rPr>
          <w:rFonts w:hint="eastAsia" w:ascii="仿宋" w:hAnsi="仿宋" w:eastAsia="仿宋" w:cs="DengXian-Regular"/>
          <w:color w:val="auto"/>
          <w:sz w:val="32"/>
          <w:szCs w:val="32"/>
          <w:highlight w:val="none"/>
          <w:lang w:val="en-US" w:eastAsia="zh-CN"/>
        </w:rPr>
        <w:t>171.41</w:t>
      </w:r>
      <w:r>
        <w:rPr>
          <w:rFonts w:hint="eastAsia" w:ascii="仿宋" w:hAnsi="仿宋" w:eastAsia="仿宋" w:cs="DengXian-Regular"/>
          <w:color w:val="auto"/>
          <w:sz w:val="32"/>
          <w:szCs w:val="32"/>
          <w:highlight w:val="none"/>
        </w:rPr>
        <w:t>万元，卫生健康支出</w:t>
      </w:r>
      <w:r>
        <w:rPr>
          <w:rFonts w:hint="eastAsia" w:ascii="仿宋" w:hAnsi="仿宋" w:eastAsia="仿宋" w:cs="DengXian-Regular"/>
          <w:color w:val="auto"/>
          <w:sz w:val="32"/>
          <w:szCs w:val="32"/>
          <w:highlight w:val="none"/>
          <w:lang w:val="en-US" w:eastAsia="zh-CN"/>
        </w:rPr>
        <w:t>45.73</w:t>
      </w:r>
      <w:r>
        <w:rPr>
          <w:rFonts w:hint="eastAsia" w:ascii="仿宋" w:hAnsi="仿宋" w:eastAsia="仿宋" w:cs="DengXian-Regular"/>
          <w:color w:val="auto"/>
          <w:sz w:val="32"/>
          <w:szCs w:val="32"/>
          <w:highlight w:val="none"/>
        </w:rPr>
        <w:t>万元，节能环保支出</w:t>
      </w:r>
      <w:r>
        <w:rPr>
          <w:rFonts w:hint="eastAsia" w:ascii="仿宋" w:hAnsi="仿宋" w:eastAsia="仿宋" w:cs="DengXian-Regular"/>
          <w:color w:val="auto"/>
          <w:sz w:val="32"/>
          <w:szCs w:val="32"/>
          <w:highlight w:val="none"/>
          <w:lang w:val="en-US" w:eastAsia="zh-CN"/>
        </w:rPr>
        <w:t>4</w:t>
      </w:r>
      <w:r>
        <w:rPr>
          <w:rFonts w:hint="eastAsia" w:ascii="仿宋" w:hAnsi="仿宋" w:eastAsia="仿宋" w:cs="DengXian-Regular"/>
          <w:color w:val="auto"/>
          <w:sz w:val="32"/>
          <w:szCs w:val="32"/>
          <w:highlight w:val="none"/>
        </w:rPr>
        <w:t>万元，农林水支出</w:t>
      </w:r>
      <w:r>
        <w:rPr>
          <w:rFonts w:hint="eastAsia" w:ascii="仿宋" w:hAnsi="仿宋" w:eastAsia="仿宋" w:cs="DengXian-Regular"/>
          <w:color w:val="auto"/>
          <w:sz w:val="32"/>
          <w:szCs w:val="32"/>
          <w:highlight w:val="none"/>
          <w:lang w:val="en-US" w:eastAsia="zh-CN"/>
        </w:rPr>
        <w:t>229.44</w:t>
      </w:r>
      <w:r>
        <w:rPr>
          <w:rFonts w:hint="eastAsia" w:ascii="仿宋" w:hAnsi="仿宋" w:eastAsia="仿宋" w:cs="DengXian-Regular"/>
          <w:color w:val="auto"/>
          <w:sz w:val="32"/>
          <w:szCs w:val="32"/>
          <w:highlight w:val="none"/>
        </w:rPr>
        <w:t>万元，交通运输支出</w:t>
      </w:r>
      <w:r>
        <w:rPr>
          <w:rFonts w:ascii="仿宋" w:hAnsi="仿宋" w:eastAsia="仿宋" w:cs="DengXian-Regular"/>
          <w:color w:val="auto"/>
          <w:sz w:val="32"/>
          <w:szCs w:val="32"/>
          <w:highlight w:val="none"/>
        </w:rPr>
        <w:t>12.42</w:t>
      </w:r>
      <w:r>
        <w:rPr>
          <w:rFonts w:hint="eastAsia" w:ascii="仿宋" w:hAnsi="仿宋" w:eastAsia="仿宋" w:cs="DengXian-Regular"/>
          <w:color w:val="auto"/>
          <w:sz w:val="32"/>
          <w:szCs w:val="32"/>
          <w:highlight w:val="none"/>
        </w:rPr>
        <w:t>万元，住房保障支出</w:t>
      </w:r>
      <w:r>
        <w:rPr>
          <w:rFonts w:ascii="仿宋" w:hAnsi="仿宋" w:eastAsia="仿宋" w:cs="DengXian-Regular"/>
          <w:color w:val="auto"/>
          <w:sz w:val="32"/>
          <w:szCs w:val="32"/>
          <w:highlight w:val="none"/>
        </w:rPr>
        <w:t>6</w:t>
      </w:r>
      <w:r>
        <w:rPr>
          <w:rFonts w:hint="eastAsia" w:ascii="仿宋" w:hAnsi="仿宋" w:eastAsia="仿宋" w:cs="DengXian-Regular"/>
          <w:color w:val="auto"/>
          <w:sz w:val="32"/>
          <w:szCs w:val="32"/>
          <w:highlight w:val="none"/>
          <w:lang w:val="en-US" w:eastAsia="zh-CN"/>
        </w:rPr>
        <w:t>5.14</w:t>
      </w:r>
      <w:r>
        <w:rPr>
          <w:rFonts w:hint="eastAsia" w:ascii="仿宋" w:hAnsi="仿宋" w:eastAsia="仿宋" w:cs="DengXian-Regular"/>
          <w:color w:val="auto"/>
          <w:sz w:val="32"/>
          <w:szCs w:val="32"/>
          <w:highlight w:val="none"/>
        </w:rPr>
        <w:t>万元，灾害防治及应急管理支出</w:t>
      </w:r>
      <w:r>
        <w:rPr>
          <w:rFonts w:ascii="仿宋" w:hAnsi="仿宋" w:eastAsia="仿宋" w:cs="DengXian-Regular"/>
          <w:color w:val="auto"/>
          <w:sz w:val="32"/>
          <w:szCs w:val="32"/>
          <w:highlight w:val="none"/>
        </w:rPr>
        <w:t>2.0</w:t>
      </w:r>
      <w:r>
        <w:rPr>
          <w:rFonts w:hint="eastAsia" w:ascii="仿宋" w:hAnsi="仿宋" w:eastAsia="仿宋" w:cs="DengXian-Regular"/>
          <w:color w:val="auto"/>
          <w:sz w:val="32"/>
          <w:szCs w:val="32"/>
          <w:highlight w:val="none"/>
          <w:lang w:val="en-US" w:eastAsia="zh-CN"/>
        </w:rPr>
        <w:t>8</w:t>
      </w:r>
      <w:r>
        <w:rPr>
          <w:rFonts w:hint="eastAsia" w:ascii="仿宋" w:hAnsi="仿宋" w:eastAsia="仿宋" w:cs="DengXian-Regular"/>
          <w:color w:val="auto"/>
          <w:sz w:val="32"/>
          <w:szCs w:val="32"/>
          <w:highlight w:val="none"/>
        </w:rPr>
        <w:t>万元。具体预算收入详见附件</w:t>
      </w:r>
      <w:r>
        <w:rPr>
          <w:rFonts w:ascii="仿宋" w:hAnsi="仿宋" w:eastAsia="仿宋" w:cs="DengXian-Regular"/>
          <w:color w:val="auto"/>
          <w:sz w:val="32"/>
          <w:szCs w:val="32"/>
          <w:highlight w:val="none"/>
        </w:rPr>
        <w:t>2</w:t>
      </w:r>
      <w:r>
        <w:rPr>
          <w:rFonts w:hint="eastAsia" w:ascii="仿宋" w:hAnsi="仿宋" w:eastAsia="仿宋" w:cs="DengXian-Regular"/>
          <w:color w:val="auto"/>
          <w:sz w:val="32"/>
          <w:szCs w:val="32"/>
          <w:highlight w:val="none"/>
        </w:rPr>
        <w:t>。</w:t>
      </w:r>
    </w:p>
    <w:p w14:paraId="627F645F">
      <w:pPr>
        <w:spacing w:after="0" w:line="360" w:lineRule="auto"/>
        <w:ind w:firstLine="640" w:firstLineChars="200"/>
        <w:jc w:val="both"/>
        <w:rPr>
          <w:rFonts w:ascii="仿宋_GB2312" w:eastAsia="仿宋_GB2312" w:cs="Times New Roman" w:hAnsiTheme="minorEastAsia"/>
          <w:color w:val="auto"/>
          <w:sz w:val="32"/>
          <w:szCs w:val="32"/>
          <w:highlight w:val="none"/>
          <w:u w:color="000000"/>
        </w:rPr>
      </w:pP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年度区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Times New Roman" w:hAnsiTheme="minorEastAsia"/>
          <w:color w:val="auto"/>
          <w:sz w:val="32"/>
          <w:szCs w:val="32"/>
          <w:highlight w:val="none"/>
          <w:u w:color="000000"/>
        </w:rPr>
        <w:t>决算支出为</w:t>
      </w:r>
      <w:r>
        <w:rPr>
          <w:rFonts w:hint="eastAsia" w:ascii="仿宋" w:hAnsi="仿宋" w:eastAsia="仿宋" w:cs="DengXian-Regular"/>
          <w:color w:val="auto"/>
          <w:sz w:val="32"/>
          <w:szCs w:val="32"/>
          <w:highlight w:val="none"/>
          <w:lang w:val="en-US" w:eastAsia="zh-CN"/>
        </w:rPr>
        <w:t>1916.28</w:t>
      </w:r>
      <w:r>
        <w:rPr>
          <w:rFonts w:hint="eastAsia" w:ascii="仿宋_GB2312" w:eastAsia="仿宋_GB2312" w:cs="Times New Roman" w:hAnsiTheme="minorEastAsia"/>
          <w:color w:val="auto"/>
          <w:sz w:val="32"/>
          <w:szCs w:val="32"/>
          <w:highlight w:val="none"/>
          <w:u w:color="000000"/>
        </w:rPr>
        <w:t>万元，其中：基本支出</w:t>
      </w:r>
      <w:r>
        <w:rPr>
          <w:rFonts w:hint="eastAsia" w:ascii="仿宋_GB2312" w:eastAsia="仿宋_GB2312" w:cs="Times New Roman" w:hAnsiTheme="minorEastAsia"/>
          <w:color w:val="auto"/>
          <w:sz w:val="32"/>
          <w:szCs w:val="32"/>
          <w:highlight w:val="none"/>
          <w:u w:color="000000"/>
          <w:lang w:val="en-US" w:eastAsia="zh-CN"/>
        </w:rPr>
        <w:t>1366.20</w:t>
      </w:r>
      <w:r>
        <w:rPr>
          <w:rFonts w:hint="eastAsia" w:ascii="仿宋_GB2312" w:eastAsia="仿宋_GB2312" w:cs="Times New Roman" w:hAnsiTheme="minorEastAsia"/>
          <w:color w:val="auto"/>
          <w:sz w:val="32"/>
          <w:szCs w:val="32"/>
          <w:highlight w:val="none"/>
          <w:u w:color="000000"/>
        </w:rPr>
        <w:t>万元，项目支出</w:t>
      </w:r>
      <w:r>
        <w:rPr>
          <w:rFonts w:hint="eastAsia" w:ascii="仿宋_GB2312" w:eastAsia="仿宋_GB2312" w:cs="Times New Roman" w:hAnsiTheme="minorEastAsia"/>
          <w:color w:val="auto"/>
          <w:sz w:val="32"/>
          <w:szCs w:val="32"/>
          <w:highlight w:val="none"/>
          <w:u w:color="000000"/>
          <w:lang w:val="en-US" w:eastAsia="zh-CN"/>
        </w:rPr>
        <w:t>550.08</w:t>
      </w:r>
      <w:r>
        <w:rPr>
          <w:rFonts w:hint="eastAsia" w:ascii="仿宋_GB2312" w:eastAsia="仿宋_GB2312" w:cs="Times New Roman" w:hAnsiTheme="minorEastAsia"/>
          <w:color w:val="auto"/>
          <w:sz w:val="32"/>
          <w:szCs w:val="32"/>
          <w:highlight w:val="none"/>
          <w:u w:color="000000"/>
        </w:rPr>
        <w:t>万元。决算支出按功能分类包含：</w:t>
      </w:r>
      <w:r>
        <w:rPr>
          <w:rFonts w:hint="eastAsia" w:ascii="仿宋" w:hAnsi="仿宋" w:eastAsia="仿宋" w:cs="DengXian-Regular"/>
          <w:color w:val="auto"/>
          <w:sz w:val="32"/>
          <w:szCs w:val="32"/>
          <w:highlight w:val="none"/>
        </w:rPr>
        <w:t>一般公共服务支出</w:t>
      </w:r>
      <w:r>
        <w:rPr>
          <w:rFonts w:ascii="仿宋" w:hAnsi="仿宋" w:eastAsia="仿宋" w:cs="DengXian-Regular"/>
          <w:color w:val="auto"/>
          <w:sz w:val="32"/>
          <w:szCs w:val="32"/>
          <w:highlight w:val="none"/>
        </w:rPr>
        <w:t>10</w:t>
      </w:r>
      <w:r>
        <w:rPr>
          <w:rFonts w:hint="eastAsia" w:ascii="仿宋" w:hAnsi="仿宋" w:eastAsia="仿宋" w:cs="DengXian-Regular"/>
          <w:color w:val="auto"/>
          <w:sz w:val="32"/>
          <w:szCs w:val="32"/>
          <w:highlight w:val="none"/>
          <w:lang w:val="en-US" w:eastAsia="zh-CN"/>
        </w:rPr>
        <w:t>53.04</w:t>
      </w:r>
      <w:r>
        <w:rPr>
          <w:rFonts w:hint="eastAsia" w:ascii="仿宋" w:hAnsi="仿宋" w:eastAsia="仿宋" w:cs="DengXian-Regular"/>
          <w:color w:val="auto"/>
          <w:sz w:val="32"/>
          <w:szCs w:val="32"/>
          <w:highlight w:val="none"/>
        </w:rPr>
        <w:t>万元</w:t>
      </w:r>
      <w:r>
        <w:rPr>
          <w:rFonts w:hint="eastAsia" w:ascii="仿宋" w:hAnsi="仿宋" w:eastAsia="仿宋" w:cs="DengXian-Regular"/>
          <w:color w:val="auto"/>
          <w:sz w:val="32"/>
          <w:szCs w:val="32"/>
          <w:highlight w:val="none"/>
          <w:lang w:eastAsia="zh-CN"/>
        </w:rPr>
        <w:t>，占比</w:t>
      </w:r>
      <w:r>
        <w:rPr>
          <w:rFonts w:hint="eastAsia" w:ascii="仿宋" w:hAnsi="仿宋" w:eastAsia="仿宋" w:cs="DengXian-Regular"/>
          <w:color w:val="auto"/>
          <w:sz w:val="32"/>
          <w:szCs w:val="32"/>
          <w:highlight w:val="none"/>
          <w:lang w:val="en-US" w:eastAsia="zh-CN"/>
        </w:rPr>
        <w:t>54.95%；</w:t>
      </w:r>
      <w:r>
        <w:rPr>
          <w:rFonts w:hint="eastAsia" w:ascii="仿宋_GB2312" w:eastAsia="仿宋_GB2312" w:cs="Times New Roman" w:hAnsiTheme="minorEastAsia"/>
          <w:color w:val="auto"/>
          <w:sz w:val="32"/>
          <w:szCs w:val="32"/>
          <w:highlight w:val="none"/>
          <w:u w:color="000000"/>
        </w:rPr>
        <w:t>公共安全支出</w:t>
      </w:r>
      <w:r>
        <w:rPr>
          <w:rFonts w:hint="eastAsia" w:ascii="仿宋_GB2312" w:eastAsia="仿宋_GB2312" w:cs="Times New Roman" w:hAnsiTheme="minorEastAsia"/>
          <w:color w:val="auto"/>
          <w:sz w:val="32"/>
          <w:szCs w:val="32"/>
          <w:highlight w:val="none"/>
          <w:u w:color="000000"/>
          <w:lang w:val="en-US" w:eastAsia="zh-CN"/>
        </w:rPr>
        <w:t>8.54</w:t>
      </w:r>
      <w:r>
        <w:rPr>
          <w:rFonts w:hint="eastAsia" w:ascii="仿宋_GB2312" w:eastAsia="仿宋_GB2312" w:cs="Times New Roman" w:hAnsiTheme="minorEastAsia"/>
          <w:color w:val="auto"/>
          <w:sz w:val="32"/>
          <w:szCs w:val="32"/>
          <w:highlight w:val="none"/>
          <w:u w:color="000000"/>
        </w:rPr>
        <w:t>万元，占比</w:t>
      </w:r>
      <w:r>
        <w:rPr>
          <w:rFonts w:hint="eastAsia" w:ascii="仿宋_GB2312" w:eastAsia="仿宋_GB2312" w:cs="Times New Roman" w:hAnsiTheme="minorEastAsia"/>
          <w:color w:val="auto"/>
          <w:sz w:val="32"/>
          <w:szCs w:val="32"/>
          <w:highlight w:val="none"/>
          <w:u w:color="000000"/>
          <w:lang w:val="en-US" w:eastAsia="zh-CN"/>
        </w:rPr>
        <w:t>0.45</w:t>
      </w:r>
      <w:r>
        <w:rPr>
          <w:rFonts w:hint="eastAsia" w:ascii="仿宋_GB2312" w:eastAsia="仿宋_GB2312" w:cs="Times New Roman" w:hAnsiTheme="minorEastAsia"/>
          <w:color w:val="auto"/>
          <w:sz w:val="32"/>
          <w:szCs w:val="32"/>
          <w:highlight w:val="none"/>
          <w:u w:color="000000"/>
        </w:rPr>
        <w:t>%；</w:t>
      </w:r>
      <w:r>
        <w:rPr>
          <w:rFonts w:hint="eastAsia" w:ascii="仿宋" w:hAnsi="仿宋" w:eastAsia="仿宋" w:cs="DengXian-Regular"/>
          <w:color w:val="auto"/>
          <w:sz w:val="32"/>
          <w:szCs w:val="32"/>
          <w:highlight w:val="none"/>
        </w:rPr>
        <w:t>文化旅游体育与传媒支出</w:t>
      </w:r>
      <w:r>
        <w:rPr>
          <w:rFonts w:hint="eastAsia" w:ascii="仿宋" w:hAnsi="仿宋" w:eastAsia="仿宋" w:cs="DengXian-Regular"/>
          <w:color w:val="auto"/>
          <w:sz w:val="32"/>
          <w:szCs w:val="32"/>
          <w:highlight w:val="none"/>
          <w:lang w:val="en-US" w:eastAsia="zh-CN"/>
        </w:rPr>
        <w:t>14.16</w:t>
      </w:r>
      <w:r>
        <w:rPr>
          <w:rFonts w:hint="eastAsia" w:ascii="仿宋" w:hAnsi="仿宋" w:eastAsia="仿宋" w:cs="DengXian-Regular"/>
          <w:color w:val="auto"/>
          <w:sz w:val="32"/>
          <w:szCs w:val="32"/>
          <w:highlight w:val="none"/>
        </w:rPr>
        <w:t>万元</w:t>
      </w:r>
      <w:r>
        <w:rPr>
          <w:rFonts w:hint="eastAsia" w:ascii="仿宋" w:hAnsi="仿宋" w:eastAsia="仿宋" w:cs="DengXian-Regular"/>
          <w:color w:val="auto"/>
          <w:sz w:val="32"/>
          <w:szCs w:val="32"/>
          <w:highlight w:val="none"/>
          <w:lang w:eastAsia="zh-CN"/>
        </w:rPr>
        <w:t>，占比</w:t>
      </w:r>
      <w:r>
        <w:rPr>
          <w:rFonts w:hint="eastAsia" w:ascii="仿宋" w:hAnsi="仿宋" w:eastAsia="仿宋" w:cs="DengXian-Regular"/>
          <w:color w:val="auto"/>
          <w:sz w:val="32"/>
          <w:szCs w:val="32"/>
          <w:highlight w:val="none"/>
          <w:lang w:val="en-US" w:eastAsia="zh-CN"/>
        </w:rPr>
        <w:t>0.74%；</w:t>
      </w:r>
      <w:r>
        <w:rPr>
          <w:rFonts w:hint="eastAsia" w:ascii="仿宋_GB2312" w:eastAsia="仿宋_GB2312" w:cs="Times New Roman" w:hAnsiTheme="minorEastAsia"/>
          <w:color w:val="auto"/>
          <w:sz w:val="32"/>
          <w:szCs w:val="32"/>
          <w:highlight w:val="none"/>
          <w:u w:color="000000"/>
        </w:rPr>
        <w:t>社会保障和就业支出</w:t>
      </w:r>
      <w:r>
        <w:rPr>
          <w:rFonts w:hint="eastAsia" w:ascii="仿宋_GB2312" w:eastAsia="仿宋_GB2312" w:cs="Times New Roman" w:hAnsiTheme="minorEastAsia"/>
          <w:color w:val="auto"/>
          <w:sz w:val="32"/>
          <w:szCs w:val="32"/>
          <w:highlight w:val="none"/>
          <w:u w:color="000000"/>
          <w:lang w:val="en-US" w:eastAsia="zh-CN"/>
        </w:rPr>
        <w:t>228.92</w:t>
      </w:r>
      <w:r>
        <w:rPr>
          <w:rFonts w:hint="eastAsia" w:ascii="仿宋_GB2312" w:eastAsia="仿宋_GB2312" w:cs="Times New Roman" w:hAnsiTheme="minorEastAsia"/>
          <w:color w:val="auto"/>
          <w:sz w:val="32"/>
          <w:szCs w:val="32"/>
          <w:highlight w:val="none"/>
          <w:u w:color="000000"/>
        </w:rPr>
        <w:t>万元，占比</w:t>
      </w:r>
      <w:r>
        <w:rPr>
          <w:rFonts w:hint="eastAsia" w:ascii="仿宋_GB2312" w:eastAsia="仿宋_GB2312" w:cs="Times New Roman" w:hAnsiTheme="minorEastAsia"/>
          <w:color w:val="auto"/>
          <w:sz w:val="32"/>
          <w:szCs w:val="32"/>
          <w:highlight w:val="none"/>
          <w:u w:color="000000"/>
          <w:lang w:val="en-US" w:eastAsia="zh-CN"/>
        </w:rPr>
        <w:t>11.95</w:t>
      </w:r>
      <w:r>
        <w:rPr>
          <w:rFonts w:hint="eastAsia" w:ascii="仿宋_GB2312" w:eastAsia="仿宋_GB2312" w:cs="Times New Roman" w:hAnsiTheme="minorEastAsia"/>
          <w:color w:val="auto"/>
          <w:sz w:val="32"/>
          <w:szCs w:val="32"/>
          <w:highlight w:val="none"/>
          <w:u w:color="000000"/>
        </w:rPr>
        <w:t>%；医疗卫生与计划教育支出</w:t>
      </w:r>
      <w:r>
        <w:rPr>
          <w:rFonts w:hint="eastAsia" w:ascii="仿宋_GB2312" w:eastAsia="仿宋_GB2312" w:cs="Times New Roman" w:hAnsiTheme="minorEastAsia"/>
          <w:color w:val="auto"/>
          <w:sz w:val="32"/>
          <w:szCs w:val="32"/>
          <w:highlight w:val="none"/>
          <w:u w:color="000000"/>
          <w:lang w:val="en-US" w:eastAsia="zh-CN"/>
        </w:rPr>
        <w:t>44.08</w:t>
      </w:r>
      <w:r>
        <w:rPr>
          <w:rFonts w:hint="eastAsia" w:ascii="仿宋_GB2312" w:eastAsia="仿宋_GB2312" w:cs="Times New Roman" w:hAnsiTheme="minorEastAsia"/>
          <w:color w:val="auto"/>
          <w:sz w:val="32"/>
          <w:szCs w:val="32"/>
          <w:highlight w:val="none"/>
          <w:u w:color="000000"/>
        </w:rPr>
        <w:t>万元，占比</w:t>
      </w:r>
      <w:r>
        <w:rPr>
          <w:rFonts w:hint="eastAsia" w:ascii="仿宋_GB2312" w:eastAsia="仿宋_GB2312" w:cs="Times New Roman" w:hAnsiTheme="minorEastAsia"/>
          <w:color w:val="auto"/>
          <w:sz w:val="32"/>
          <w:szCs w:val="32"/>
          <w:highlight w:val="none"/>
          <w:u w:color="000000"/>
          <w:lang w:val="en-US" w:eastAsia="zh-CN"/>
        </w:rPr>
        <w:t>2.30</w:t>
      </w:r>
      <w:r>
        <w:rPr>
          <w:rFonts w:hint="eastAsia" w:ascii="仿宋_GB2312" w:eastAsia="仿宋_GB2312" w:cs="Times New Roman" w:hAnsiTheme="minorEastAsia"/>
          <w:color w:val="auto"/>
          <w:sz w:val="32"/>
          <w:szCs w:val="32"/>
          <w:highlight w:val="none"/>
          <w:u w:color="000000"/>
        </w:rPr>
        <w:t>%；</w:t>
      </w:r>
      <w:r>
        <w:rPr>
          <w:rFonts w:hint="eastAsia" w:ascii="仿宋" w:hAnsi="仿宋" w:eastAsia="仿宋" w:cs="DengXian-Regular"/>
          <w:color w:val="auto"/>
          <w:sz w:val="32"/>
          <w:szCs w:val="32"/>
          <w:highlight w:val="none"/>
        </w:rPr>
        <w:t>节能环保支出</w:t>
      </w:r>
      <w:r>
        <w:rPr>
          <w:rFonts w:hint="eastAsia" w:ascii="仿宋" w:hAnsi="仿宋" w:eastAsia="仿宋" w:cs="DengXian-Regular"/>
          <w:color w:val="auto"/>
          <w:sz w:val="32"/>
          <w:szCs w:val="32"/>
          <w:highlight w:val="none"/>
          <w:lang w:val="en-US" w:eastAsia="zh-CN"/>
        </w:rPr>
        <w:t>33.25</w:t>
      </w:r>
      <w:r>
        <w:rPr>
          <w:rFonts w:hint="eastAsia" w:ascii="仿宋" w:hAnsi="仿宋" w:eastAsia="仿宋" w:cs="DengXian-Regular"/>
          <w:color w:val="auto"/>
          <w:sz w:val="32"/>
          <w:szCs w:val="32"/>
          <w:highlight w:val="none"/>
        </w:rPr>
        <w:t>万元，</w:t>
      </w:r>
      <w:r>
        <w:rPr>
          <w:rFonts w:hint="eastAsia" w:ascii="仿宋" w:hAnsi="仿宋" w:eastAsia="仿宋" w:cs="DengXian-Regular"/>
          <w:color w:val="auto"/>
          <w:sz w:val="32"/>
          <w:szCs w:val="32"/>
          <w:highlight w:val="none"/>
          <w:lang w:eastAsia="zh-CN"/>
        </w:rPr>
        <w:t>占比</w:t>
      </w:r>
      <w:r>
        <w:rPr>
          <w:rFonts w:hint="eastAsia" w:ascii="仿宋" w:hAnsi="仿宋" w:eastAsia="仿宋" w:cs="DengXian-Regular"/>
          <w:color w:val="auto"/>
          <w:sz w:val="32"/>
          <w:szCs w:val="32"/>
          <w:highlight w:val="none"/>
          <w:lang w:val="en-US" w:eastAsia="zh-CN"/>
        </w:rPr>
        <w:t>1.74%；</w:t>
      </w:r>
      <w:r>
        <w:rPr>
          <w:rFonts w:hint="eastAsia" w:ascii="仿宋" w:hAnsi="仿宋" w:eastAsia="仿宋" w:cs="DengXian-Regular"/>
          <w:color w:val="auto"/>
          <w:sz w:val="32"/>
          <w:szCs w:val="32"/>
          <w:highlight w:val="none"/>
        </w:rPr>
        <w:t>城乡社区支出</w:t>
      </w:r>
      <w:r>
        <w:rPr>
          <w:rFonts w:hint="eastAsia" w:ascii="仿宋" w:hAnsi="仿宋" w:eastAsia="仿宋" w:cs="DengXian-Regular"/>
          <w:color w:val="auto"/>
          <w:sz w:val="32"/>
          <w:szCs w:val="32"/>
          <w:highlight w:val="none"/>
          <w:lang w:val="en-US" w:eastAsia="zh-CN"/>
        </w:rPr>
        <w:t>71.52</w:t>
      </w:r>
      <w:r>
        <w:rPr>
          <w:rFonts w:hint="eastAsia" w:ascii="仿宋" w:hAnsi="仿宋" w:eastAsia="仿宋" w:cs="DengXian-Regular"/>
          <w:color w:val="auto"/>
          <w:sz w:val="32"/>
          <w:szCs w:val="32"/>
          <w:highlight w:val="none"/>
        </w:rPr>
        <w:t>万元</w:t>
      </w:r>
      <w:r>
        <w:rPr>
          <w:rFonts w:hint="eastAsia" w:ascii="仿宋" w:hAnsi="仿宋" w:eastAsia="仿宋" w:cs="DengXian-Regular"/>
          <w:color w:val="auto"/>
          <w:sz w:val="32"/>
          <w:szCs w:val="32"/>
          <w:highlight w:val="none"/>
          <w:lang w:eastAsia="zh-CN"/>
        </w:rPr>
        <w:t>，占比</w:t>
      </w:r>
      <w:r>
        <w:rPr>
          <w:rFonts w:hint="eastAsia" w:ascii="仿宋" w:hAnsi="仿宋" w:eastAsia="仿宋" w:cs="DengXian-Regular"/>
          <w:color w:val="auto"/>
          <w:sz w:val="32"/>
          <w:szCs w:val="32"/>
          <w:highlight w:val="none"/>
          <w:lang w:val="en-US" w:eastAsia="zh-CN"/>
        </w:rPr>
        <w:t>3.73%；</w:t>
      </w:r>
      <w:r>
        <w:rPr>
          <w:rFonts w:hint="eastAsia" w:ascii="仿宋" w:hAnsi="仿宋" w:eastAsia="仿宋" w:cs="DengXian-Regular"/>
          <w:color w:val="auto"/>
          <w:sz w:val="32"/>
          <w:szCs w:val="32"/>
          <w:highlight w:val="none"/>
        </w:rPr>
        <w:t>农林水支出</w:t>
      </w:r>
      <w:r>
        <w:rPr>
          <w:rFonts w:hint="eastAsia" w:ascii="仿宋" w:hAnsi="仿宋" w:eastAsia="仿宋" w:cs="DengXian-Regular"/>
          <w:color w:val="auto"/>
          <w:sz w:val="32"/>
          <w:szCs w:val="32"/>
          <w:highlight w:val="none"/>
          <w:lang w:val="en-US" w:eastAsia="zh-CN"/>
        </w:rPr>
        <w:t>376.44</w:t>
      </w:r>
      <w:r>
        <w:rPr>
          <w:rFonts w:hint="eastAsia" w:ascii="仿宋" w:hAnsi="仿宋" w:eastAsia="仿宋" w:cs="DengXian-Regular"/>
          <w:color w:val="auto"/>
          <w:sz w:val="32"/>
          <w:szCs w:val="32"/>
          <w:highlight w:val="none"/>
        </w:rPr>
        <w:t>万元，</w:t>
      </w:r>
      <w:r>
        <w:rPr>
          <w:rFonts w:hint="eastAsia" w:ascii="仿宋" w:hAnsi="仿宋" w:eastAsia="仿宋" w:cs="DengXian-Regular"/>
          <w:color w:val="auto"/>
          <w:sz w:val="32"/>
          <w:szCs w:val="32"/>
          <w:highlight w:val="none"/>
          <w:lang w:eastAsia="zh-CN"/>
        </w:rPr>
        <w:t>占比</w:t>
      </w:r>
      <w:r>
        <w:rPr>
          <w:rFonts w:hint="eastAsia" w:ascii="仿宋" w:hAnsi="仿宋" w:eastAsia="仿宋" w:cs="DengXian-Regular"/>
          <w:color w:val="auto"/>
          <w:sz w:val="32"/>
          <w:szCs w:val="32"/>
          <w:highlight w:val="none"/>
          <w:lang w:val="en-US" w:eastAsia="zh-CN"/>
        </w:rPr>
        <w:t>19.64%，</w:t>
      </w:r>
      <w:r>
        <w:rPr>
          <w:rFonts w:hint="eastAsia" w:ascii="仿宋" w:hAnsi="仿宋" w:eastAsia="仿宋" w:cs="DengXian-Regular"/>
          <w:color w:val="auto"/>
          <w:sz w:val="32"/>
          <w:szCs w:val="32"/>
          <w:highlight w:val="none"/>
        </w:rPr>
        <w:t>交通运输支出</w:t>
      </w:r>
      <w:r>
        <w:rPr>
          <w:rFonts w:hint="eastAsia" w:ascii="仿宋" w:hAnsi="仿宋" w:eastAsia="仿宋" w:cs="DengXian-Regular"/>
          <w:color w:val="auto"/>
          <w:sz w:val="32"/>
          <w:szCs w:val="32"/>
          <w:highlight w:val="none"/>
          <w:lang w:val="en-US" w:eastAsia="zh-CN"/>
        </w:rPr>
        <w:t>10.76</w:t>
      </w:r>
      <w:r>
        <w:rPr>
          <w:rFonts w:hint="eastAsia" w:ascii="仿宋" w:hAnsi="仿宋" w:eastAsia="仿宋" w:cs="DengXian-Regular"/>
          <w:color w:val="auto"/>
          <w:sz w:val="32"/>
          <w:szCs w:val="32"/>
          <w:highlight w:val="none"/>
        </w:rPr>
        <w:t>万元</w:t>
      </w:r>
      <w:r>
        <w:rPr>
          <w:rFonts w:hint="eastAsia" w:ascii="仿宋" w:hAnsi="仿宋" w:eastAsia="仿宋" w:cs="DengXian-Regular"/>
          <w:color w:val="auto"/>
          <w:sz w:val="32"/>
          <w:szCs w:val="32"/>
          <w:highlight w:val="none"/>
          <w:lang w:eastAsia="zh-CN"/>
        </w:rPr>
        <w:t>，占比</w:t>
      </w:r>
      <w:r>
        <w:rPr>
          <w:rFonts w:hint="eastAsia" w:ascii="仿宋" w:hAnsi="仿宋" w:eastAsia="仿宋" w:cs="DengXian-Regular"/>
          <w:color w:val="auto"/>
          <w:sz w:val="32"/>
          <w:szCs w:val="32"/>
          <w:highlight w:val="none"/>
          <w:lang w:val="en-US" w:eastAsia="zh-CN"/>
        </w:rPr>
        <w:t>0.56%；</w:t>
      </w:r>
      <w:r>
        <w:rPr>
          <w:rFonts w:hint="eastAsia" w:ascii="仿宋_GB2312" w:eastAsia="仿宋_GB2312" w:cs="Times New Roman" w:hAnsiTheme="minorEastAsia"/>
          <w:color w:val="auto"/>
          <w:sz w:val="32"/>
          <w:szCs w:val="32"/>
          <w:highlight w:val="none"/>
          <w:u w:color="000000"/>
        </w:rPr>
        <w:t>住房保障支出</w:t>
      </w:r>
      <w:r>
        <w:rPr>
          <w:rFonts w:hint="eastAsia" w:ascii="仿宋_GB2312" w:eastAsia="仿宋_GB2312" w:cs="Times New Roman" w:hAnsiTheme="minorEastAsia"/>
          <w:color w:val="auto"/>
          <w:sz w:val="32"/>
          <w:szCs w:val="32"/>
          <w:highlight w:val="none"/>
          <w:u w:color="000000"/>
          <w:lang w:val="en-US" w:eastAsia="zh-CN"/>
        </w:rPr>
        <w:t>73.49</w:t>
      </w:r>
      <w:r>
        <w:rPr>
          <w:rFonts w:hint="eastAsia" w:ascii="仿宋_GB2312" w:eastAsia="仿宋_GB2312" w:cs="Times New Roman" w:hAnsiTheme="minorEastAsia"/>
          <w:color w:val="auto"/>
          <w:sz w:val="32"/>
          <w:szCs w:val="32"/>
          <w:highlight w:val="none"/>
          <w:u w:color="000000"/>
        </w:rPr>
        <w:t>万元，占比</w:t>
      </w:r>
      <w:r>
        <w:rPr>
          <w:rFonts w:hint="eastAsia" w:ascii="仿宋_GB2312" w:eastAsia="仿宋_GB2312" w:cs="Times New Roman" w:hAnsiTheme="minorEastAsia"/>
          <w:color w:val="auto"/>
          <w:sz w:val="32"/>
          <w:szCs w:val="32"/>
          <w:highlight w:val="none"/>
          <w:u w:color="000000"/>
          <w:lang w:val="en-US" w:eastAsia="zh-CN"/>
        </w:rPr>
        <w:t>3.84</w:t>
      </w:r>
      <w:r>
        <w:rPr>
          <w:rFonts w:hint="eastAsia" w:ascii="仿宋_GB2312" w:eastAsia="仿宋_GB2312" w:cs="Times New Roman" w:hAnsiTheme="minorEastAsia"/>
          <w:color w:val="auto"/>
          <w:sz w:val="32"/>
          <w:szCs w:val="32"/>
          <w:highlight w:val="none"/>
          <w:u w:color="000000"/>
        </w:rPr>
        <w:t>%</w:t>
      </w:r>
      <w:r>
        <w:rPr>
          <w:rFonts w:hint="eastAsia" w:ascii="仿宋_GB2312" w:eastAsia="仿宋_GB2312" w:cs="Times New Roman" w:hAnsiTheme="minorEastAsia"/>
          <w:color w:val="auto"/>
          <w:sz w:val="32"/>
          <w:szCs w:val="32"/>
          <w:highlight w:val="none"/>
          <w:u w:color="000000"/>
          <w:lang w:eastAsia="zh-CN"/>
        </w:rPr>
        <w:t>；</w:t>
      </w:r>
      <w:r>
        <w:rPr>
          <w:rFonts w:hint="eastAsia" w:ascii="仿宋" w:hAnsi="仿宋" w:eastAsia="仿宋" w:cs="DengXian-Regular"/>
          <w:color w:val="auto"/>
          <w:sz w:val="32"/>
          <w:szCs w:val="32"/>
          <w:highlight w:val="none"/>
        </w:rPr>
        <w:t>灾害防治及应急管理支出</w:t>
      </w:r>
      <w:r>
        <w:rPr>
          <w:rFonts w:ascii="仿宋" w:hAnsi="仿宋" w:eastAsia="仿宋" w:cs="DengXian-Regular"/>
          <w:color w:val="auto"/>
          <w:sz w:val="32"/>
          <w:szCs w:val="32"/>
          <w:highlight w:val="none"/>
        </w:rPr>
        <w:t>2.0</w:t>
      </w:r>
      <w:r>
        <w:rPr>
          <w:rFonts w:hint="eastAsia" w:ascii="仿宋" w:hAnsi="仿宋" w:eastAsia="仿宋" w:cs="DengXian-Regular"/>
          <w:color w:val="auto"/>
          <w:sz w:val="32"/>
          <w:szCs w:val="32"/>
          <w:highlight w:val="none"/>
          <w:lang w:val="en-US" w:eastAsia="zh-CN"/>
        </w:rPr>
        <w:t>8</w:t>
      </w:r>
      <w:r>
        <w:rPr>
          <w:rFonts w:hint="eastAsia" w:ascii="仿宋" w:hAnsi="仿宋" w:eastAsia="仿宋" w:cs="DengXian-Regular"/>
          <w:color w:val="auto"/>
          <w:sz w:val="32"/>
          <w:szCs w:val="32"/>
          <w:highlight w:val="none"/>
        </w:rPr>
        <w:t>万元</w:t>
      </w:r>
      <w:r>
        <w:rPr>
          <w:rFonts w:hint="eastAsia" w:ascii="仿宋" w:hAnsi="仿宋" w:eastAsia="仿宋" w:cs="DengXian-Regular"/>
          <w:color w:val="auto"/>
          <w:sz w:val="32"/>
          <w:szCs w:val="32"/>
          <w:highlight w:val="none"/>
          <w:lang w:eastAsia="zh-CN"/>
        </w:rPr>
        <w:t>，占比</w:t>
      </w:r>
      <w:r>
        <w:rPr>
          <w:rFonts w:hint="eastAsia" w:ascii="仿宋" w:hAnsi="仿宋" w:eastAsia="仿宋" w:cs="DengXian-Regular"/>
          <w:color w:val="auto"/>
          <w:sz w:val="32"/>
          <w:szCs w:val="32"/>
          <w:highlight w:val="none"/>
          <w:lang w:val="en-US" w:eastAsia="zh-CN"/>
        </w:rPr>
        <w:t>0.11%</w:t>
      </w:r>
      <w:r>
        <w:rPr>
          <w:rFonts w:hint="eastAsia" w:ascii="仿宋_GB2312" w:eastAsia="仿宋_GB2312" w:cs="Times New Roman" w:hAnsiTheme="minorEastAsia"/>
          <w:color w:val="auto"/>
          <w:sz w:val="32"/>
          <w:szCs w:val="32"/>
          <w:highlight w:val="none"/>
          <w:u w:color="000000"/>
        </w:rPr>
        <w:t>。具体决算支出详见附件2。</w:t>
      </w:r>
    </w:p>
    <w:p w14:paraId="458CECDE">
      <w:pPr>
        <w:spacing w:after="0" w:line="360" w:lineRule="auto"/>
        <w:ind w:firstLine="640" w:firstLineChars="200"/>
        <w:jc w:val="both"/>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决算支出结构如图3。</w:t>
      </w:r>
    </w:p>
    <w:p w14:paraId="0977FC3D">
      <w:pPr>
        <w:spacing w:after="0" w:line="360" w:lineRule="auto"/>
        <w:jc w:val="center"/>
        <w:rPr>
          <w:rFonts w:ascii="仿宋_GB2312" w:eastAsia="仿宋_GB2312" w:cs="Times New Roman" w:hAnsiTheme="minorEastAsia"/>
          <w:color w:val="auto"/>
          <w:sz w:val="32"/>
          <w:szCs w:val="32"/>
          <w:highlight w:val="yellow"/>
          <w:u w:color="000000"/>
        </w:rPr>
      </w:pPr>
      <w:r>
        <w:rPr>
          <w:rFonts w:hint="eastAsia" w:asciiTheme="minorEastAsia" w:hAnsiTheme="minorEastAsia" w:eastAsiaTheme="minorEastAsia" w:cstheme="minorEastAsia"/>
          <w:b/>
          <w:bCs/>
          <w:color w:val="auto"/>
          <w:sz w:val="32"/>
          <w:szCs w:val="32"/>
          <w:highlight w:val="none"/>
          <w:u w:color="000000"/>
        </w:rPr>
        <w:t>图3  202</w:t>
      </w:r>
      <w:r>
        <w:rPr>
          <w:rFonts w:hint="default" w:asciiTheme="minorEastAsia" w:hAnsiTheme="minorEastAsia" w:eastAsiaTheme="minorEastAsia" w:cstheme="minorEastAsia"/>
          <w:b/>
          <w:bCs/>
          <w:color w:val="auto"/>
          <w:sz w:val="32"/>
          <w:szCs w:val="32"/>
          <w:highlight w:val="none"/>
          <w:u w:color="000000"/>
          <w:lang w:val="en-US"/>
        </w:rPr>
        <w:t>1</w:t>
      </w:r>
      <w:r>
        <w:rPr>
          <w:rFonts w:hint="eastAsia" w:asciiTheme="minorEastAsia" w:hAnsiTheme="minorEastAsia" w:eastAsiaTheme="minorEastAsia" w:cstheme="minorEastAsia"/>
          <w:b/>
          <w:bCs/>
          <w:color w:val="auto"/>
          <w:sz w:val="32"/>
          <w:szCs w:val="32"/>
          <w:highlight w:val="none"/>
          <w:u w:color="000000"/>
        </w:rPr>
        <w:t>年度区</w:t>
      </w:r>
      <w:r>
        <w:rPr>
          <w:rFonts w:hint="eastAsia" w:asciiTheme="minorEastAsia" w:hAnsiTheme="minorEastAsia" w:eastAsiaTheme="minorEastAsia" w:cstheme="minorEastAsia"/>
          <w:b/>
          <w:bCs/>
          <w:color w:val="auto"/>
          <w:sz w:val="32"/>
          <w:szCs w:val="32"/>
          <w:highlight w:val="none"/>
          <w:u w:color="000000"/>
          <w:lang w:eastAsia="zh-CN"/>
        </w:rPr>
        <w:t>漕河镇人民政府</w:t>
      </w:r>
      <w:r>
        <w:rPr>
          <w:rFonts w:hint="eastAsia" w:asciiTheme="minorEastAsia" w:hAnsiTheme="minorEastAsia" w:eastAsiaTheme="minorEastAsia" w:cstheme="minorEastAsia"/>
          <w:b/>
          <w:bCs/>
          <w:color w:val="auto"/>
          <w:sz w:val="32"/>
          <w:szCs w:val="32"/>
          <w:highlight w:val="none"/>
          <w:u w:color="000000"/>
        </w:rPr>
        <w:t>决算支出结构图</w:t>
      </w:r>
      <w:r>
        <w:drawing>
          <wp:inline distT="0" distB="0" distL="114300" distR="114300">
            <wp:extent cx="5276215" cy="3556635"/>
            <wp:effectExtent l="4445" t="4445" r="15240" b="2032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C69833">
      <w:pPr>
        <w:spacing w:after="0" w:line="360" w:lineRule="auto"/>
        <w:ind w:firstLine="640" w:firstLineChars="200"/>
        <w:jc w:val="both"/>
        <w:rPr>
          <w:rFonts w:hint="eastAsia" w:ascii="仿宋" w:hAnsi="仿宋" w:eastAsia="仿宋"/>
          <w:snapToGrid w:val="0"/>
          <w:color w:val="auto"/>
          <w:sz w:val="32"/>
          <w:szCs w:val="32"/>
          <w:highlight w:val="none"/>
        </w:rPr>
      </w:pPr>
      <w:r>
        <w:rPr>
          <w:rFonts w:hint="eastAsia" w:ascii="仿宋_GB2312" w:eastAsia="仿宋_GB2312" w:cs="DengXian-Regular"/>
          <w:color w:val="auto"/>
          <w:sz w:val="32"/>
          <w:szCs w:val="32"/>
          <w:highlight w:val="none"/>
        </w:rPr>
        <w:t>财政拨款决算支出比年初预算增加</w:t>
      </w:r>
      <w:r>
        <w:rPr>
          <w:rFonts w:hint="eastAsia" w:ascii="仿宋_GB2312" w:eastAsia="仿宋_GB2312" w:cs="DengXian-Regular"/>
          <w:color w:val="auto"/>
          <w:sz w:val="32"/>
          <w:szCs w:val="32"/>
          <w:highlight w:val="none"/>
          <w:lang w:val="en-US" w:eastAsia="zh-CN"/>
        </w:rPr>
        <w:t>125.45</w:t>
      </w:r>
      <w:r>
        <w:rPr>
          <w:rFonts w:hint="eastAsia" w:ascii="仿宋_GB2312" w:eastAsia="仿宋_GB2312" w:cs="DengXian-Regular"/>
          <w:color w:val="auto"/>
          <w:sz w:val="32"/>
          <w:szCs w:val="32"/>
          <w:highlight w:val="none"/>
        </w:rPr>
        <w:t>万元。决算支出完成年初预算的</w:t>
      </w:r>
      <w:r>
        <w:rPr>
          <w:rFonts w:hint="eastAsia" w:ascii="仿宋_GB2312" w:eastAsia="仿宋_GB2312" w:cs="DengXian-Regular"/>
          <w:color w:val="auto"/>
          <w:sz w:val="32"/>
          <w:szCs w:val="32"/>
          <w:highlight w:val="none"/>
          <w:lang w:val="en-US" w:eastAsia="zh-CN"/>
        </w:rPr>
        <w:t>107.01</w:t>
      </w:r>
      <w:r>
        <w:rPr>
          <w:rFonts w:hint="eastAsia" w:ascii="仿宋_GB2312" w:eastAsia="仿宋_GB2312" w:cs="DengXian-Regular"/>
          <w:color w:val="auto"/>
          <w:sz w:val="32"/>
          <w:szCs w:val="32"/>
          <w:highlight w:val="none"/>
        </w:rPr>
        <w:t>%。</w:t>
      </w:r>
      <w:r>
        <w:rPr>
          <w:rFonts w:hint="eastAsia" w:ascii="仿宋_GB2312" w:eastAsia="仿宋_GB2312" w:cs="Times New Roman" w:hAnsiTheme="minorEastAsia"/>
          <w:color w:val="auto"/>
          <w:sz w:val="32"/>
          <w:szCs w:val="32"/>
          <w:highlight w:val="none"/>
          <w:u w:color="000000"/>
        </w:rPr>
        <w:t>决算支出大于（小于）预算支出的</w:t>
      </w:r>
      <w:r>
        <w:rPr>
          <w:rFonts w:hint="eastAsia" w:ascii="仿宋_GB2312" w:eastAsia="仿宋_GB2312" w:cs="DengXian-Regular"/>
          <w:color w:val="auto"/>
          <w:sz w:val="32"/>
          <w:szCs w:val="32"/>
          <w:highlight w:val="none"/>
        </w:rPr>
        <w:t>主要原因</w:t>
      </w:r>
      <w:r>
        <w:rPr>
          <w:rFonts w:hint="eastAsia" w:ascii="仿宋_GB2312" w:eastAsia="仿宋_GB2312" w:cs="DengXian-Regular"/>
          <w:color w:val="auto"/>
          <w:sz w:val="32"/>
          <w:szCs w:val="32"/>
          <w:highlight w:val="none"/>
          <w:lang w:eastAsia="zh-CN"/>
        </w:rPr>
        <w:t>低氮锅炉改造、</w:t>
      </w:r>
      <w:r>
        <w:rPr>
          <w:rFonts w:ascii="??_GB2312" w:eastAsia="Times New Roman" w:cs="DengXian-Regular"/>
          <w:color w:val="auto"/>
          <w:sz w:val="32"/>
          <w:szCs w:val="32"/>
          <w:highlight w:val="none"/>
        </w:rPr>
        <w:t>新增</w:t>
      </w:r>
      <w:r>
        <w:rPr>
          <w:rFonts w:hint="eastAsia" w:ascii="??_GB2312" w:eastAsia="宋体" w:cs="DengXian-Regular"/>
          <w:color w:val="auto"/>
          <w:sz w:val="32"/>
          <w:szCs w:val="32"/>
          <w:highlight w:val="none"/>
          <w:lang w:eastAsia="zh-CN"/>
        </w:rPr>
        <w:t>清真寺改造和乡村振兴工作组经费等</w:t>
      </w:r>
      <w:r>
        <w:rPr>
          <w:rFonts w:ascii="??_GB2312" w:eastAsia="Times New Roman" w:cs="DengXian-Regular"/>
          <w:color w:val="auto"/>
          <w:sz w:val="32"/>
          <w:szCs w:val="32"/>
          <w:highlight w:val="none"/>
        </w:rPr>
        <w:t>项目</w:t>
      </w:r>
      <w:r>
        <w:rPr>
          <w:rFonts w:hint="eastAsia" w:ascii="仿宋" w:hAnsi="仿宋" w:eastAsia="仿宋"/>
          <w:snapToGrid w:val="0"/>
          <w:color w:val="auto"/>
          <w:sz w:val="32"/>
          <w:szCs w:val="32"/>
          <w:highlight w:val="none"/>
        </w:rPr>
        <w:t>。</w:t>
      </w:r>
    </w:p>
    <w:p w14:paraId="47C7D908">
      <w:pPr>
        <w:spacing w:after="0" w:line="360" w:lineRule="auto"/>
        <w:ind w:firstLine="640" w:firstLineChars="200"/>
        <w:jc w:val="both"/>
        <w:rPr>
          <w:rFonts w:ascii="仿宋" w:hAnsi="仿宋" w:eastAsia="仿宋"/>
          <w:snapToGrid w:val="0"/>
          <w:color w:val="auto"/>
          <w:sz w:val="32"/>
          <w:szCs w:val="32"/>
          <w:highlight w:val="none"/>
        </w:rPr>
      </w:pPr>
      <w:r>
        <w:rPr>
          <w:rFonts w:hint="eastAsia" w:ascii="仿宋" w:hAnsi="仿宋" w:eastAsia="仿宋"/>
          <w:snapToGrid w:val="0"/>
          <w:color w:val="auto"/>
          <w:sz w:val="32"/>
          <w:szCs w:val="32"/>
          <w:highlight w:val="none"/>
        </w:rPr>
        <w:t>预算支出与决算支出对比情况如图4。</w:t>
      </w:r>
    </w:p>
    <w:p w14:paraId="173D3C6A">
      <w:pPr>
        <w:spacing w:after="0"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图4  202</w:t>
      </w:r>
      <w:r>
        <w:rPr>
          <w:rFonts w:hint="default" w:asciiTheme="minorEastAsia" w:hAnsiTheme="minorEastAsia" w:eastAsiaTheme="minorEastAsia" w:cstheme="minorEastAsia"/>
          <w:b/>
          <w:bCs/>
          <w:color w:val="auto"/>
          <w:sz w:val="32"/>
          <w:szCs w:val="32"/>
          <w:highlight w:val="none"/>
          <w:lang w:val="en-US"/>
        </w:rPr>
        <w:t>1</w:t>
      </w:r>
      <w:r>
        <w:rPr>
          <w:rFonts w:hint="eastAsia" w:asciiTheme="minorEastAsia" w:hAnsiTheme="minorEastAsia" w:eastAsiaTheme="minorEastAsia" w:cstheme="minorEastAsia"/>
          <w:b/>
          <w:bCs/>
          <w:color w:val="auto"/>
          <w:sz w:val="32"/>
          <w:szCs w:val="32"/>
          <w:highlight w:val="none"/>
        </w:rPr>
        <w:t>年度区</w:t>
      </w:r>
      <w:r>
        <w:rPr>
          <w:rFonts w:hint="eastAsia" w:asciiTheme="minorEastAsia" w:hAnsiTheme="minorEastAsia" w:eastAsiaTheme="minorEastAsia" w:cstheme="minorEastAsia"/>
          <w:b/>
          <w:bCs/>
          <w:color w:val="auto"/>
          <w:sz w:val="32"/>
          <w:szCs w:val="32"/>
          <w:highlight w:val="none"/>
          <w:lang w:eastAsia="zh-CN"/>
        </w:rPr>
        <w:t>漕河镇人民政府</w:t>
      </w:r>
      <w:r>
        <w:rPr>
          <w:rFonts w:hint="eastAsia" w:asciiTheme="minorEastAsia" w:hAnsiTheme="minorEastAsia" w:eastAsiaTheme="minorEastAsia" w:cstheme="minorEastAsia"/>
          <w:b/>
          <w:bCs/>
          <w:color w:val="auto"/>
          <w:sz w:val="32"/>
          <w:szCs w:val="32"/>
          <w:highlight w:val="none"/>
        </w:rPr>
        <w:t>预算支出与决算支出</w:t>
      </w:r>
    </w:p>
    <w:p w14:paraId="4720D7FE">
      <w:pPr>
        <w:spacing w:after="0"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对比图</w:t>
      </w:r>
    </w:p>
    <w:p w14:paraId="4E2AA379">
      <w:pPr>
        <w:spacing w:after="0" w:line="360" w:lineRule="auto"/>
        <w:jc w:val="center"/>
        <w:rPr>
          <w:rFonts w:hint="eastAsia" w:asciiTheme="minorEastAsia" w:hAnsiTheme="minorEastAsia" w:eastAsiaTheme="minorEastAsia" w:cstheme="minorEastAsia"/>
          <w:b/>
          <w:bCs/>
          <w:color w:val="auto"/>
          <w:sz w:val="32"/>
          <w:szCs w:val="32"/>
          <w:highlight w:val="none"/>
        </w:rPr>
      </w:pPr>
      <w:r>
        <w:drawing>
          <wp:inline distT="0" distB="0" distL="114300" distR="114300">
            <wp:extent cx="5274310" cy="5822950"/>
            <wp:effectExtent l="4445" t="4445" r="17145" b="20955"/>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8E90E4">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年实际项目支出</w:t>
      </w:r>
      <w:r>
        <w:rPr>
          <w:rFonts w:hint="eastAsia" w:ascii="仿宋_GB2312" w:eastAsia="仿宋_GB2312" w:cs="DengXian-Regular"/>
          <w:color w:val="auto"/>
          <w:sz w:val="32"/>
          <w:szCs w:val="32"/>
          <w:highlight w:val="none"/>
          <w:lang w:val="en-US" w:eastAsia="zh-CN"/>
        </w:rPr>
        <w:t>550.08</w:t>
      </w:r>
      <w:r>
        <w:rPr>
          <w:rFonts w:hint="eastAsia" w:ascii="仿宋_GB2312" w:eastAsia="仿宋_GB2312" w:cs="DengXian-Regular"/>
          <w:color w:val="auto"/>
          <w:sz w:val="32"/>
          <w:szCs w:val="32"/>
          <w:highlight w:val="none"/>
        </w:rPr>
        <w:t>万元，决算报表中项目支出</w:t>
      </w:r>
      <w:r>
        <w:rPr>
          <w:rFonts w:hint="eastAsia" w:ascii="仿宋_GB2312" w:eastAsia="仿宋_GB2312" w:cs="DengXian-Regular"/>
          <w:color w:val="auto"/>
          <w:sz w:val="32"/>
          <w:szCs w:val="32"/>
          <w:highlight w:val="none"/>
          <w:lang w:val="en-US" w:eastAsia="zh-CN"/>
        </w:rPr>
        <w:t>550.08</w:t>
      </w:r>
      <w:r>
        <w:rPr>
          <w:rFonts w:hint="eastAsia" w:ascii="仿宋_GB2312" w:eastAsia="仿宋_GB2312" w:cs="DengXian-Regular"/>
          <w:color w:val="auto"/>
          <w:sz w:val="32"/>
          <w:szCs w:val="32"/>
          <w:highlight w:val="none"/>
        </w:rPr>
        <w:t>万元，实际支出与决算报表差</w:t>
      </w:r>
      <w:r>
        <w:rPr>
          <w:rFonts w:hint="eastAsia" w:ascii="仿宋_GB2312" w:eastAsia="仿宋_GB2312" w:cs="DengXian-Regular"/>
          <w:color w:val="auto"/>
          <w:sz w:val="32"/>
          <w:szCs w:val="32"/>
          <w:highlight w:val="none"/>
          <w:lang w:val="en-US" w:eastAsia="zh-CN"/>
        </w:rPr>
        <w:t>0</w:t>
      </w:r>
      <w:r>
        <w:rPr>
          <w:rFonts w:hint="eastAsia" w:ascii="仿宋_GB2312" w:eastAsia="仿宋_GB2312" w:cs="DengXian-Regular"/>
          <w:color w:val="auto"/>
          <w:sz w:val="32"/>
          <w:szCs w:val="32"/>
          <w:highlight w:val="none"/>
        </w:rPr>
        <w:t>万元。</w:t>
      </w:r>
    </w:p>
    <w:p w14:paraId="3374DDF4">
      <w:pPr>
        <w:pStyle w:val="4"/>
        <w:spacing w:before="0" w:after="0"/>
        <w:ind w:firstLine="643" w:firstLineChars="200"/>
        <w:jc w:val="both"/>
        <w:rPr>
          <w:rFonts w:ascii="仿宋_GB2312" w:hAnsi="Tahoma" w:cs="DengXian-Regular"/>
          <w:color w:val="auto"/>
          <w:sz w:val="32"/>
          <w:highlight w:val="none"/>
        </w:rPr>
      </w:pPr>
      <w:bookmarkStart w:id="13" w:name="_Toc492652769"/>
      <w:bookmarkStart w:id="14" w:name="_Toc19291"/>
      <w:bookmarkStart w:id="15" w:name="_Toc465149503"/>
      <w:r>
        <w:rPr>
          <w:rFonts w:hint="eastAsia" w:ascii="仿宋_GB2312" w:hAnsi="Tahoma" w:cs="DengXian-Regular"/>
          <w:color w:val="auto"/>
          <w:sz w:val="32"/>
          <w:highlight w:val="none"/>
        </w:rPr>
        <w:t>（五）“三公”经费预算安排及支出情况</w:t>
      </w:r>
      <w:bookmarkEnd w:id="13"/>
      <w:bookmarkEnd w:id="14"/>
      <w:bookmarkEnd w:id="15"/>
    </w:p>
    <w:p w14:paraId="25361A33">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“三公”经费预算</w:t>
      </w:r>
      <w:r>
        <w:rPr>
          <w:rFonts w:hint="eastAsia" w:ascii="仿宋_GB2312" w:eastAsia="仿宋_GB2312" w:cs="DengXian-Regular"/>
          <w:color w:val="auto"/>
          <w:sz w:val="32"/>
          <w:szCs w:val="32"/>
          <w:highlight w:val="none"/>
          <w:lang w:val="en-US" w:eastAsia="zh-CN"/>
        </w:rPr>
        <w:t>24</w:t>
      </w:r>
      <w:r>
        <w:rPr>
          <w:rFonts w:hint="eastAsia" w:ascii="仿宋_GB2312" w:eastAsia="仿宋_GB2312" w:cs="DengXian-Regular"/>
          <w:color w:val="auto"/>
          <w:sz w:val="32"/>
          <w:szCs w:val="32"/>
          <w:highlight w:val="none"/>
        </w:rPr>
        <w:t>万元（公务用车运行维护费</w:t>
      </w:r>
      <w:r>
        <w:rPr>
          <w:rFonts w:hint="eastAsia" w:ascii="仿宋_GB2312" w:eastAsia="仿宋_GB2312" w:cs="DengXian-Regular"/>
          <w:color w:val="auto"/>
          <w:sz w:val="32"/>
          <w:szCs w:val="32"/>
          <w:highlight w:val="none"/>
          <w:lang w:val="en-US" w:eastAsia="zh-CN"/>
        </w:rPr>
        <w:t>13</w:t>
      </w:r>
      <w:r>
        <w:rPr>
          <w:rFonts w:hint="eastAsia" w:ascii="仿宋_GB2312" w:eastAsia="仿宋_GB2312" w:cs="DengXian-Regular"/>
          <w:color w:val="auto"/>
          <w:sz w:val="32"/>
          <w:szCs w:val="32"/>
          <w:highlight w:val="none"/>
        </w:rPr>
        <w:t>万元，公务接待费</w:t>
      </w:r>
      <w:r>
        <w:rPr>
          <w:rFonts w:hint="eastAsia" w:ascii="仿宋_GB2312" w:eastAsia="仿宋_GB2312" w:cs="DengXian-Regular"/>
          <w:color w:val="auto"/>
          <w:sz w:val="32"/>
          <w:szCs w:val="32"/>
          <w:highlight w:val="none"/>
          <w:lang w:val="en-US" w:eastAsia="zh-CN"/>
        </w:rPr>
        <w:t>11</w:t>
      </w:r>
      <w:r>
        <w:rPr>
          <w:rFonts w:hint="eastAsia" w:ascii="仿宋_GB2312" w:eastAsia="仿宋_GB2312" w:cs="DengXian-Regular"/>
          <w:color w:val="auto"/>
          <w:sz w:val="32"/>
          <w:szCs w:val="32"/>
          <w:highlight w:val="none"/>
        </w:rPr>
        <w:t>万元），实际支出</w:t>
      </w:r>
      <w:r>
        <w:rPr>
          <w:rFonts w:hint="eastAsia" w:ascii="仿宋_GB2312" w:eastAsia="仿宋_GB2312" w:cs="DengXian-Regular"/>
          <w:color w:val="auto"/>
          <w:sz w:val="32"/>
          <w:szCs w:val="32"/>
          <w:highlight w:val="none"/>
          <w:lang w:val="en-US" w:eastAsia="zh-CN"/>
        </w:rPr>
        <w:t>11.6</w:t>
      </w:r>
      <w:r>
        <w:rPr>
          <w:rFonts w:hint="eastAsia" w:ascii="仿宋_GB2312" w:eastAsia="仿宋_GB2312" w:cs="DengXian-Regular"/>
          <w:color w:val="auto"/>
          <w:sz w:val="32"/>
          <w:szCs w:val="32"/>
          <w:highlight w:val="none"/>
        </w:rPr>
        <w:t>万元（公务用车运行维护费</w:t>
      </w:r>
      <w:r>
        <w:rPr>
          <w:rFonts w:hint="eastAsia" w:ascii="仿宋_GB2312" w:eastAsia="仿宋_GB2312" w:cs="DengXian-Regular"/>
          <w:color w:val="auto"/>
          <w:sz w:val="32"/>
          <w:szCs w:val="32"/>
          <w:highlight w:val="none"/>
          <w:lang w:val="en-US" w:eastAsia="zh-CN"/>
        </w:rPr>
        <w:t>11.27</w:t>
      </w:r>
      <w:r>
        <w:rPr>
          <w:rFonts w:hint="eastAsia" w:ascii="仿宋_GB2312" w:eastAsia="仿宋_GB2312" w:cs="DengXian-Regular"/>
          <w:color w:val="auto"/>
          <w:sz w:val="32"/>
          <w:szCs w:val="32"/>
          <w:highlight w:val="none"/>
        </w:rPr>
        <w:t>万元，公务接待费</w:t>
      </w:r>
      <w:r>
        <w:rPr>
          <w:rFonts w:hint="eastAsia" w:ascii="仿宋_GB2312" w:eastAsia="仿宋_GB2312" w:cs="DengXian-Regular"/>
          <w:color w:val="auto"/>
          <w:sz w:val="32"/>
          <w:szCs w:val="32"/>
          <w:highlight w:val="none"/>
          <w:lang w:val="en-US" w:eastAsia="zh-CN"/>
        </w:rPr>
        <w:t>0.33</w:t>
      </w:r>
      <w:r>
        <w:rPr>
          <w:rFonts w:hint="eastAsia" w:ascii="仿宋_GB2312" w:eastAsia="仿宋_GB2312" w:cs="DengXian-Regular"/>
          <w:color w:val="auto"/>
          <w:sz w:val="32"/>
          <w:szCs w:val="32"/>
          <w:highlight w:val="none"/>
        </w:rPr>
        <w:t>万元），比预算减少</w:t>
      </w:r>
      <w:r>
        <w:rPr>
          <w:rFonts w:hint="eastAsia" w:ascii="仿宋_GB2312" w:eastAsia="仿宋_GB2312" w:cs="DengXian-Regular"/>
          <w:color w:val="auto"/>
          <w:sz w:val="32"/>
          <w:szCs w:val="32"/>
          <w:highlight w:val="none"/>
          <w:lang w:val="en-US" w:eastAsia="zh-CN"/>
        </w:rPr>
        <w:t>12.4</w:t>
      </w:r>
      <w:r>
        <w:rPr>
          <w:rFonts w:hint="eastAsia" w:ascii="仿宋_GB2312" w:eastAsia="仿宋_GB2312" w:cs="DengXian-Regular"/>
          <w:color w:val="auto"/>
          <w:sz w:val="32"/>
          <w:szCs w:val="32"/>
          <w:highlight w:val="none"/>
        </w:rPr>
        <w:t>万元，节约率</w:t>
      </w:r>
      <w:r>
        <w:rPr>
          <w:rFonts w:hint="eastAsia" w:ascii="仿宋_GB2312" w:eastAsia="仿宋_GB2312" w:cs="DengXian-Regular"/>
          <w:color w:val="auto"/>
          <w:sz w:val="32"/>
          <w:szCs w:val="32"/>
          <w:highlight w:val="none"/>
          <w:lang w:val="en-US" w:eastAsia="zh-CN"/>
        </w:rPr>
        <w:t>51.67</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年“三公”经费预算数与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年预算数相比无变化，决算数与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年实际支出相比，</w:t>
      </w:r>
      <w:r>
        <w:rPr>
          <w:rFonts w:hint="eastAsia" w:ascii="仿宋_GB2312" w:eastAsia="仿宋_GB2312" w:cs="DengXian-Regular"/>
          <w:color w:val="auto"/>
          <w:sz w:val="32"/>
          <w:szCs w:val="32"/>
          <w:highlight w:val="none"/>
          <w:lang w:eastAsia="zh-CN"/>
        </w:rPr>
        <w:t>增加</w:t>
      </w:r>
      <w:r>
        <w:rPr>
          <w:rFonts w:hint="eastAsia" w:ascii="仿宋_GB2312" w:eastAsia="仿宋_GB2312" w:cs="DengXian-Regular"/>
          <w:color w:val="auto"/>
          <w:sz w:val="32"/>
          <w:szCs w:val="32"/>
          <w:highlight w:val="none"/>
          <w:lang w:val="en-US" w:eastAsia="zh-CN"/>
        </w:rPr>
        <w:t>7.71</w:t>
      </w:r>
      <w:r>
        <w:rPr>
          <w:rFonts w:hint="eastAsia" w:ascii="仿宋_GB2312" w:eastAsia="仿宋_GB2312" w:cs="DengXian-Regular"/>
          <w:color w:val="auto"/>
          <w:sz w:val="32"/>
          <w:szCs w:val="32"/>
          <w:highlight w:val="none"/>
        </w:rPr>
        <w:t>万元。具体详见表1。</w:t>
      </w:r>
    </w:p>
    <w:p w14:paraId="241DF687">
      <w:pPr>
        <w:spacing w:after="0" w:line="360" w:lineRule="auto"/>
        <w:ind w:firstLine="643" w:firstLineChars="200"/>
        <w:jc w:val="both"/>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表1 </w:t>
      </w:r>
      <w:r>
        <w:rPr>
          <w:rFonts w:hint="eastAsia" w:asciiTheme="minorEastAsia" w:hAnsiTheme="minorEastAsia" w:eastAsiaTheme="minorEastAsia" w:cstheme="minorEastAsia"/>
          <w:b/>
          <w:bCs/>
          <w:color w:val="auto"/>
          <w:sz w:val="32"/>
          <w:szCs w:val="32"/>
          <w:highlight w:val="none"/>
          <w:lang w:eastAsia="zh-CN"/>
        </w:rPr>
        <w:t>徐水</w:t>
      </w:r>
      <w:r>
        <w:rPr>
          <w:rFonts w:hint="eastAsia" w:asciiTheme="minorEastAsia" w:hAnsiTheme="minorEastAsia" w:eastAsiaTheme="minorEastAsia" w:cstheme="minorEastAsia"/>
          <w:b/>
          <w:bCs/>
          <w:color w:val="auto"/>
          <w:sz w:val="32"/>
          <w:szCs w:val="32"/>
          <w:highlight w:val="none"/>
        </w:rPr>
        <w:t>区</w:t>
      </w:r>
      <w:r>
        <w:rPr>
          <w:rFonts w:hint="eastAsia" w:asciiTheme="minorEastAsia" w:hAnsiTheme="minorEastAsia" w:eastAsiaTheme="minorEastAsia" w:cstheme="minorEastAsia"/>
          <w:b/>
          <w:bCs/>
          <w:color w:val="auto"/>
          <w:sz w:val="32"/>
          <w:szCs w:val="32"/>
          <w:highlight w:val="none"/>
          <w:lang w:eastAsia="zh-CN"/>
        </w:rPr>
        <w:t>漕河镇人民政府</w:t>
      </w:r>
      <w:r>
        <w:rPr>
          <w:rFonts w:hint="eastAsia" w:asciiTheme="minorEastAsia" w:hAnsiTheme="minorEastAsia" w:eastAsiaTheme="minorEastAsia" w:cstheme="minorEastAsia"/>
          <w:b/>
          <w:bCs/>
          <w:color w:val="auto"/>
          <w:sz w:val="32"/>
          <w:szCs w:val="32"/>
          <w:highlight w:val="none"/>
        </w:rPr>
        <w:t>“三公”经费预算及决算明细表</w:t>
      </w:r>
    </w:p>
    <w:p w14:paraId="11DA92E4">
      <w:pPr>
        <w:spacing w:after="0" w:line="540" w:lineRule="exact"/>
        <w:ind w:firstLine="640" w:firstLineChars="200"/>
        <w:jc w:val="both"/>
        <w:rPr>
          <w:rFonts w:asciiTheme="minorEastAsia" w:hAnsiTheme="minorEastAsia" w:eastAsiaTheme="minorEastAsia" w:cstheme="minorEastAsia"/>
          <w:color w:val="auto"/>
          <w:sz w:val="21"/>
          <w:szCs w:val="21"/>
          <w:highlight w:val="none"/>
        </w:rPr>
      </w:pPr>
      <w:r>
        <w:rPr>
          <w:rFonts w:hint="eastAsia" w:ascii="仿宋_GB2312" w:eastAsia="仿宋_GB2312" w:cs="DengXian-Regular"/>
          <w:color w:val="auto"/>
          <w:sz w:val="32"/>
          <w:szCs w:val="32"/>
          <w:highlight w:val="none"/>
        </w:rPr>
        <w:t xml:space="preserve">                                         </w:t>
      </w:r>
      <w:r>
        <w:rPr>
          <w:rFonts w:hint="eastAsia" w:asciiTheme="minorEastAsia" w:hAnsiTheme="minorEastAsia" w:eastAsiaTheme="minorEastAsia" w:cstheme="minorEastAsia"/>
          <w:color w:val="auto"/>
          <w:sz w:val="21"/>
          <w:szCs w:val="21"/>
          <w:highlight w:val="none"/>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5E443F60">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38E69">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DC3A97">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6E7230">
            <w:pPr>
              <w:spacing w:after="0"/>
              <w:ind w:firstLine="422" w:firstLineChars="200"/>
              <w:jc w:val="center"/>
              <w:textAlignment w:val="center"/>
              <w:rPr>
                <w:rFonts w:ascii="宋体" w:hAnsi="宋体" w:eastAsia="宋体" w:cs="宋体"/>
                <w:b/>
                <w:bCs/>
                <w:color w:val="auto"/>
                <w:sz w:val="21"/>
                <w:szCs w:val="21"/>
                <w:highlight w:val="none"/>
              </w:rPr>
            </w:pPr>
            <w:r>
              <w:rPr>
                <w:rFonts w:hint="default" w:ascii="宋体" w:hAnsi="宋体" w:eastAsia="宋体" w:cs="宋体"/>
                <w:b/>
                <w:bCs/>
                <w:color w:val="auto"/>
                <w:sz w:val="21"/>
                <w:szCs w:val="21"/>
                <w:highlight w:val="none"/>
                <w:lang w:val="en-US"/>
              </w:rPr>
              <w:t>2020</w:t>
            </w:r>
            <w:r>
              <w:rPr>
                <w:rFonts w:hint="eastAsia" w:ascii="宋体" w:hAnsi="宋体" w:eastAsia="宋体" w:cs="宋体"/>
                <w:b/>
                <w:bCs/>
                <w:color w:val="auto"/>
                <w:sz w:val="21"/>
                <w:szCs w:val="21"/>
                <w:highlight w:val="none"/>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0AD5344F">
            <w:pPr>
              <w:spacing w:after="0"/>
              <w:ind w:firstLine="422" w:firstLineChars="20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202</w:t>
            </w:r>
            <w:r>
              <w:rPr>
                <w:rFonts w:hint="default" w:ascii="宋体" w:hAnsi="宋体" w:eastAsia="宋体" w:cs="宋体"/>
                <w:b/>
                <w:bCs/>
                <w:color w:val="auto"/>
                <w:sz w:val="21"/>
                <w:szCs w:val="21"/>
                <w:highlight w:val="none"/>
                <w:lang w:val="en-US"/>
              </w:rPr>
              <w:t>1</w:t>
            </w:r>
            <w:r>
              <w:rPr>
                <w:rFonts w:hint="eastAsia" w:ascii="宋体" w:hAnsi="宋体" w:eastAsia="宋体" w:cs="宋体"/>
                <w:b/>
                <w:bCs/>
                <w:color w:val="auto"/>
                <w:sz w:val="21"/>
                <w:szCs w:val="21"/>
                <w:highlight w:val="none"/>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A1D25">
            <w:pPr>
              <w:spacing w:after="0"/>
              <w:ind w:firstLine="422" w:firstLineChars="20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环比情况</w:t>
            </w:r>
          </w:p>
        </w:tc>
      </w:tr>
      <w:tr w14:paraId="1F20CFE7">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AA64C">
            <w:pPr>
              <w:spacing w:after="0"/>
              <w:ind w:firstLine="422" w:firstLineChars="200"/>
              <w:jc w:val="center"/>
              <w:rPr>
                <w:rFonts w:ascii="宋体" w:hAnsi="宋体" w:eastAsia="宋体" w:cs="宋体"/>
                <w:b/>
                <w:bCs/>
                <w:color w:val="auto"/>
                <w:sz w:val="21"/>
                <w:szCs w:val="21"/>
                <w:highlight w:val="none"/>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7C453">
            <w:pPr>
              <w:spacing w:after="0"/>
              <w:ind w:firstLine="422" w:firstLineChars="200"/>
              <w:jc w:val="center"/>
              <w:rPr>
                <w:rFonts w:ascii="宋体" w:hAnsi="宋体" w:eastAsia="宋体" w:cs="宋体"/>
                <w:b/>
                <w:bCs/>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38F97D">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BD34B09">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1911D3">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CD2667">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2917114">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DD260E">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较上年支出增减金额</w:t>
            </w:r>
          </w:p>
        </w:tc>
      </w:tr>
      <w:tr w14:paraId="7A231EA2">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C1B7">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2366E756">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0ED6">
            <w:pPr>
              <w:spacing w:after="0"/>
              <w:ind w:firstLine="420" w:firstLineChars="200"/>
              <w:jc w:val="both"/>
              <w:textAlignment w:val="center"/>
              <w:rPr>
                <w:rFonts w:hint="default" w:asciiTheme="minorEastAsia" w:hAnsiTheme="minorEastAsia" w:eastAsiaTheme="minorEastAsia" w:cstheme="minorEastAsia"/>
                <w:color w:val="auto"/>
                <w:sz w:val="21"/>
                <w:szCs w:val="21"/>
                <w:highlight w:val="none"/>
                <w:lang w:val="en-US" w:eastAsia="zh-CN"/>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4EC9">
            <w:pPr>
              <w:spacing w:after="0"/>
              <w:ind w:firstLine="420" w:firstLineChars="200"/>
              <w:jc w:val="center"/>
              <w:textAlignment w:val="center"/>
              <w:rPr>
                <w:rFonts w:asciiTheme="minorEastAsia" w:hAnsiTheme="minorEastAsia" w:eastAsiaTheme="minorEastAsia" w:cstheme="minorEastAsia"/>
                <w:color w:val="auto"/>
                <w:sz w:val="21"/>
                <w:szCs w:val="21"/>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57DB">
            <w:pPr>
              <w:spacing w:after="0"/>
              <w:ind w:firstLine="420" w:firstLineChars="200"/>
              <w:jc w:val="center"/>
              <w:textAlignment w:val="center"/>
              <w:rPr>
                <w:rFonts w:asciiTheme="minorEastAsia" w:hAnsiTheme="minorEastAsia" w:eastAsiaTheme="minorEastAsia" w:cstheme="minorEastAsia"/>
                <w:color w:val="auto"/>
                <w:sz w:val="21"/>
                <w:szCs w:val="21"/>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8B817D">
            <w:pPr>
              <w:spacing w:after="0"/>
              <w:ind w:firstLine="420" w:firstLineChars="200"/>
              <w:jc w:val="center"/>
              <w:textAlignment w:val="center"/>
              <w:rPr>
                <w:rFonts w:asciiTheme="minorEastAsia" w:hAnsiTheme="minorEastAsia" w:eastAsiaTheme="minorEastAsia" w:cstheme="minorEastAsia"/>
                <w:color w:val="auto"/>
                <w:sz w:val="21"/>
                <w:szCs w:val="21"/>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D6D7E9">
            <w:pPr>
              <w:spacing w:after="0"/>
              <w:ind w:firstLine="420" w:firstLineChars="200"/>
              <w:jc w:val="center"/>
              <w:textAlignment w:val="center"/>
              <w:rPr>
                <w:rFonts w:asciiTheme="minorEastAsia" w:hAnsiTheme="minorEastAsia" w:eastAsiaTheme="minorEastAsia" w:cstheme="minorEastAsia"/>
                <w:color w:val="auto"/>
                <w:sz w:val="21"/>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F6BEA3">
            <w:pPr>
              <w:spacing w:after="0"/>
              <w:ind w:firstLine="420" w:firstLineChars="200"/>
              <w:jc w:val="center"/>
              <w:textAlignment w:val="center"/>
              <w:rPr>
                <w:rFonts w:asciiTheme="minorEastAsia" w:hAnsiTheme="minorEastAsia" w:eastAsiaTheme="minorEastAsia" w:cstheme="minorEastAsia"/>
                <w:color w:val="auto"/>
                <w:sz w:val="21"/>
                <w:szCs w:val="21"/>
                <w:highlight w:val="none"/>
              </w:rPr>
            </w:pPr>
          </w:p>
        </w:tc>
      </w:tr>
      <w:tr w14:paraId="11E5AEB1">
        <w:tblPrEx>
          <w:tblCellMar>
            <w:top w:w="0" w:type="dxa"/>
            <w:left w:w="0" w:type="dxa"/>
            <w:bottom w:w="0" w:type="dxa"/>
            <w:right w:w="0" w:type="dxa"/>
          </w:tblCellMar>
        </w:tblPrEx>
        <w:trPr>
          <w:trHeight w:val="53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F9D8">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E4AA32">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54F7">
            <w:pPr>
              <w:spacing w:after="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D6A2">
            <w:pPr>
              <w:spacing w:after="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6FE7">
            <w:pPr>
              <w:spacing w:after="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33DC">
            <w:pPr>
              <w:spacing w:after="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11.27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F3DCA5">
            <w:pPr>
              <w:spacing w:after="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7425D2">
            <w:pPr>
              <w:spacing w:after="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8.86</w:t>
            </w:r>
          </w:p>
        </w:tc>
      </w:tr>
      <w:tr w14:paraId="2340722D">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CA39">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07D84">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D5E1">
            <w:pPr>
              <w:spacing w:after="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C957">
            <w:pPr>
              <w:spacing w:after="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2113">
            <w:pPr>
              <w:spacing w:after="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CF2F">
            <w:pPr>
              <w:spacing w:after="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0.33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A33B78">
            <w:pPr>
              <w:spacing w:after="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25722E">
            <w:pPr>
              <w:spacing w:after="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1.15</w:t>
            </w:r>
          </w:p>
        </w:tc>
      </w:tr>
      <w:tr w14:paraId="4407C86C">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57F1">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3710F9">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5F98">
            <w:pPr>
              <w:spacing w:after="0"/>
              <w:jc w:val="center"/>
              <w:textAlignment w:val="center"/>
              <w:rPr>
                <w:rFonts w:asciiTheme="minorEastAsia" w:hAnsiTheme="minorEastAsia" w:eastAsiaTheme="minorEastAsia" w:cstheme="minorEastAsia"/>
                <w:color w:val="auto"/>
                <w:sz w:val="21"/>
                <w:szCs w:val="21"/>
                <w:highlight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B6F2">
            <w:pPr>
              <w:spacing w:after="0"/>
              <w:jc w:val="center"/>
              <w:textAlignment w:val="center"/>
              <w:rPr>
                <w:rFonts w:asciiTheme="minorEastAsia" w:hAnsiTheme="minorEastAsia" w:eastAsiaTheme="minorEastAsia" w:cstheme="minorEastAsia"/>
                <w:color w:val="auto"/>
                <w:sz w:val="21"/>
                <w:szCs w:val="21"/>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9393">
            <w:pPr>
              <w:spacing w:after="0"/>
              <w:jc w:val="center"/>
              <w:textAlignment w:val="center"/>
              <w:rPr>
                <w:rFonts w:asciiTheme="minorEastAsia" w:hAnsiTheme="minorEastAsia" w:eastAsiaTheme="minorEastAsia" w:cstheme="minorEastAsia"/>
                <w:color w:val="auto"/>
                <w:sz w:val="21"/>
                <w:szCs w:val="21"/>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F91609">
            <w:pPr>
              <w:spacing w:after="0"/>
              <w:jc w:val="center"/>
              <w:textAlignment w:val="center"/>
              <w:rPr>
                <w:rFonts w:asciiTheme="minorEastAsia" w:hAnsiTheme="minorEastAsia" w:eastAsiaTheme="minorEastAsia" w:cstheme="minorEastAsia"/>
                <w:color w:val="auto"/>
                <w:sz w:val="21"/>
                <w:szCs w:val="21"/>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A50BDA">
            <w:pPr>
              <w:spacing w:after="0"/>
              <w:ind w:firstLine="420" w:firstLineChars="200"/>
              <w:jc w:val="center"/>
              <w:textAlignment w:val="center"/>
              <w:rPr>
                <w:rFonts w:asciiTheme="minorEastAsia" w:hAnsiTheme="minorEastAsia" w:eastAsiaTheme="minorEastAsia" w:cstheme="minorEastAsia"/>
                <w:color w:val="auto"/>
                <w:sz w:val="21"/>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08F268">
            <w:pPr>
              <w:spacing w:after="0"/>
              <w:jc w:val="center"/>
              <w:textAlignment w:val="center"/>
              <w:rPr>
                <w:rFonts w:asciiTheme="minorEastAsia" w:hAnsiTheme="minorEastAsia" w:eastAsiaTheme="minorEastAsia" w:cstheme="minorEastAsia"/>
                <w:color w:val="auto"/>
                <w:sz w:val="21"/>
                <w:szCs w:val="21"/>
                <w:highlight w:val="none"/>
              </w:rPr>
            </w:pPr>
          </w:p>
        </w:tc>
      </w:tr>
    </w:tbl>
    <w:p w14:paraId="21E18ABF">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1、公务用车：202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年底</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车辆合计</w:t>
      </w:r>
      <w:r>
        <w:rPr>
          <w:rFonts w:hint="eastAsia" w:ascii="仿宋_GB2312" w:eastAsia="仿宋_GB2312" w:cs="DengXian-Regular"/>
          <w:color w:val="auto"/>
          <w:sz w:val="32"/>
          <w:szCs w:val="32"/>
          <w:highlight w:val="none"/>
          <w:lang w:val="en-US" w:eastAsia="zh-CN"/>
        </w:rPr>
        <w:t>5</w:t>
      </w:r>
      <w:r>
        <w:rPr>
          <w:rFonts w:hint="eastAsia" w:ascii="仿宋_GB2312" w:eastAsia="仿宋_GB2312" w:cs="DengXian-Regular"/>
          <w:color w:val="auto"/>
          <w:sz w:val="32"/>
          <w:szCs w:val="32"/>
          <w:highlight w:val="none"/>
        </w:rPr>
        <w:t>辆，其中</w:t>
      </w:r>
      <w:r>
        <w:rPr>
          <w:rFonts w:hint="eastAsia" w:ascii="仿宋_GB2312" w:eastAsia="仿宋_GB2312" w:cs="DengXian-Regular"/>
          <w:color w:val="auto"/>
          <w:sz w:val="32"/>
          <w:szCs w:val="32"/>
          <w:highlight w:val="none"/>
          <w:lang w:eastAsia="zh-CN"/>
        </w:rPr>
        <w:t>应急</w:t>
      </w:r>
      <w:r>
        <w:rPr>
          <w:rFonts w:hint="eastAsia" w:ascii="仿宋_GB2312" w:eastAsia="仿宋_GB2312" w:cs="DengXian-Regular"/>
          <w:color w:val="auto"/>
          <w:sz w:val="32"/>
          <w:szCs w:val="32"/>
          <w:highlight w:val="none"/>
        </w:rPr>
        <w:t>用车</w:t>
      </w:r>
      <w:r>
        <w:rPr>
          <w:rFonts w:hint="eastAsia" w:ascii="仿宋_GB2312" w:eastAsia="仿宋_GB2312" w:cs="DengXian-Regular"/>
          <w:color w:val="auto"/>
          <w:sz w:val="32"/>
          <w:szCs w:val="32"/>
          <w:highlight w:val="none"/>
          <w:lang w:val="en-US" w:eastAsia="zh-CN"/>
        </w:rPr>
        <w:t>3</w:t>
      </w:r>
      <w:r>
        <w:rPr>
          <w:rFonts w:hint="eastAsia" w:ascii="仿宋_GB2312" w:eastAsia="仿宋_GB2312" w:cs="DengXian-Regular"/>
          <w:color w:val="auto"/>
          <w:sz w:val="32"/>
          <w:szCs w:val="32"/>
          <w:highlight w:val="none"/>
        </w:rPr>
        <w:t>辆，其他用车</w:t>
      </w:r>
      <w:r>
        <w:rPr>
          <w:rFonts w:hint="eastAsia" w:ascii="仿宋_GB2312" w:eastAsia="仿宋_GB2312" w:cs="DengXian-Regular"/>
          <w:color w:val="auto"/>
          <w:sz w:val="32"/>
          <w:szCs w:val="32"/>
          <w:highlight w:val="none"/>
          <w:lang w:val="en-US" w:eastAsia="zh-CN"/>
        </w:rPr>
        <w:t>2</w:t>
      </w:r>
      <w:r>
        <w:rPr>
          <w:rFonts w:hint="eastAsia" w:ascii="仿宋_GB2312" w:eastAsia="仿宋_GB2312" w:cs="DengXian-Regular"/>
          <w:color w:val="auto"/>
          <w:sz w:val="32"/>
          <w:szCs w:val="32"/>
          <w:highlight w:val="none"/>
        </w:rPr>
        <w:t>辆。202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年公务用车购置及运维费年初预算</w:t>
      </w:r>
      <w:r>
        <w:rPr>
          <w:rFonts w:hint="eastAsia" w:ascii="仿宋_GB2312" w:eastAsia="仿宋_GB2312" w:cs="DengXian-Regular"/>
          <w:color w:val="auto"/>
          <w:sz w:val="32"/>
          <w:szCs w:val="32"/>
          <w:highlight w:val="none"/>
          <w:lang w:val="en-US" w:eastAsia="zh-CN"/>
        </w:rPr>
        <w:t>13</w:t>
      </w:r>
      <w:r>
        <w:rPr>
          <w:rFonts w:hint="eastAsia" w:ascii="仿宋_GB2312" w:eastAsia="仿宋_GB2312" w:cs="DengXian-Regular"/>
          <w:color w:val="auto"/>
          <w:sz w:val="32"/>
          <w:szCs w:val="32"/>
          <w:highlight w:val="none"/>
        </w:rPr>
        <w:t>万元，全部为公务用车运行维护费，实际支出</w:t>
      </w:r>
      <w:r>
        <w:rPr>
          <w:rFonts w:hint="eastAsia" w:ascii="仿宋_GB2312" w:eastAsia="仿宋_GB2312" w:cs="DengXian-Regular"/>
          <w:color w:val="auto"/>
          <w:sz w:val="32"/>
          <w:szCs w:val="32"/>
          <w:highlight w:val="none"/>
          <w:lang w:val="en-US" w:eastAsia="zh-CN"/>
        </w:rPr>
        <w:t>11.27</w:t>
      </w:r>
      <w:r>
        <w:rPr>
          <w:rFonts w:hint="eastAsia" w:ascii="仿宋_GB2312" w:eastAsia="仿宋_GB2312" w:cs="DengXian-Regular"/>
          <w:color w:val="auto"/>
          <w:sz w:val="32"/>
          <w:szCs w:val="32"/>
          <w:highlight w:val="none"/>
        </w:rPr>
        <w:t>万元，比预算减少</w:t>
      </w:r>
      <w:r>
        <w:rPr>
          <w:rFonts w:hint="eastAsia" w:ascii="仿宋_GB2312" w:eastAsia="仿宋_GB2312" w:cs="DengXian-Regular"/>
          <w:color w:val="auto"/>
          <w:sz w:val="32"/>
          <w:szCs w:val="32"/>
          <w:highlight w:val="none"/>
          <w:lang w:val="en-US" w:eastAsia="zh-CN"/>
        </w:rPr>
        <w:t>1.73</w:t>
      </w:r>
      <w:r>
        <w:rPr>
          <w:rFonts w:hint="eastAsia" w:ascii="仿宋_GB2312" w:eastAsia="仿宋_GB2312" w:cs="DengXian-Regular"/>
          <w:color w:val="auto"/>
          <w:sz w:val="32"/>
          <w:szCs w:val="32"/>
          <w:highlight w:val="none"/>
        </w:rPr>
        <w:t>万元，节约率</w:t>
      </w:r>
      <w:r>
        <w:rPr>
          <w:rFonts w:hint="eastAsia" w:ascii="仿宋_GB2312" w:eastAsia="仿宋_GB2312" w:cs="DengXian-Regular"/>
          <w:color w:val="auto"/>
          <w:sz w:val="32"/>
          <w:szCs w:val="32"/>
          <w:highlight w:val="none"/>
          <w:lang w:val="en-US" w:eastAsia="zh-CN"/>
        </w:rPr>
        <w:t>13.34</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年预算相比无变化，决算数与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年实际支出相比，</w:t>
      </w:r>
      <w:r>
        <w:rPr>
          <w:rFonts w:hint="eastAsia" w:ascii="仿宋_GB2312" w:eastAsia="仿宋_GB2312" w:cs="DengXian-Regular"/>
          <w:color w:val="auto"/>
          <w:sz w:val="32"/>
          <w:szCs w:val="32"/>
          <w:highlight w:val="none"/>
          <w:lang w:eastAsia="zh-CN"/>
        </w:rPr>
        <w:t>增加</w:t>
      </w:r>
      <w:r>
        <w:rPr>
          <w:rFonts w:hint="eastAsia" w:ascii="仿宋_GB2312" w:eastAsia="仿宋_GB2312" w:cs="DengXian-Regular"/>
          <w:color w:val="auto"/>
          <w:sz w:val="32"/>
          <w:szCs w:val="32"/>
          <w:highlight w:val="none"/>
          <w:lang w:val="en-US" w:eastAsia="zh-CN"/>
        </w:rPr>
        <w:t>7.71</w:t>
      </w:r>
      <w:r>
        <w:rPr>
          <w:rFonts w:hint="eastAsia" w:ascii="仿宋_GB2312" w:eastAsia="仿宋_GB2312" w:cs="DengXian-Regular"/>
          <w:color w:val="auto"/>
          <w:sz w:val="32"/>
          <w:szCs w:val="32"/>
          <w:highlight w:val="none"/>
        </w:rPr>
        <w:t>万元。</w:t>
      </w:r>
    </w:p>
    <w:p w14:paraId="32A5329B">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2、公务接待：202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公务接待费年初预算</w:t>
      </w:r>
      <w:r>
        <w:rPr>
          <w:rFonts w:hint="eastAsia" w:ascii="仿宋_GB2312" w:eastAsia="仿宋_GB2312" w:cs="DengXian-Regular"/>
          <w:color w:val="auto"/>
          <w:sz w:val="32"/>
          <w:szCs w:val="32"/>
          <w:highlight w:val="none"/>
          <w:lang w:val="en-US" w:eastAsia="zh-CN"/>
        </w:rPr>
        <w:t>11</w:t>
      </w:r>
      <w:r>
        <w:rPr>
          <w:rFonts w:hint="eastAsia" w:ascii="仿宋_GB2312" w:eastAsia="仿宋_GB2312" w:cs="DengXian-Regular"/>
          <w:color w:val="auto"/>
          <w:sz w:val="32"/>
          <w:szCs w:val="32"/>
          <w:highlight w:val="none"/>
        </w:rPr>
        <w:t>万元，实际支出</w:t>
      </w:r>
      <w:r>
        <w:rPr>
          <w:rFonts w:hint="eastAsia" w:ascii="仿宋_GB2312" w:eastAsia="仿宋_GB2312" w:cs="DengXian-Regular"/>
          <w:color w:val="auto"/>
          <w:sz w:val="32"/>
          <w:szCs w:val="32"/>
          <w:highlight w:val="none"/>
          <w:lang w:val="en-US" w:eastAsia="zh-CN"/>
        </w:rPr>
        <w:t>0.33</w:t>
      </w:r>
      <w:r>
        <w:rPr>
          <w:rFonts w:hint="eastAsia" w:ascii="仿宋_GB2312" w:eastAsia="仿宋_GB2312" w:cs="DengXian-Regular"/>
          <w:color w:val="auto"/>
          <w:sz w:val="32"/>
          <w:szCs w:val="32"/>
          <w:highlight w:val="none"/>
        </w:rPr>
        <w:t>万元，比预算减少了</w:t>
      </w:r>
      <w:r>
        <w:rPr>
          <w:rFonts w:hint="eastAsia" w:ascii="仿宋_GB2312" w:eastAsia="仿宋_GB2312" w:cs="DengXian-Regular"/>
          <w:color w:val="auto"/>
          <w:sz w:val="32"/>
          <w:szCs w:val="32"/>
          <w:highlight w:val="none"/>
          <w:lang w:val="en-US" w:eastAsia="zh-CN"/>
        </w:rPr>
        <w:t>10.67</w:t>
      </w:r>
      <w:r>
        <w:rPr>
          <w:rFonts w:hint="eastAsia" w:ascii="仿宋_GB2312" w:eastAsia="仿宋_GB2312" w:cs="DengXian-Regular"/>
          <w:color w:val="auto"/>
          <w:sz w:val="32"/>
          <w:szCs w:val="32"/>
          <w:highlight w:val="none"/>
        </w:rPr>
        <w:t>万元，节约率</w:t>
      </w:r>
      <w:r>
        <w:rPr>
          <w:rFonts w:hint="eastAsia" w:ascii="仿宋_GB2312" w:eastAsia="仿宋_GB2312" w:cs="DengXian-Regular"/>
          <w:color w:val="auto"/>
          <w:sz w:val="32"/>
          <w:szCs w:val="32"/>
          <w:highlight w:val="none"/>
          <w:lang w:val="en-US" w:eastAsia="zh-CN"/>
        </w:rPr>
        <w:t>97</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年预算相比无变化，决算数与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年实际支出相比，</w:t>
      </w:r>
      <w:r>
        <w:rPr>
          <w:rFonts w:hint="eastAsia" w:ascii="仿宋_GB2312" w:eastAsia="仿宋_GB2312" w:cs="DengXian-Regular"/>
          <w:color w:val="auto"/>
          <w:sz w:val="32"/>
          <w:szCs w:val="32"/>
          <w:highlight w:val="none"/>
          <w:lang w:eastAsia="zh-CN"/>
        </w:rPr>
        <w:t>减少</w:t>
      </w:r>
      <w:r>
        <w:rPr>
          <w:rFonts w:hint="eastAsia" w:ascii="仿宋_GB2312" w:eastAsia="仿宋_GB2312" w:cs="DengXian-Regular"/>
          <w:color w:val="auto"/>
          <w:sz w:val="32"/>
          <w:szCs w:val="32"/>
          <w:highlight w:val="none"/>
          <w:lang w:val="en-US" w:eastAsia="zh-CN"/>
        </w:rPr>
        <w:t>1.15</w:t>
      </w:r>
      <w:r>
        <w:rPr>
          <w:rFonts w:hint="eastAsia" w:ascii="仿宋_GB2312" w:eastAsia="仿宋_GB2312" w:cs="DengXian-Regular"/>
          <w:color w:val="auto"/>
          <w:sz w:val="32"/>
          <w:szCs w:val="32"/>
          <w:highlight w:val="none"/>
        </w:rPr>
        <w:t>万元。</w:t>
      </w:r>
    </w:p>
    <w:p w14:paraId="4634AB4C">
      <w:pPr>
        <w:pStyle w:val="3"/>
        <w:spacing w:before="0" w:after="0" w:line="360" w:lineRule="auto"/>
        <w:ind w:firstLine="643" w:firstLineChars="200"/>
        <w:rPr>
          <w:rFonts w:ascii="黑体" w:hAnsiTheme="minorEastAsia"/>
          <w:color w:val="auto"/>
          <w:highlight w:val="none"/>
          <w:u w:color="000000"/>
        </w:rPr>
      </w:pPr>
      <w:bookmarkStart w:id="16" w:name="_Toc492652770"/>
      <w:bookmarkStart w:id="17" w:name="_Toc20454"/>
      <w:bookmarkStart w:id="18" w:name="_Toc465149504"/>
      <w:r>
        <w:rPr>
          <w:rFonts w:hint="eastAsia" w:ascii="黑体"/>
          <w:color w:val="auto"/>
          <w:highlight w:val="none"/>
        </w:rPr>
        <w:t>二、部门整体支出绩效评价指标体系设定情况</w:t>
      </w:r>
      <w:bookmarkEnd w:id="16"/>
      <w:bookmarkEnd w:id="17"/>
    </w:p>
    <w:p w14:paraId="31991217">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根据绩效预算管理改革的有关政策和文件规定，并与</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沟通，绩效评价工作组以绩效预算架构为指导，以部门预算文本及相关资料为基础，制定了部门整体支出绩效评价指标体系。</w:t>
      </w:r>
    </w:p>
    <w:p w14:paraId="659F740D">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部门整体支出绩效评价指标体系设置一级指标4个，二级指标7个，三级指标2</w:t>
      </w:r>
      <w:r>
        <w:rPr>
          <w:rFonts w:hint="eastAsia" w:ascii="仿宋_GB2312" w:eastAsia="仿宋_GB2312" w:cs="DengXian-Regular"/>
          <w:color w:val="auto"/>
          <w:sz w:val="32"/>
          <w:szCs w:val="32"/>
          <w:highlight w:val="none"/>
          <w:lang w:val="en-US" w:eastAsia="zh-CN"/>
        </w:rPr>
        <w:t>8</w:t>
      </w:r>
      <w:r>
        <w:rPr>
          <w:rFonts w:hint="eastAsia" w:ascii="仿宋_GB2312" w:eastAsia="仿宋_GB2312" w:cs="DengXian-Regular"/>
          <w:color w:val="auto"/>
          <w:sz w:val="32"/>
          <w:szCs w:val="32"/>
          <w:highlight w:val="none"/>
        </w:rPr>
        <w:t>个（详见附件3）。指标体系设定满分100分，绩效评价分值≥90为“优”；80≤分值＜90为“良”；60≤分值＜80为“中”；60分以下为“差”。评价指标体系具体构成如下：</w:t>
      </w:r>
      <w:bookmarkStart w:id="19" w:name="_Toc9569"/>
      <w:bookmarkStart w:id="20" w:name="_Toc492652771"/>
    </w:p>
    <w:p w14:paraId="31C0E69D">
      <w:pPr>
        <w:spacing w:after="0" w:line="360" w:lineRule="auto"/>
        <w:ind w:firstLine="643" w:firstLineChars="200"/>
        <w:jc w:val="both"/>
        <w:rPr>
          <w:rFonts w:ascii="楷体_GB2312" w:eastAsia="楷体_GB2312" w:cs="Times New Roman" w:hAnsiTheme="minorEastAsia"/>
          <w:b/>
          <w:bCs/>
          <w:color w:val="auto"/>
          <w:kern w:val="2"/>
          <w:sz w:val="32"/>
          <w:szCs w:val="32"/>
          <w:highlight w:val="none"/>
          <w:u w:color="000000"/>
        </w:rPr>
      </w:pPr>
      <w:r>
        <w:rPr>
          <w:rFonts w:hint="eastAsia" w:ascii="楷体_GB2312" w:eastAsia="楷体_GB2312" w:cs="Times New Roman" w:hAnsiTheme="minorEastAsia"/>
          <w:b/>
          <w:bCs/>
          <w:color w:val="auto"/>
          <w:kern w:val="2"/>
          <w:sz w:val="32"/>
          <w:szCs w:val="32"/>
          <w:highlight w:val="none"/>
          <w:u w:color="000000"/>
        </w:rPr>
        <w:t>（一）投入（12分）</w:t>
      </w:r>
      <w:bookmarkEnd w:id="19"/>
      <w:bookmarkEnd w:id="20"/>
    </w:p>
    <w:p w14:paraId="67B83BDB">
      <w:pPr>
        <w:spacing w:after="0" w:line="360" w:lineRule="auto"/>
        <w:ind w:firstLine="640" w:firstLineChars="200"/>
        <w:jc w:val="both"/>
        <w:rPr>
          <w:rFonts w:hint="eastAsia"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主要反映绩效目标设定是否合理、科学，绩效指标的制定是否清晰、可衡量，预算编制是否完整，项目预算是否细化及在职人员控制情况。</w:t>
      </w:r>
    </w:p>
    <w:p w14:paraId="033239A1">
      <w:pPr>
        <w:spacing w:after="0" w:line="360" w:lineRule="auto"/>
        <w:ind w:firstLine="640" w:firstLineChars="200"/>
        <w:jc w:val="both"/>
        <w:rPr>
          <w:rFonts w:hint="eastAsia"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投入指标指标分值为12分，下设2个二级指标：绩效目标设定和预算配置，6个三级指标：绩效目标合理性、绩效目标科学性、绩效指标明确性、预算编制完整性、项目预算细化率、在职人员控制率。</w:t>
      </w:r>
      <w:bookmarkStart w:id="21" w:name="_Toc30221"/>
      <w:bookmarkStart w:id="22" w:name="_Toc492652772"/>
    </w:p>
    <w:p w14:paraId="509293AE">
      <w:pPr>
        <w:spacing w:after="0" w:line="360" w:lineRule="auto"/>
        <w:ind w:firstLine="643" w:firstLineChars="200"/>
        <w:jc w:val="both"/>
        <w:rPr>
          <w:rFonts w:hint="eastAsia" w:ascii="楷体_GB2312" w:eastAsia="楷体_GB2312" w:cs="Times New Roman" w:hAnsiTheme="minorEastAsia"/>
          <w:b/>
          <w:bCs/>
          <w:color w:val="auto"/>
          <w:kern w:val="2"/>
          <w:sz w:val="32"/>
          <w:szCs w:val="32"/>
          <w:highlight w:val="none"/>
          <w:u w:color="000000"/>
        </w:rPr>
      </w:pPr>
      <w:r>
        <w:rPr>
          <w:rFonts w:hint="eastAsia" w:ascii="楷体_GB2312" w:eastAsia="楷体_GB2312" w:cs="Times New Roman" w:hAnsiTheme="minorEastAsia"/>
          <w:b/>
          <w:bCs/>
          <w:color w:val="auto"/>
          <w:kern w:val="2"/>
          <w:sz w:val="32"/>
          <w:szCs w:val="32"/>
          <w:highlight w:val="none"/>
          <w:u w:color="000000"/>
        </w:rPr>
        <w:t>（二）过程（48分）</w:t>
      </w:r>
      <w:bookmarkEnd w:id="21"/>
      <w:bookmarkEnd w:id="22"/>
    </w:p>
    <w:p w14:paraId="43DD1BEE">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主要反映预算调整、收入及支出完成情况，“三公”经费、政府采购执行情况，财务管理是否规范、资金使用是否合规，决算真实性。</w:t>
      </w:r>
    </w:p>
    <w:p w14:paraId="14DF6602">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35607338">
      <w:pPr>
        <w:pStyle w:val="4"/>
        <w:spacing w:before="0" w:after="0"/>
        <w:ind w:firstLine="643" w:firstLineChars="200"/>
        <w:jc w:val="both"/>
        <w:rPr>
          <w:rFonts w:ascii="楷体" w:hAnsi="楷体" w:eastAsia="楷体"/>
          <w:color w:val="auto"/>
          <w:kern w:val="2"/>
          <w:sz w:val="32"/>
          <w:highlight w:val="none"/>
        </w:rPr>
      </w:pPr>
      <w:bookmarkStart w:id="23" w:name="_Toc492652773"/>
      <w:bookmarkStart w:id="24" w:name="_Toc24932"/>
      <w:r>
        <w:rPr>
          <w:rFonts w:hint="eastAsia" w:ascii="楷体" w:hAnsi="楷体" w:eastAsia="楷体"/>
          <w:color w:val="auto"/>
          <w:kern w:val="2"/>
          <w:sz w:val="32"/>
          <w:highlight w:val="none"/>
        </w:rPr>
        <w:t>（三）产出（25分）</w:t>
      </w:r>
      <w:bookmarkEnd w:id="23"/>
      <w:bookmarkEnd w:id="24"/>
    </w:p>
    <w:p w14:paraId="3C416D6A">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25" w:name="_Toc492652774"/>
      <w:r>
        <w:rPr>
          <w:rFonts w:hint="eastAsia" w:ascii="仿宋_GB2312" w:eastAsia="仿宋_GB2312" w:cs="DengXian-Regular"/>
          <w:color w:val="auto"/>
          <w:sz w:val="32"/>
          <w:szCs w:val="32"/>
          <w:highlight w:val="none"/>
        </w:rPr>
        <w:t>主要反映结转结余率，项目资金使用率，。</w:t>
      </w:r>
    </w:p>
    <w:p w14:paraId="63BBD22D">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产出指标指标分值为25分，下设1个二级指标：责任履行，5个三级指标：结转结余率、项目资金使用率。</w:t>
      </w:r>
    </w:p>
    <w:p w14:paraId="42FA3A20">
      <w:pPr>
        <w:pStyle w:val="4"/>
        <w:spacing w:before="0" w:after="0"/>
        <w:ind w:firstLine="643" w:firstLineChars="200"/>
        <w:jc w:val="both"/>
        <w:rPr>
          <w:rFonts w:ascii="楷体_GB2312" w:eastAsia="楷体_GB2312" w:hAnsiTheme="minorEastAsia"/>
          <w:color w:val="auto"/>
          <w:sz w:val="32"/>
          <w:highlight w:val="none"/>
        </w:rPr>
      </w:pPr>
      <w:bookmarkStart w:id="26" w:name="_Toc21821"/>
      <w:r>
        <w:rPr>
          <w:rFonts w:hint="eastAsia" w:ascii="楷体_GB2312" w:eastAsia="楷体_GB2312" w:hAnsiTheme="minorEastAsia"/>
          <w:color w:val="auto"/>
          <w:kern w:val="2"/>
          <w:sz w:val="32"/>
          <w:highlight w:val="none"/>
        </w:rPr>
        <w:t>（四）效果（15分）</w:t>
      </w:r>
      <w:bookmarkEnd w:id="25"/>
      <w:bookmarkEnd w:id="26"/>
    </w:p>
    <w:p w14:paraId="57618572">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27" w:name="_Toc492652775"/>
      <w:r>
        <w:rPr>
          <w:rFonts w:hint="eastAsia" w:ascii="仿宋_GB2312" w:eastAsia="仿宋_GB2312" w:cs="DengXian-Regular"/>
          <w:color w:val="auto"/>
          <w:sz w:val="32"/>
          <w:szCs w:val="32"/>
          <w:highlight w:val="none"/>
        </w:rPr>
        <w:t>主要反映部门履行职责对社会发展所带来的直接或间接效益及社会公众或部门的服务对象对部门履职效果的满意程度。</w:t>
      </w:r>
    </w:p>
    <w:p w14:paraId="3BCACF8D">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效果指标指标分值15分，下设1个二级指标：履职效率，2个三级指标：部门整体效益和考核满意度。</w:t>
      </w:r>
    </w:p>
    <w:p w14:paraId="33507A94">
      <w:pPr>
        <w:pStyle w:val="3"/>
        <w:spacing w:before="0" w:after="0" w:line="360" w:lineRule="auto"/>
        <w:ind w:firstLine="643" w:firstLineChars="200"/>
        <w:rPr>
          <w:rFonts w:ascii="黑体"/>
          <w:color w:val="auto"/>
          <w:highlight w:val="none"/>
        </w:rPr>
      </w:pPr>
      <w:bookmarkStart w:id="28" w:name="_Toc11842"/>
      <w:r>
        <w:rPr>
          <w:rFonts w:hint="eastAsia" w:ascii="黑体"/>
          <w:color w:val="auto"/>
          <w:highlight w:val="none"/>
        </w:rPr>
        <w:t>三、综合绩效评价工作情况</w:t>
      </w:r>
      <w:bookmarkEnd w:id="18"/>
      <w:bookmarkEnd w:id="27"/>
      <w:bookmarkEnd w:id="28"/>
      <w:bookmarkStart w:id="29" w:name="_Toc465149505"/>
      <w:bookmarkStart w:id="30" w:name="_Toc492652776"/>
    </w:p>
    <w:p w14:paraId="6D508E93">
      <w:pPr>
        <w:pStyle w:val="4"/>
        <w:spacing w:before="0" w:after="0"/>
        <w:ind w:firstLine="643" w:firstLineChars="200"/>
        <w:jc w:val="both"/>
        <w:rPr>
          <w:rFonts w:ascii="楷体_GB2312" w:eastAsia="楷体_GB2312" w:hAnsiTheme="minorEastAsia"/>
          <w:color w:val="auto"/>
          <w:sz w:val="32"/>
          <w:highlight w:val="none"/>
        </w:rPr>
      </w:pPr>
      <w:bookmarkStart w:id="31" w:name="_Toc17138"/>
      <w:r>
        <w:rPr>
          <w:rFonts w:hint="eastAsia" w:ascii="楷体_GB2312" w:eastAsia="楷体_GB2312" w:hAnsiTheme="minorEastAsia"/>
          <w:color w:val="auto"/>
          <w:kern w:val="2"/>
          <w:sz w:val="32"/>
          <w:highlight w:val="none"/>
        </w:rPr>
        <w:t>（一）绩效评价目的</w:t>
      </w:r>
      <w:bookmarkEnd w:id="29"/>
      <w:bookmarkEnd w:id="30"/>
      <w:bookmarkEnd w:id="31"/>
    </w:p>
    <w:p w14:paraId="095073A6">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32" w:name="_Toc465149506"/>
      <w:bookmarkStart w:id="33" w:name="_Toc492652777"/>
      <w:r>
        <w:rPr>
          <w:rFonts w:hint="eastAsia" w:ascii="仿宋_GB2312" w:eastAsia="仿宋_GB2312" w:cs="DengXian-Regular"/>
          <w:color w:val="auto"/>
          <w:sz w:val="32"/>
          <w:szCs w:val="32"/>
          <w:highlight w:val="none"/>
        </w:rPr>
        <w:t>通过对</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6AEA8490">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39540051">
      <w:pPr>
        <w:pStyle w:val="4"/>
        <w:spacing w:before="0" w:after="0"/>
        <w:ind w:firstLine="643" w:firstLineChars="200"/>
        <w:jc w:val="both"/>
        <w:rPr>
          <w:rFonts w:ascii="楷体_GB2312" w:eastAsia="楷体_GB2312" w:hAnsiTheme="minorEastAsia"/>
          <w:color w:val="auto"/>
          <w:kern w:val="2"/>
          <w:sz w:val="32"/>
          <w:highlight w:val="none"/>
        </w:rPr>
      </w:pPr>
      <w:bookmarkStart w:id="34" w:name="_Toc11607"/>
      <w:r>
        <w:rPr>
          <w:rFonts w:hint="eastAsia" w:ascii="楷体_GB2312" w:eastAsia="楷体_GB2312" w:hAnsiTheme="minorEastAsia"/>
          <w:color w:val="auto"/>
          <w:kern w:val="2"/>
          <w:sz w:val="32"/>
          <w:highlight w:val="none"/>
        </w:rPr>
        <w:t>（二）绩效评价依据</w:t>
      </w:r>
      <w:bookmarkEnd w:id="32"/>
      <w:bookmarkEnd w:id="33"/>
      <w:bookmarkEnd w:id="34"/>
    </w:p>
    <w:p w14:paraId="70A047BD">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35" w:name="_Toc465149507"/>
      <w:r>
        <w:rPr>
          <w:rFonts w:hint="eastAsia" w:ascii="仿宋_GB2312" w:eastAsia="仿宋_GB2312" w:cs="DengXian-Regular"/>
          <w:color w:val="auto"/>
          <w:sz w:val="32"/>
          <w:szCs w:val="32"/>
          <w:highlight w:val="none"/>
        </w:rPr>
        <w:t>1.</w:t>
      </w:r>
      <w:r>
        <w:rPr>
          <w:rFonts w:ascii="仿宋_GB2312" w:eastAsia="仿宋_GB2312" w:cs="DengXian-Regular"/>
          <w:color w:val="auto"/>
          <w:sz w:val="32"/>
          <w:szCs w:val="32"/>
          <w:highlight w:val="none"/>
        </w:rPr>
        <w:t>《中华人民共和国预算法》；</w:t>
      </w:r>
    </w:p>
    <w:p w14:paraId="22A39B92">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2.中共中央国务院《关于全面实施预算绩效管理的意见》（中发〔2018〕34号）；</w:t>
      </w:r>
    </w:p>
    <w:p w14:paraId="0172B97A">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w:t>
      </w:r>
      <w:r>
        <w:rPr>
          <w:rFonts w:ascii="仿宋_GB2312" w:eastAsia="仿宋_GB2312" w:cs="DengXian-Regular"/>
          <w:color w:val="auto"/>
          <w:sz w:val="32"/>
          <w:szCs w:val="32"/>
          <w:highlight w:val="none"/>
        </w:rPr>
        <w:t>《河北省财政支出绩效评价管理办法》（冀财预</w:t>
      </w:r>
      <w:r>
        <w:rPr>
          <w:rFonts w:hint="eastAsia" w:ascii="仿宋_GB2312" w:eastAsia="仿宋_GB2312" w:cs="DengXian-Regular"/>
          <w:color w:val="auto"/>
          <w:sz w:val="32"/>
          <w:szCs w:val="32"/>
          <w:highlight w:val="none"/>
        </w:rPr>
        <w:t xml:space="preserve">〔2011〕68号）； </w:t>
      </w:r>
    </w:p>
    <w:p w14:paraId="51A0A847">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4.中共河北省委河北省人民政府</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关于全面实施预算绩效管理的实施意见</w:t>
      </w:r>
      <w:r>
        <w:rPr>
          <w:rFonts w:ascii="仿宋_GB2312" w:eastAsia="仿宋_GB2312" w:cs="DengXian-Regular"/>
          <w:color w:val="auto"/>
          <w:sz w:val="32"/>
          <w:szCs w:val="32"/>
          <w:highlight w:val="none"/>
        </w:rPr>
        <w:t>》（冀</w:t>
      </w:r>
      <w:r>
        <w:rPr>
          <w:rFonts w:hint="eastAsia" w:ascii="仿宋_GB2312" w:eastAsia="仿宋_GB2312" w:cs="DengXian-Regular"/>
          <w:color w:val="auto"/>
          <w:sz w:val="32"/>
          <w:szCs w:val="32"/>
          <w:highlight w:val="none"/>
        </w:rPr>
        <w:t>发〔2018〕54</w:t>
      </w:r>
      <w:r>
        <w:rPr>
          <w:rFonts w:ascii="仿宋_GB2312" w:eastAsia="仿宋_GB2312" w:cs="DengXian-Regular"/>
          <w:color w:val="auto"/>
          <w:sz w:val="32"/>
          <w:szCs w:val="32"/>
          <w:highlight w:val="none"/>
        </w:rPr>
        <w:t>号）</w:t>
      </w:r>
      <w:r>
        <w:rPr>
          <w:rFonts w:hint="eastAsia" w:ascii="仿宋_GB2312" w:eastAsia="仿宋_GB2312" w:cs="DengXian-Regular"/>
          <w:color w:val="auto"/>
          <w:sz w:val="32"/>
          <w:szCs w:val="32"/>
          <w:highlight w:val="none"/>
        </w:rPr>
        <w:t>；</w:t>
      </w:r>
    </w:p>
    <w:p w14:paraId="0E782402">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5.保定市徐水区财政局《关于印发绩效评价工作规划（2016-2020年）的通知》（徐政财字〔2016〕45号）；</w:t>
      </w:r>
    </w:p>
    <w:p w14:paraId="4F89A94C">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6.保定市徐水区财政局《关于印发&lt;全面实施预算绩效管理推进工作方案&gt;的通知》（徐政财字〔2019〕33号）；</w:t>
      </w:r>
    </w:p>
    <w:p w14:paraId="058A7B08">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7</w:t>
      </w:r>
      <w:r>
        <w:rPr>
          <w:rFonts w:ascii="仿宋_GB2312" w:eastAsia="仿宋_GB2312" w:cs="DengXian-Regular"/>
          <w:color w:val="auto"/>
          <w:sz w:val="32"/>
          <w:szCs w:val="32"/>
          <w:highlight w:val="none"/>
        </w:rPr>
        <w:t>.</w:t>
      </w:r>
      <w:r>
        <w:rPr>
          <w:rFonts w:hint="eastAsia"/>
          <w:color w:val="auto"/>
          <w:highlight w:val="none"/>
        </w:rPr>
        <w:t xml:space="preserve"> </w:t>
      </w:r>
      <w:r>
        <w:rPr>
          <w:rFonts w:hint="eastAsia" w:ascii="仿宋_GB2312" w:eastAsia="仿宋_GB2312" w:cs="DengXian-Regular"/>
          <w:color w:val="auto"/>
          <w:sz w:val="32"/>
          <w:szCs w:val="32"/>
          <w:highlight w:val="none"/>
        </w:rPr>
        <w:t>保定市徐水区财政局《关于印发保定市徐水区区级部门预算项目绩效自评管理办法的通知》（徐政财字〔2020〕9号）</w:t>
      </w:r>
    </w:p>
    <w:p w14:paraId="757B3C01">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8.其他与部门绩效评价工作相关的文件。</w:t>
      </w:r>
      <w:bookmarkStart w:id="36" w:name="_Toc492652778"/>
    </w:p>
    <w:p w14:paraId="2B0B5DED">
      <w:pPr>
        <w:pStyle w:val="4"/>
        <w:spacing w:before="0" w:after="0"/>
        <w:ind w:firstLine="643" w:firstLineChars="200"/>
        <w:jc w:val="both"/>
        <w:rPr>
          <w:rFonts w:ascii="楷体_GB2312" w:eastAsia="楷体_GB2312" w:hAnsiTheme="minorEastAsia"/>
          <w:color w:val="auto"/>
          <w:kern w:val="2"/>
          <w:sz w:val="32"/>
          <w:highlight w:val="none"/>
        </w:rPr>
      </w:pPr>
      <w:bookmarkStart w:id="37" w:name="_Toc7609"/>
      <w:r>
        <w:rPr>
          <w:rFonts w:hint="eastAsia" w:ascii="楷体_GB2312" w:eastAsia="楷体_GB2312" w:hAnsiTheme="minorEastAsia"/>
          <w:color w:val="auto"/>
          <w:kern w:val="2"/>
          <w:sz w:val="32"/>
          <w:highlight w:val="none"/>
        </w:rPr>
        <w:t>（三）绩效评价</w:t>
      </w:r>
      <w:bookmarkEnd w:id="36"/>
      <w:r>
        <w:rPr>
          <w:rFonts w:hint="eastAsia" w:ascii="楷体_GB2312" w:eastAsia="楷体_GB2312" w:hAnsiTheme="minorEastAsia"/>
          <w:color w:val="auto"/>
          <w:kern w:val="2"/>
          <w:sz w:val="32"/>
          <w:highlight w:val="none"/>
        </w:rPr>
        <w:t>内容</w:t>
      </w:r>
      <w:bookmarkEnd w:id="37"/>
    </w:p>
    <w:bookmarkEnd w:id="35"/>
    <w:p w14:paraId="1A764D7A">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38" w:name="_Toc465149508"/>
      <w:bookmarkStart w:id="39" w:name="_Toc492652779"/>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年部门整体支出绩效目标和指标的设置及完成情况；资金预算情况、实际收支情况及结转结余情况；部门履职对社会发展所带来的直接或间接影响及服务对象对部门履职效果的满意程度。</w:t>
      </w:r>
    </w:p>
    <w:p w14:paraId="4A2C596B">
      <w:pPr>
        <w:pStyle w:val="4"/>
        <w:spacing w:before="0" w:after="0"/>
        <w:ind w:firstLine="643" w:firstLineChars="200"/>
        <w:jc w:val="both"/>
        <w:rPr>
          <w:rFonts w:ascii="楷体_GB2312" w:eastAsia="楷体_GB2312" w:hAnsiTheme="minorEastAsia"/>
          <w:color w:val="auto"/>
          <w:kern w:val="2"/>
          <w:sz w:val="32"/>
          <w:highlight w:val="none"/>
        </w:rPr>
      </w:pPr>
      <w:bookmarkStart w:id="40" w:name="_Toc789"/>
      <w:r>
        <w:rPr>
          <w:rFonts w:hint="eastAsia" w:ascii="楷体_GB2312" w:eastAsia="楷体_GB2312" w:hAnsiTheme="minorEastAsia"/>
          <w:color w:val="auto"/>
          <w:kern w:val="2"/>
          <w:sz w:val="32"/>
          <w:highlight w:val="none"/>
        </w:rPr>
        <w:t>（四）绩效评价原则</w:t>
      </w:r>
      <w:bookmarkEnd w:id="40"/>
    </w:p>
    <w:p w14:paraId="39DFC793">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1.价值导向原则：财政支出绩效评价体系应能够反映财政支出的经济性、效益性、有效性原则，体现财政部门和项目主管部门的价值导向。</w:t>
      </w:r>
    </w:p>
    <w:p w14:paraId="3A438ED2">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2.重要性原则：根据指标在整个指标体系中的地位和作用进行筛选，选择最具代表性、最能反映评价要求的指标。</w:t>
      </w:r>
    </w:p>
    <w:p w14:paraId="2C347D1E">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3.综合性原则：将定性指标和定量指标相结合，定性分析是定量分析的基础，定量分析是定性分析的深化，两者相结合系统反映财政支出所产生的社会效益。</w:t>
      </w:r>
    </w:p>
    <w:p w14:paraId="69355860">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4.经济性原则：指标的选取要考虑现实条件及可操作性，数据的获得应符合成本效益原则，在合理成本的基础上收集信息。</w:t>
      </w:r>
    </w:p>
    <w:p w14:paraId="4DD0A0BC">
      <w:pPr>
        <w:pStyle w:val="4"/>
        <w:spacing w:before="0" w:after="0"/>
        <w:ind w:firstLine="643" w:firstLineChars="200"/>
        <w:jc w:val="both"/>
        <w:rPr>
          <w:rFonts w:ascii="楷体_GB2312" w:eastAsia="楷体_GB2312" w:hAnsiTheme="minorEastAsia"/>
          <w:color w:val="auto"/>
          <w:kern w:val="2"/>
          <w:sz w:val="32"/>
          <w:highlight w:val="none"/>
        </w:rPr>
      </w:pPr>
      <w:bookmarkStart w:id="41" w:name="_Toc8171"/>
      <w:r>
        <w:rPr>
          <w:rFonts w:hint="eastAsia" w:ascii="楷体_GB2312" w:eastAsia="楷体_GB2312" w:hAnsiTheme="minorEastAsia"/>
          <w:color w:val="auto"/>
          <w:kern w:val="2"/>
          <w:sz w:val="32"/>
          <w:highlight w:val="none"/>
        </w:rPr>
        <w:t>（五）</w:t>
      </w:r>
      <w:bookmarkEnd w:id="38"/>
      <w:bookmarkStart w:id="42" w:name="_Toc465149509"/>
      <w:r>
        <w:rPr>
          <w:rFonts w:hint="eastAsia" w:ascii="楷体_GB2312" w:eastAsia="楷体_GB2312" w:hAnsiTheme="minorEastAsia"/>
          <w:color w:val="auto"/>
          <w:kern w:val="2"/>
          <w:sz w:val="32"/>
          <w:highlight w:val="none"/>
        </w:rPr>
        <w:t>绩效评价方法</w:t>
      </w:r>
      <w:bookmarkEnd w:id="39"/>
      <w:bookmarkEnd w:id="41"/>
      <w:bookmarkEnd w:id="42"/>
    </w:p>
    <w:p w14:paraId="63918E16">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43" w:name="_Toc422314152"/>
      <w:bookmarkStart w:id="44" w:name="_Toc421623217"/>
      <w:bookmarkStart w:id="45" w:name="_Toc465149510"/>
      <w:bookmarkStart w:id="46" w:name="_Toc492652780"/>
      <w:r>
        <w:rPr>
          <w:rFonts w:ascii="仿宋_GB2312" w:eastAsia="仿宋_GB2312" w:cs="DengXian-Regular"/>
          <w:color w:val="auto"/>
          <w:sz w:val="32"/>
          <w:szCs w:val="32"/>
          <w:highlight w:val="none"/>
        </w:rPr>
        <w:t>本次评价采取</w:t>
      </w:r>
      <w:r>
        <w:rPr>
          <w:rFonts w:hint="eastAsia" w:ascii="仿宋_GB2312" w:eastAsia="仿宋_GB2312" w:cs="DengXian-Regular"/>
          <w:color w:val="auto"/>
          <w:sz w:val="32"/>
          <w:szCs w:val="32"/>
          <w:highlight w:val="none"/>
        </w:rPr>
        <w:t>目标比较法、</w:t>
      </w:r>
      <w:r>
        <w:rPr>
          <w:rFonts w:ascii="仿宋_GB2312" w:eastAsia="仿宋_GB2312" w:cs="DengXian-Regular"/>
          <w:color w:val="auto"/>
          <w:sz w:val="32"/>
          <w:szCs w:val="32"/>
          <w:highlight w:val="none"/>
        </w:rPr>
        <w:t>定量和定性评价相结合和综合评价相结合</w:t>
      </w:r>
      <w:r>
        <w:rPr>
          <w:rFonts w:hint="eastAsia" w:ascii="仿宋_GB2312" w:eastAsia="仿宋_GB2312" w:cs="DengXian-Regular"/>
          <w:color w:val="auto"/>
          <w:sz w:val="32"/>
          <w:szCs w:val="32"/>
          <w:highlight w:val="none"/>
        </w:rPr>
        <w:t>的方式</w:t>
      </w:r>
      <w:r>
        <w:rPr>
          <w:rFonts w:ascii="仿宋_GB2312" w:eastAsia="仿宋_GB2312" w:cs="DengXian-Regular"/>
          <w:color w:val="auto"/>
          <w:sz w:val="32"/>
          <w:szCs w:val="32"/>
          <w:highlight w:val="none"/>
        </w:rPr>
        <w:t>，运用审查、</w:t>
      </w:r>
      <w:r>
        <w:rPr>
          <w:rFonts w:hint="eastAsia" w:ascii="仿宋_GB2312" w:eastAsia="仿宋_GB2312" w:cs="DengXian-Regular"/>
          <w:color w:val="auto"/>
          <w:sz w:val="32"/>
          <w:szCs w:val="32"/>
          <w:highlight w:val="none"/>
        </w:rPr>
        <w:t>询问查证和问卷调查</w:t>
      </w:r>
      <w:r>
        <w:rPr>
          <w:rFonts w:ascii="仿宋_GB2312" w:eastAsia="仿宋_GB2312" w:cs="DengXian-Regular"/>
          <w:color w:val="auto"/>
          <w:sz w:val="32"/>
          <w:szCs w:val="32"/>
          <w:highlight w:val="none"/>
        </w:rPr>
        <w:t>等方法开展</w:t>
      </w:r>
      <w:r>
        <w:rPr>
          <w:rFonts w:hint="eastAsia" w:ascii="仿宋_GB2312" w:eastAsia="仿宋_GB2312" w:cs="DengXian-Regular"/>
          <w:color w:val="auto"/>
          <w:sz w:val="32"/>
          <w:szCs w:val="32"/>
          <w:highlight w:val="none"/>
        </w:rPr>
        <w:t>绩效</w:t>
      </w:r>
      <w:r>
        <w:rPr>
          <w:rFonts w:ascii="仿宋_GB2312" w:eastAsia="仿宋_GB2312" w:cs="DengXian-Regular"/>
          <w:color w:val="auto"/>
          <w:sz w:val="32"/>
          <w:szCs w:val="32"/>
          <w:highlight w:val="none"/>
        </w:rPr>
        <w:t>评价工作。</w:t>
      </w:r>
      <w:bookmarkEnd w:id="43"/>
      <w:bookmarkEnd w:id="44"/>
    </w:p>
    <w:p w14:paraId="6D03465D">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47" w:name="_Toc421623218"/>
      <w:bookmarkStart w:id="48" w:name="_Toc422314153"/>
      <w:r>
        <w:rPr>
          <w:rFonts w:ascii="仿宋_GB2312" w:eastAsia="仿宋_GB2312" w:cs="DengXian-Regular"/>
          <w:color w:val="auto"/>
          <w:sz w:val="32"/>
          <w:szCs w:val="32"/>
          <w:highlight w:val="none"/>
        </w:rPr>
        <w:t>1</w:t>
      </w:r>
      <w:r>
        <w:rPr>
          <w:rFonts w:hint="eastAsia" w:ascii="仿宋_GB2312" w:eastAsia="仿宋_GB2312" w:cs="DengXian-Regular"/>
          <w:color w:val="auto"/>
          <w:sz w:val="32"/>
          <w:szCs w:val="32"/>
          <w:highlight w:val="none"/>
        </w:rPr>
        <w:t>.</w:t>
      </w:r>
      <w:r>
        <w:rPr>
          <w:rFonts w:ascii="仿宋_GB2312" w:eastAsia="仿宋_GB2312" w:cs="DengXian-Regular"/>
          <w:color w:val="auto"/>
          <w:sz w:val="32"/>
          <w:szCs w:val="32"/>
          <w:highlight w:val="none"/>
        </w:rPr>
        <w:t>审查法：通过审查被评价单位的</w:t>
      </w:r>
      <w:r>
        <w:rPr>
          <w:rFonts w:hint="eastAsia" w:ascii="仿宋_GB2312" w:eastAsia="仿宋_GB2312" w:cs="DengXian-Regular"/>
          <w:color w:val="auto"/>
          <w:sz w:val="32"/>
          <w:szCs w:val="32"/>
          <w:highlight w:val="none"/>
        </w:rPr>
        <w:t>预算文本</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决算文本</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会计账簿、支出凭证、项目完成情况</w:t>
      </w:r>
      <w:r>
        <w:rPr>
          <w:rFonts w:ascii="仿宋_GB2312" w:eastAsia="仿宋_GB2312" w:cs="DengXian-Regular"/>
          <w:color w:val="auto"/>
          <w:sz w:val="32"/>
          <w:szCs w:val="32"/>
          <w:highlight w:val="none"/>
        </w:rPr>
        <w:t>等</w:t>
      </w:r>
      <w:r>
        <w:rPr>
          <w:rFonts w:hint="eastAsia" w:ascii="仿宋_GB2312" w:eastAsia="仿宋_GB2312" w:cs="DengXian-Regular"/>
          <w:color w:val="auto"/>
          <w:sz w:val="32"/>
          <w:szCs w:val="32"/>
          <w:highlight w:val="none"/>
        </w:rPr>
        <w:t>相关</w:t>
      </w:r>
      <w:r>
        <w:rPr>
          <w:rFonts w:ascii="仿宋_GB2312" w:eastAsia="仿宋_GB2312" w:cs="DengXian-Regular"/>
          <w:color w:val="auto"/>
          <w:sz w:val="32"/>
          <w:szCs w:val="32"/>
          <w:highlight w:val="none"/>
        </w:rPr>
        <w:t>资料，分析资金</w:t>
      </w:r>
      <w:r>
        <w:rPr>
          <w:rFonts w:hint="eastAsia" w:ascii="仿宋_GB2312" w:eastAsia="仿宋_GB2312" w:cs="DengXian-Regular"/>
          <w:color w:val="auto"/>
          <w:sz w:val="32"/>
          <w:szCs w:val="32"/>
          <w:highlight w:val="none"/>
        </w:rPr>
        <w:t>收</w:t>
      </w:r>
      <w:r>
        <w:rPr>
          <w:rFonts w:ascii="仿宋_GB2312" w:eastAsia="仿宋_GB2312" w:cs="DengXian-Regular"/>
          <w:color w:val="auto"/>
          <w:sz w:val="32"/>
          <w:szCs w:val="32"/>
          <w:highlight w:val="none"/>
        </w:rPr>
        <w:t>支的合理性</w:t>
      </w:r>
      <w:r>
        <w:rPr>
          <w:rFonts w:hint="eastAsia" w:ascii="仿宋_GB2312" w:eastAsia="仿宋_GB2312" w:cs="DengXian-Regular"/>
          <w:color w:val="auto"/>
          <w:sz w:val="32"/>
          <w:szCs w:val="32"/>
          <w:highlight w:val="none"/>
        </w:rPr>
        <w:t>和</w:t>
      </w:r>
      <w:r>
        <w:rPr>
          <w:rFonts w:ascii="仿宋_GB2312" w:eastAsia="仿宋_GB2312" w:cs="DengXian-Regular"/>
          <w:color w:val="auto"/>
          <w:sz w:val="32"/>
          <w:szCs w:val="32"/>
          <w:highlight w:val="none"/>
        </w:rPr>
        <w:t>合规性</w:t>
      </w:r>
      <w:r>
        <w:rPr>
          <w:rFonts w:hint="eastAsia" w:ascii="仿宋_GB2312" w:eastAsia="仿宋_GB2312" w:cs="DengXian-Regular"/>
          <w:color w:val="auto"/>
          <w:sz w:val="32"/>
          <w:szCs w:val="32"/>
          <w:highlight w:val="none"/>
        </w:rPr>
        <w:t>、预算执行及管理情况、绩效目标和指标的设置及完成情况、部门整体效益</w:t>
      </w:r>
      <w:r>
        <w:rPr>
          <w:rFonts w:ascii="仿宋_GB2312" w:eastAsia="仿宋_GB2312" w:cs="DengXian-Regular"/>
          <w:color w:val="auto"/>
          <w:sz w:val="32"/>
          <w:szCs w:val="32"/>
          <w:highlight w:val="none"/>
        </w:rPr>
        <w:t>。</w:t>
      </w:r>
      <w:bookmarkEnd w:id="47"/>
      <w:bookmarkEnd w:id="48"/>
    </w:p>
    <w:p w14:paraId="0A0C2CC5">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49" w:name="_Toc422314155"/>
      <w:bookmarkStart w:id="50" w:name="_Toc421623220"/>
      <w:r>
        <w:rPr>
          <w:rFonts w:hint="eastAsia" w:ascii="仿宋_GB2312" w:eastAsia="仿宋_GB2312" w:cs="DengXian-Regular"/>
          <w:color w:val="auto"/>
          <w:sz w:val="32"/>
          <w:szCs w:val="32"/>
          <w:highlight w:val="none"/>
        </w:rPr>
        <w:t>2.询问查证</w:t>
      </w:r>
      <w:r>
        <w:rPr>
          <w:rFonts w:ascii="仿宋_GB2312" w:eastAsia="仿宋_GB2312" w:cs="DengXian-Regular"/>
          <w:color w:val="auto"/>
          <w:sz w:val="32"/>
          <w:szCs w:val="32"/>
          <w:highlight w:val="none"/>
        </w:rPr>
        <w:t>法：</w:t>
      </w:r>
      <w:r>
        <w:rPr>
          <w:rFonts w:hint="eastAsia" w:ascii="仿宋_GB2312" w:eastAsia="仿宋_GB2312" w:cs="DengXian-Regular"/>
          <w:color w:val="auto"/>
          <w:sz w:val="32"/>
          <w:szCs w:val="32"/>
          <w:highlight w:val="none"/>
        </w:rPr>
        <w:t>在比较分析相关资料的基础上，通过询问的形式，核查项目资料是否真实、合理，从而对部门整体支出情况作出初步的判断和评价</w:t>
      </w:r>
      <w:r>
        <w:rPr>
          <w:rFonts w:ascii="仿宋_GB2312" w:eastAsia="仿宋_GB2312" w:cs="DengXian-Regular"/>
          <w:color w:val="auto"/>
          <w:sz w:val="32"/>
          <w:szCs w:val="32"/>
          <w:highlight w:val="none"/>
        </w:rPr>
        <w:t>。</w:t>
      </w:r>
      <w:bookmarkEnd w:id="49"/>
      <w:bookmarkEnd w:id="50"/>
    </w:p>
    <w:p w14:paraId="0BA8FFC4">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51" w:name="_Toc421623221"/>
      <w:bookmarkStart w:id="52" w:name="_Toc422314156"/>
      <w:r>
        <w:rPr>
          <w:rFonts w:hint="eastAsia" w:ascii="仿宋_GB2312" w:eastAsia="仿宋_GB2312" w:cs="DengXian-Regular"/>
          <w:color w:val="auto"/>
          <w:sz w:val="32"/>
          <w:szCs w:val="32"/>
          <w:highlight w:val="none"/>
        </w:rPr>
        <w:t>3.问卷调查</w:t>
      </w:r>
      <w:r>
        <w:rPr>
          <w:rFonts w:ascii="仿宋_GB2312" w:eastAsia="仿宋_GB2312" w:cs="DengXian-Regular"/>
          <w:color w:val="auto"/>
          <w:sz w:val="32"/>
          <w:szCs w:val="32"/>
          <w:highlight w:val="none"/>
        </w:rPr>
        <w:t>法：通过</w:t>
      </w:r>
      <w:r>
        <w:rPr>
          <w:rFonts w:hint="eastAsia" w:ascii="仿宋_GB2312" w:eastAsia="仿宋_GB2312" w:cs="DengXian-Regular"/>
          <w:color w:val="auto"/>
          <w:sz w:val="32"/>
          <w:szCs w:val="32"/>
          <w:highlight w:val="none"/>
        </w:rPr>
        <w:t>设计调查问卷，在一定范围内随机发放，并收集分析调查问卷，</w:t>
      </w:r>
      <w:r>
        <w:rPr>
          <w:rFonts w:ascii="仿宋_GB2312" w:eastAsia="仿宋_GB2312" w:cs="DengXian-Regular"/>
          <w:color w:val="auto"/>
          <w:sz w:val="32"/>
          <w:szCs w:val="32"/>
          <w:highlight w:val="none"/>
        </w:rPr>
        <w:t>对财政支出的效果进行</w:t>
      </w:r>
      <w:r>
        <w:rPr>
          <w:rFonts w:hint="eastAsia" w:ascii="仿宋_GB2312" w:eastAsia="仿宋_GB2312" w:cs="DengXian-Regular"/>
          <w:color w:val="auto"/>
          <w:sz w:val="32"/>
          <w:szCs w:val="32"/>
          <w:highlight w:val="none"/>
        </w:rPr>
        <w:t>评价</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了解服务对象对部门履职效果</w:t>
      </w:r>
      <w:r>
        <w:rPr>
          <w:rFonts w:ascii="仿宋_GB2312" w:eastAsia="仿宋_GB2312" w:cs="DengXian-Regular"/>
          <w:color w:val="auto"/>
          <w:sz w:val="32"/>
          <w:szCs w:val="32"/>
          <w:highlight w:val="none"/>
        </w:rPr>
        <w:t>的满意</w:t>
      </w:r>
      <w:r>
        <w:rPr>
          <w:rFonts w:hint="eastAsia" w:ascii="仿宋_GB2312" w:eastAsia="仿宋_GB2312" w:cs="DengXian-Regular"/>
          <w:color w:val="auto"/>
          <w:sz w:val="32"/>
          <w:szCs w:val="32"/>
          <w:highlight w:val="none"/>
        </w:rPr>
        <w:t>程</w:t>
      </w:r>
      <w:r>
        <w:rPr>
          <w:rFonts w:ascii="仿宋_GB2312" w:eastAsia="仿宋_GB2312" w:cs="DengXian-Regular"/>
          <w:color w:val="auto"/>
          <w:sz w:val="32"/>
          <w:szCs w:val="32"/>
          <w:highlight w:val="none"/>
        </w:rPr>
        <w:t>度。</w:t>
      </w:r>
      <w:bookmarkEnd w:id="51"/>
      <w:bookmarkEnd w:id="52"/>
      <w:bookmarkStart w:id="53" w:name="_Toc20821"/>
    </w:p>
    <w:p w14:paraId="337C0052">
      <w:pPr>
        <w:spacing w:after="0" w:line="360" w:lineRule="auto"/>
        <w:ind w:firstLine="643" w:firstLineChars="200"/>
        <w:jc w:val="both"/>
        <w:textAlignment w:val="baseline"/>
        <w:rPr>
          <w:rFonts w:ascii="楷体_GB2312" w:eastAsia="楷体_GB2312" w:hAnsiTheme="minorEastAsia"/>
          <w:b/>
          <w:bCs/>
          <w:color w:val="auto"/>
          <w:kern w:val="2"/>
          <w:sz w:val="32"/>
          <w:highlight w:val="none"/>
        </w:rPr>
      </w:pPr>
      <w:r>
        <w:rPr>
          <w:rFonts w:hint="eastAsia" w:ascii="楷体_GB2312" w:eastAsia="楷体_GB2312" w:hAnsiTheme="minorEastAsia"/>
          <w:b/>
          <w:bCs/>
          <w:color w:val="auto"/>
          <w:kern w:val="2"/>
          <w:sz w:val="32"/>
          <w:highlight w:val="none"/>
        </w:rPr>
        <w:t>（六）绩效评价工作过程</w:t>
      </w:r>
      <w:bookmarkEnd w:id="45"/>
      <w:bookmarkEnd w:id="46"/>
      <w:bookmarkEnd w:id="53"/>
    </w:p>
    <w:p w14:paraId="7E6C389A">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本次绩效评价工作经过了前期准备、绩效评价实施方案和指标体系制定、组织实施、绩效评价报告撰写四个阶段。</w:t>
      </w:r>
    </w:p>
    <w:p w14:paraId="1C591100">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1.前期准备阶段</w:t>
      </w:r>
    </w:p>
    <w:p w14:paraId="343D5838">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经与</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充分沟通，并充分收集相关资料，主要包括部门职责、工作活动、预决算文本、相关管理制度、资金使用等相关资料，为制定绩效评价实施方案和指标体系奠定了基础。</w:t>
      </w:r>
    </w:p>
    <w:p w14:paraId="63F921E6">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2.制定绩效评价实施方案和体系</w:t>
      </w:r>
    </w:p>
    <w:p w14:paraId="7209C8D5">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基于对</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相关资料的收集，制定绩效评价实施方案和体系,确定最终方案。</w:t>
      </w:r>
    </w:p>
    <w:p w14:paraId="5D2BF888">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3.组织实施阶段</w:t>
      </w:r>
    </w:p>
    <w:p w14:paraId="17BF1ADE">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根据绩效评价实施方案和指标体系，对</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3575FA4A">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4.撰写绩效评价报告</w:t>
      </w:r>
      <w:bookmarkStart w:id="54" w:name="_Toc492652781"/>
      <w:bookmarkStart w:id="55" w:name="_Toc465149511"/>
    </w:p>
    <w:p w14:paraId="4D355804">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在完成对各评价指标评分定级的基础上，开始进行报告撰写工作。</w:t>
      </w:r>
    </w:p>
    <w:p w14:paraId="4176A4F0">
      <w:pPr>
        <w:pStyle w:val="3"/>
        <w:spacing w:before="0" w:after="0" w:line="360" w:lineRule="auto"/>
        <w:ind w:firstLine="643" w:firstLineChars="200"/>
        <w:rPr>
          <w:rFonts w:ascii="黑体"/>
          <w:color w:val="auto"/>
          <w:highlight w:val="none"/>
        </w:rPr>
      </w:pPr>
      <w:bookmarkStart w:id="56" w:name="_Toc6467"/>
      <w:r>
        <w:rPr>
          <w:rFonts w:hint="eastAsia" w:ascii="黑体"/>
          <w:color w:val="auto"/>
          <w:highlight w:val="none"/>
        </w:rPr>
        <w:t>四、</w:t>
      </w:r>
      <w:bookmarkEnd w:id="54"/>
      <w:bookmarkEnd w:id="55"/>
      <w:bookmarkStart w:id="57" w:name="_Toc492652782"/>
      <w:r>
        <w:rPr>
          <w:rFonts w:hint="eastAsia" w:ascii="黑体"/>
          <w:color w:val="auto"/>
          <w:highlight w:val="none"/>
        </w:rPr>
        <w:t>绩效评价评分情况</w:t>
      </w:r>
      <w:bookmarkEnd w:id="56"/>
    </w:p>
    <w:bookmarkEnd w:id="57"/>
    <w:p w14:paraId="1F8DC08D">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部门整体支出绩效评价总得分为</w:t>
      </w:r>
      <w:r>
        <w:rPr>
          <w:rFonts w:hint="eastAsia" w:ascii="仿宋_GB2312" w:eastAsia="仿宋_GB2312" w:cs="DengXian-Regular"/>
          <w:color w:val="auto"/>
          <w:sz w:val="32"/>
          <w:szCs w:val="32"/>
          <w:highlight w:val="none"/>
          <w:lang w:val="en-US" w:eastAsia="zh-CN"/>
        </w:rPr>
        <w:t>96.33</w:t>
      </w:r>
      <w:r>
        <w:rPr>
          <w:rFonts w:hint="eastAsia" w:ascii="仿宋_GB2312" w:eastAsia="仿宋_GB2312" w:cs="DengXian-Regular"/>
          <w:color w:val="auto"/>
          <w:sz w:val="32"/>
          <w:szCs w:val="32"/>
          <w:highlight w:val="none"/>
        </w:rPr>
        <w:t>分，综合绩效评价等级为“</w:t>
      </w:r>
      <w:r>
        <w:rPr>
          <w:rFonts w:hint="eastAsia" w:ascii="仿宋_GB2312" w:eastAsia="仿宋_GB2312" w:cs="DengXian-Regular"/>
          <w:color w:val="auto"/>
          <w:sz w:val="32"/>
          <w:szCs w:val="32"/>
          <w:highlight w:val="none"/>
          <w:lang w:eastAsia="zh-CN"/>
        </w:rPr>
        <w:t>优</w:t>
      </w:r>
      <w:r>
        <w:rPr>
          <w:rFonts w:hint="eastAsia" w:ascii="仿宋_GB2312" w:eastAsia="仿宋_GB2312" w:cs="DengXian-Regular"/>
          <w:color w:val="auto"/>
          <w:sz w:val="32"/>
          <w:szCs w:val="32"/>
          <w:highlight w:val="none"/>
        </w:rPr>
        <w:t>”。各项得分情况如下</w:t>
      </w:r>
      <w:r>
        <w:rPr>
          <w:rFonts w:hint="eastAsia" w:ascii="仿宋_GB2312" w:eastAsia="仿宋_GB2312" w:cs="Times New Roman" w:hAnsiTheme="minorEastAsia"/>
          <w:color w:val="auto"/>
          <w:sz w:val="32"/>
          <w:szCs w:val="32"/>
          <w:highlight w:val="none"/>
          <w:u w:color="000000"/>
        </w:rPr>
        <w:t>：</w:t>
      </w:r>
      <w:r>
        <w:rPr>
          <w:rFonts w:ascii="仿宋_GB2312" w:eastAsia="仿宋_GB2312" w:cs="Times New Roman" w:hAnsiTheme="minorEastAsia"/>
          <w:color w:val="auto"/>
          <w:sz w:val="32"/>
          <w:szCs w:val="32"/>
          <w:highlight w:val="none"/>
          <w:u w:color="000000"/>
        </w:rPr>
        <w:t xml:space="preserve"> </w:t>
      </w:r>
    </w:p>
    <w:p w14:paraId="79E5D8DE">
      <w:pPr>
        <w:pStyle w:val="4"/>
        <w:spacing w:before="0" w:after="0"/>
        <w:ind w:firstLine="643" w:firstLineChars="200"/>
        <w:jc w:val="both"/>
        <w:rPr>
          <w:rFonts w:ascii="楷体_GB2312" w:eastAsia="楷体_GB2312" w:hAnsiTheme="minorEastAsia"/>
          <w:color w:val="auto"/>
          <w:kern w:val="2"/>
          <w:sz w:val="32"/>
          <w:highlight w:val="none"/>
        </w:rPr>
      </w:pPr>
      <w:bookmarkStart w:id="58" w:name="_Toc492652783"/>
      <w:bookmarkStart w:id="59" w:name="_Toc4390"/>
      <w:r>
        <w:rPr>
          <w:rFonts w:hint="eastAsia" w:ascii="楷体_GB2312" w:eastAsia="楷体_GB2312" w:hAnsiTheme="minorEastAsia"/>
          <w:color w:val="auto"/>
          <w:kern w:val="2"/>
          <w:sz w:val="32"/>
          <w:highlight w:val="none"/>
        </w:rPr>
        <w:t>（一）</w:t>
      </w:r>
      <w:bookmarkEnd w:id="58"/>
      <w:r>
        <w:rPr>
          <w:rFonts w:hint="eastAsia" w:ascii="楷体_GB2312" w:eastAsia="楷体_GB2312" w:hAnsiTheme="minorEastAsia"/>
          <w:color w:val="auto"/>
          <w:kern w:val="2"/>
          <w:sz w:val="32"/>
          <w:highlight w:val="none"/>
        </w:rPr>
        <w:t>投入（12分）</w:t>
      </w:r>
      <w:bookmarkEnd w:id="59"/>
    </w:p>
    <w:p w14:paraId="5B31D0BB">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DengXian-Regular"/>
          <w:color w:val="auto"/>
          <w:sz w:val="32"/>
          <w:szCs w:val="32"/>
          <w:highlight w:val="none"/>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color w:val="auto"/>
          <w:sz w:val="32"/>
          <w:szCs w:val="32"/>
          <w:highlight w:val="none"/>
          <w:u w:color="000000"/>
        </w:rPr>
        <w:tab/>
      </w:r>
    </w:p>
    <w:p w14:paraId="77321A5E">
      <w:pPr>
        <w:spacing w:after="0" w:line="360" w:lineRule="auto"/>
        <w:jc w:val="center"/>
        <w:textAlignment w:val="baseline"/>
        <w:rPr>
          <w:rFonts w:asciiTheme="minorEastAsia" w:hAnsiTheme="minorEastAsia" w:eastAsiaTheme="minorEastAsia" w:cstheme="minorEastAsia"/>
          <w:b/>
          <w:bCs/>
          <w:color w:val="auto"/>
          <w:sz w:val="32"/>
          <w:szCs w:val="32"/>
          <w:highlight w:val="none"/>
          <w:u w:color="000000"/>
        </w:rPr>
      </w:pPr>
      <w:r>
        <w:rPr>
          <w:rFonts w:hint="eastAsia" w:asciiTheme="minorEastAsia" w:hAnsiTheme="minorEastAsia" w:eastAsiaTheme="minorEastAsia" w:cstheme="minorEastAsia"/>
          <w:b/>
          <w:bCs/>
          <w:color w:val="auto"/>
          <w:sz w:val="32"/>
          <w:szCs w:val="32"/>
          <w:highlight w:val="none"/>
          <w:u w:color="000000"/>
        </w:rPr>
        <w:t>表2  投入指标及得分情况表</w:t>
      </w:r>
    </w:p>
    <w:tbl>
      <w:tblPr>
        <w:tblStyle w:val="23"/>
        <w:tblW w:w="708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14:paraId="54435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14:paraId="788629C0">
            <w:pPr>
              <w:spacing w:line="420" w:lineRule="exact"/>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一级指标</w:t>
            </w:r>
          </w:p>
        </w:tc>
        <w:tc>
          <w:tcPr>
            <w:tcW w:w="1418" w:type="dxa"/>
            <w:vAlign w:val="center"/>
          </w:tcPr>
          <w:p w14:paraId="424FCEE3">
            <w:pPr>
              <w:spacing w:line="420" w:lineRule="exact"/>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二级指标</w:t>
            </w:r>
          </w:p>
        </w:tc>
        <w:tc>
          <w:tcPr>
            <w:tcW w:w="1701" w:type="dxa"/>
            <w:vAlign w:val="center"/>
          </w:tcPr>
          <w:p w14:paraId="4CFFED72">
            <w:pPr>
              <w:spacing w:line="420" w:lineRule="exact"/>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三级指标</w:t>
            </w:r>
          </w:p>
        </w:tc>
        <w:tc>
          <w:tcPr>
            <w:tcW w:w="1276" w:type="dxa"/>
            <w:vAlign w:val="center"/>
          </w:tcPr>
          <w:p w14:paraId="43781C9A">
            <w:pPr>
              <w:spacing w:line="420" w:lineRule="exact"/>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分值权重</w:t>
            </w:r>
          </w:p>
        </w:tc>
        <w:tc>
          <w:tcPr>
            <w:tcW w:w="1134" w:type="dxa"/>
            <w:vAlign w:val="center"/>
          </w:tcPr>
          <w:p w14:paraId="3AFFCB26">
            <w:pPr>
              <w:spacing w:line="420" w:lineRule="exact"/>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得分</w:t>
            </w:r>
          </w:p>
        </w:tc>
      </w:tr>
      <w:tr w14:paraId="40051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14:paraId="79108471">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投入</w:t>
            </w:r>
          </w:p>
          <w:p w14:paraId="46FDA16A">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（12分）</w:t>
            </w:r>
          </w:p>
        </w:tc>
        <w:tc>
          <w:tcPr>
            <w:tcW w:w="1418" w:type="dxa"/>
            <w:vMerge w:val="restart"/>
            <w:vAlign w:val="center"/>
          </w:tcPr>
          <w:p w14:paraId="3419FA09">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绩效目标设定（6分）</w:t>
            </w:r>
          </w:p>
        </w:tc>
        <w:tc>
          <w:tcPr>
            <w:tcW w:w="1701" w:type="dxa"/>
            <w:vAlign w:val="center"/>
          </w:tcPr>
          <w:p w14:paraId="0A06A8D4">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绩效目标合理性</w:t>
            </w:r>
          </w:p>
        </w:tc>
        <w:tc>
          <w:tcPr>
            <w:tcW w:w="1276" w:type="dxa"/>
            <w:vAlign w:val="center"/>
          </w:tcPr>
          <w:p w14:paraId="6DB73794">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14:paraId="0E2CFD8B">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14:paraId="1B9F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3546F7EF">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418" w:type="dxa"/>
            <w:vMerge w:val="continue"/>
            <w:vAlign w:val="center"/>
          </w:tcPr>
          <w:p w14:paraId="54931B7F">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701" w:type="dxa"/>
            <w:vAlign w:val="center"/>
          </w:tcPr>
          <w:p w14:paraId="75BBCB05">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绩效目标科学性</w:t>
            </w:r>
          </w:p>
        </w:tc>
        <w:tc>
          <w:tcPr>
            <w:tcW w:w="1276" w:type="dxa"/>
            <w:vAlign w:val="center"/>
          </w:tcPr>
          <w:p w14:paraId="7D4FDBFE">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14:paraId="48054C41">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14:paraId="0ABB7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2256D829">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418" w:type="dxa"/>
            <w:vMerge w:val="continue"/>
            <w:vAlign w:val="center"/>
          </w:tcPr>
          <w:p w14:paraId="6A2D6386">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701" w:type="dxa"/>
            <w:vAlign w:val="center"/>
          </w:tcPr>
          <w:p w14:paraId="6E66C8CD">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绩效指标明确性</w:t>
            </w:r>
          </w:p>
        </w:tc>
        <w:tc>
          <w:tcPr>
            <w:tcW w:w="1276" w:type="dxa"/>
            <w:vAlign w:val="center"/>
          </w:tcPr>
          <w:p w14:paraId="6ED08891">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14:paraId="1E9054BD">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14:paraId="73D79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25C821DD">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418" w:type="dxa"/>
            <w:vMerge w:val="restart"/>
            <w:vAlign w:val="center"/>
          </w:tcPr>
          <w:p w14:paraId="17123172">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预算配置</w:t>
            </w:r>
          </w:p>
          <w:p w14:paraId="0C593DF1">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（6分）</w:t>
            </w:r>
          </w:p>
        </w:tc>
        <w:tc>
          <w:tcPr>
            <w:tcW w:w="1701" w:type="dxa"/>
            <w:vAlign w:val="center"/>
          </w:tcPr>
          <w:p w14:paraId="5469864A">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预算编制完整性</w:t>
            </w:r>
          </w:p>
        </w:tc>
        <w:tc>
          <w:tcPr>
            <w:tcW w:w="1276" w:type="dxa"/>
            <w:vAlign w:val="center"/>
          </w:tcPr>
          <w:p w14:paraId="7B6CECD9">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14:paraId="79A0F606">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14:paraId="75284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3406C728">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418" w:type="dxa"/>
            <w:vMerge w:val="continue"/>
            <w:vAlign w:val="center"/>
          </w:tcPr>
          <w:p w14:paraId="7F08D213">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701" w:type="dxa"/>
            <w:vAlign w:val="center"/>
          </w:tcPr>
          <w:p w14:paraId="6FECED30">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项目预算细化率</w:t>
            </w:r>
          </w:p>
        </w:tc>
        <w:tc>
          <w:tcPr>
            <w:tcW w:w="1276" w:type="dxa"/>
            <w:vAlign w:val="center"/>
          </w:tcPr>
          <w:p w14:paraId="123F9841">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14:paraId="06B729AA">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14:paraId="05831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7BB4D96B">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418" w:type="dxa"/>
            <w:vMerge w:val="continue"/>
            <w:vAlign w:val="center"/>
          </w:tcPr>
          <w:p w14:paraId="543826E9">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701" w:type="dxa"/>
            <w:vAlign w:val="center"/>
          </w:tcPr>
          <w:p w14:paraId="34827740">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在职人员控制率</w:t>
            </w:r>
          </w:p>
        </w:tc>
        <w:tc>
          <w:tcPr>
            <w:tcW w:w="1276" w:type="dxa"/>
            <w:vAlign w:val="center"/>
          </w:tcPr>
          <w:p w14:paraId="418C0C6E">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14:paraId="5C71FEC7">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14:paraId="3D4C0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2C7DC656">
            <w:pPr>
              <w:spacing w:line="420" w:lineRule="exact"/>
              <w:ind w:firstLine="420" w:firstLineChars="20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合计</w:t>
            </w:r>
          </w:p>
        </w:tc>
        <w:tc>
          <w:tcPr>
            <w:tcW w:w="1701" w:type="dxa"/>
            <w:vAlign w:val="center"/>
          </w:tcPr>
          <w:p w14:paraId="22E006A4">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276" w:type="dxa"/>
            <w:vAlign w:val="center"/>
          </w:tcPr>
          <w:p w14:paraId="3DE51673">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12</w:t>
            </w:r>
          </w:p>
        </w:tc>
        <w:tc>
          <w:tcPr>
            <w:tcW w:w="1134" w:type="dxa"/>
            <w:vAlign w:val="center"/>
          </w:tcPr>
          <w:p w14:paraId="2D9F8D25">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12</w:t>
            </w:r>
          </w:p>
        </w:tc>
      </w:tr>
    </w:tbl>
    <w:p w14:paraId="238D7589">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60" w:name="_Toc465149513"/>
      <w:bookmarkStart w:id="61" w:name="_Toc464638478"/>
      <w:r>
        <w:rPr>
          <w:rFonts w:hint="eastAsia" w:ascii="仿宋_GB2312" w:eastAsia="仿宋_GB2312" w:cs="DengXian-Regular"/>
          <w:color w:val="auto"/>
          <w:sz w:val="32"/>
          <w:szCs w:val="32"/>
          <w:highlight w:val="none"/>
        </w:rPr>
        <w:t>1.绩效目标设定（6分）</w:t>
      </w:r>
    </w:p>
    <w:p w14:paraId="707383C4">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（1）绩效目标合理性(2分)</w:t>
      </w:r>
    </w:p>
    <w:p w14:paraId="00A446A7">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74345550">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通过对比保定市徐水区委办公室及保定市徐水区人民政府办公室印发的《保定市</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职能配置内设机构和人员编制规定》和</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年预算文本—部门职责工作活动绩效目标，评价工作组认为</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部门职责符合“三定”方案中所赋予的职责，绩效目标设立依据充分，符合客观实际，与部门职责、工作规划和重点工作相关，工作活动和项目预算安排合理。</w:t>
      </w:r>
    </w:p>
    <w:p w14:paraId="32484C99">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该指标实际得分2分。</w:t>
      </w:r>
    </w:p>
    <w:p w14:paraId="5CE72BD7">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（2）绩效目标科学性（2分）</w:t>
      </w:r>
    </w:p>
    <w:p w14:paraId="517CBFA7">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14:paraId="31984B34">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年预算文本—部门职责工作活动绩效目标（详见附件4），绩效目标与部门履职、年度工作任务相符；工作活动有明确的绩效目标，绩效目标与部门职责目标、部门年度工作目标一致。</w:t>
      </w:r>
    </w:p>
    <w:p w14:paraId="20FB21ED">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该项指标实际得分2分。</w:t>
      </w:r>
    </w:p>
    <w:p w14:paraId="2E5A6B6A">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（3）绩效目标明确性（2分）</w:t>
      </w:r>
    </w:p>
    <w:p w14:paraId="146DB6B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44573FEC">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年预算文本—部门职责工作活动绩效目标,该指标实际得分</w:t>
      </w:r>
      <w:r>
        <w:rPr>
          <w:rFonts w:hint="eastAsia" w:ascii="仿宋_GB2312" w:eastAsia="仿宋_GB2312" w:cs="DengXian-Regular"/>
          <w:color w:val="auto"/>
          <w:sz w:val="32"/>
          <w:szCs w:val="32"/>
          <w:highlight w:val="none"/>
          <w:lang w:val="en-US" w:eastAsia="zh-CN"/>
        </w:rPr>
        <w:t>2</w:t>
      </w:r>
      <w:r>
        <w:rPr>
          <w:rFonts w:hint="eastAsia" w:ascii="仿宋_GB2312" w:eastAsia="仿宋_GB2312" w:cs="DengXian-Regular"/>
          <w:color w:val="auto"/>
          <w:sz w:val="32"/>
          <w:szCs w:val="32"/>
          <w:highlight w:val="none"/>
        </w:rPr>
        <w:t>分。</w:t>
      </w:r>
    </w:p>
    <w:p w14:paraId="6000F5F4">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2.预算配置（6分）</w:t>
      </w:r>
    </w:p>
    <w:p w14:paraId="68844772">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（1）预算编制完整性（2分）</w:t>
      </w:r>
    </w:p>
    <w:p w14:paraId="2409A17D">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该指标主要评价部门所有收入是否全部纳入部门预算，部门支出预算是否统筹各类支出，按基本支出、项目支出分别编制。</w:t>
      </w:r>
    </w:p>
    <w:p w14:paraId="604991F4">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年预算文本及相关会计资料，</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所有收入均已纳入部门预算，部门支出按基本支出、项目支出分别编制。</w:t>
      </w:r>
    </w:p>
    <w:p w14:paraId="299C0C1D">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2</w:t>
      </w:r>
      <w:r>
        <w:rPr>
          <w:rFonts w:hint="eastAsia" w:ascii="仿宋_GB2312" w:eastAsia="仿宋_GB2312" w:cs="DengXian-Regular"/>
          <w:color w:val="auto"/>
          <w:sz w:val="32"/>
          <w:szCs w:val="32"/>
          <w:highlight w:val="none"/>
        </w:rPr>
        <w:t>分。</w:t>
      </w:r>
    </w:p>
    <w:p w14:paraId="6C3CF26C">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（2）项目预算细化率（2分）</w:t>
      </w:r>
    </w:p>
    <w:p w14:paraId="32CB03B6">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该指标主要评价编报的项目支出是否细化到具体用款单位和项目的资金额度，通过项目预算细化率衡量。</w:t>
      </w:r>
    </w:p>
    <w:p w14:paraId="20AA41D5">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项目预算细化率=细化的项目金额/实际编报的项目金额×100%。</w:t>
      </w:r>
    </w:p>
    <w:p w14:paraId="0E4FA3F7">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年预算文本—部门项目支出预算表，</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lang w:val="en-US" w:eastAsia="zh-CN"/>
        </w:rPr>
        <w:t>部门</w:t>
      </w:r>
      <w:r>
        <w:rPr>
          <w:rFonts w:hint="eastAsia" w:ascii="仿宋_GB2312" w:eastAsia="仿宋_GB2312" w:cs="DengXian-Regular"/>
          <w:color w:val="auto"/>
          <w:sz w:val="32"/>
          <w:szCs w:val="32"/>
          <w:highlight w:val="none"/>
        </w:rPr>
        <w:t>2020年预算项目共</w:t>
      </w:r>
      <w:r>
        <w:rPr>
          <w:rFonts w:hint="eastAsia" w:ascii="仿宋_GB2312" w:eastAsia="仿宋_GB2312" w:cs="DengXian-Regular"/>
          <w:color w:val="auto"/>
          <w:sz w:val="32"/>
          <w:szCs w:val="32"/>
          <w:highlight w:val="none"/>
          <w:lang w:val="en-US" w:eastAsia="zh-CN"/>
        </w:rPr>
        <w:t>29</w:t>
      </w:r>
      <w:r>
        <w:rPr>
          <w:rFonts w:hint="eastAsia" w:ascii="仿宋_GB2312" w:eastAsia="仿宋_GB2312" w:cs="DengXian-Regular"/>
          <w:color w:val="auto"/>
          <w:sz w:val="32"/>
          <w:szCs w:val="32"/>
          <w:highlight w:val="none"/>
        </w:rPr>
        <w:t>个（详见附件2-2-2），涉及资金</w:t>
      </w:r>
      <w:r>
        <w:rPr>
          <w:rFonts w:hint="eastAsia" w:ascii="仿宋_GB2312" w:eastAsia="仿宋_GB2312" w:cs="DengXian-Regular"/>
          <w:color w:val="auto"/>
          <w:sz w:val="32"/>
          <w:szCs w:val="32"/>
          <w:highlight w:val="none"/>
          <w:lang w:val="en-US" w:eastAsia="zh-CN"/>
        </w:rPr>
        <w:t>403.87</w:t>
      </w:r>
      <w:r>
        <w:rPr>
          <w:rFonts w:hint="eastAsia" w:ascii="仿宋_GB2312" w:eastAsia="仿宋_GB2312" w:cs="DengXian-Regular"/>
          <w:color w:val="auto"/>
          <w:sz w:val="32"/>
          <w:szCs w:val="32"/>
          <w:highlight w:val="none"/>
        </w:rPr>
        <w:t>万元，所有项目均细化到具体用款单位及项目资金额度。项目预算细化率=（</w:t>
      </w:r>
      <w:r>
        <w:rPr>
          <w:rFonts w:hint="eastAsia" w:ascii="仿宋_GB2312" w:eastAsia="仿宋_GB2312" w:cs="DengXian-Regular"/>
          <w:color w:val="auto"/>
          <w:sz w:val="32"/>
          <w:szCs w:val="32"/>
          <w:highlight w:val="none"/>
          <w:lang w:val="en-US" w:eastAsia="zh-CN"/>
        </w:rPr>
        <w:t>403.87</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val="en-US" w:eastAsia="zh-CN"/>
        </w:rPr>
        <w:t>403.87</w:t>
      </w:r>
      <w:r>
        <w:rPr>
          <w:rFonts w:hint="eastAsia" w:ascii="仿宋_GB2312" w:eastAsia="仿宋_GB2312" w:cs="DengXian-Regular"/>
          <w:color w:val="auto"/>
          <w:sz w:val="32"/>
          <w:szCs w:val="32"/>
          <w:highlight w:val="none"/>
        </w:rPr>
        <w:t>）*100%=100%</w:t>
      </w:r>
    </w:p>
    <w:p w14:paraId="23B89649">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2</w:t>
      </w:r>
      <w:r>
        <w:rPr>
          <w:rFonts w:hint="eastAsia" w:ascii="仿宋_GB2312" w:eastAsia="仿宋_GB2312" w:cs="DengXian-Regular"/>
          <w:color w:val="auto"/>
          <w:sz w:val="32"/>
          <w:szCs w:val="32"/>
          <w:highlight w:val="none"/>
        </w:rPr>
        <w:t>分。</w:t>
      </w:r>
    </w:p>
    <w:p w14:paraId="22CD1A8B">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（3）在职人员控制率（2分）</w:t>
      </w:r>
    </w:p>
    <w:p w14:paraId="35ECA220">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该指标主要考核截至202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年底</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在职人员控制情况，通过在职人员控制率衡量。</w:t>
      </w:r>
    </w:p>
    <w:p w14:paraId="3372E85A">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在职人员控制率=决算在职人员/编制数×100%。</w:t>
      </w:r>
    </w:p>
    <w:p w14:paraId="549A013E">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根据保定市徐水区委办公室及保定市徐水区人民政府办公室关于印发《保定市</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职能配置内设机构和人员编制规定》的通知，</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lang w:val="en-US" w:eastAsia="zh-CN"/>
        </w:rPr>
        <w:t>部门</w:t>
      </w:r>
      <w:r>
        <w:rPr>
          <w:rFonts w:hint="eastAsia" w:ascii="仿宋_GB2312" w:eastAsia="仿宋_GB2312" w:cs="DengXian-Regular"/>
          <w:color w:val="auto"/>
          <w:sz w:val="32"/>
          <w:szCs w:val="32"/>
          <w:highlight w:val="none"/>
        </w:rPr>
        <w:t>人员编制为</w:t>
      </w:r>
      <w:r>
        <w:rPr>
          <w:rFonts w:hint="eastAsia" w:ascii="仿宋_GB2312" w:eastAsia="仿宋_GB2312" w:cs="DengXian-Regular"/>
          <w:color w:val="auto"/>
          <w:sz w:val="32"/>
          <w:szCs w:val="32"/>
          <w:highlight w:val="none"/>
          <w:lang w:val="en-US" w:eastAsia="zh-CN"/>
        </w:rPr>
        <w:t>58</w:t>
      </w:r>
      <w:r>
        <w:rPr>
          <w:rFonts w:hint="eastAsia" w:ascii="仿宋_GB2312" w:eastAsia="仿宋_GB2312" w:cs="DengXian-Regular"/>
          <w:color w:val="auto"/>
          <w:sz w:val="32"/>
          <w:szCs w:val="32"/>
          <w:highlight w:val="none"/>
        </w:rPr>
        <w:t>人，根据</w:t>
      </w:r>
      <w:r>
        <w:rPr>
          <w:rFonts w:hint="eastAsia" w:ascii="仿宋_GB2312" w:eastAsia="仿宋_GB2312" w:cs="DengXian-Regular"/>
          <w:color w:val="auto"/>
          <w:sz w:val="32"/>
          <w:szCs w:val="32"/>
          <w:highlight w:val="none"/>
          <w:lang w:eastAsia="zh-CN"/>
        </w:rPr>
        <w:t>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年决算文本-部门基本情况表，截至202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年底，在职人员</w:t>
      </w:r>
      <w:r>
        <w:rPr>
          <w:rFonts w:hint="eastAsia" w:ascii="仿宋_GB2312" w:eastAsia="仿宋_GB2312" w:cs="DengXian-Regular"/>
          <w:color w:val="auto"/>
          <w:sz w:val="32"/>
          <w:szCs w:val="32"/>
          <w:highlight w:val="none"/>
          <w:lang w:val="en-US" w:eastAsia="zh-CN"/>
        </w:rPr>
        <w:t>96</w:t>
      </w:r>
      <w:r>
        <w:rPr>
          <w:rFonts w:hint="eastAsia" w:ascii="仿宋_GB2312" w:eastAsia="仿宋_GB2312" w:cs="DengXian-Regular"/>
          <w:color w:val="auto"/>
          <w:sz w:val="32"/>
          <w:szCs w:val="32"/>
          <w:highlight w:val="none"/>
        </w:rPr>
        <w:t>人，在职人员控制率=（</w:t>
      </w:r>
      <w:r>
        <w:rPr>
          <w:rFonts w:hint="eastAsia" w:ascii="仿宋_GB2312" w:eastAsia="仿宋_GB2312" w:cs="DengXian-Regular"/>
          <w:color w:val="auto"/>
          <w:sz w:val="32"/>
          <w:szCs w:val="32"/>
          <w:highlight w:val="none"/>
          <w:lang w:val="en-US" w:eastAsia="zh-CN"/>
        </w:rPr>
        <w:t>96</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val="en-US" w:eastAsia="zh-CN"/>
        </w:rPr>
        <w:t>58</w:t>
      </w:r>
      <w:r>
        <w:rPr>
          <w:rFonts w:hint="eastAsia" w:ascii="仿宋_GB2312" w:eastAsia="仿宋_GB2312" w:cs="DengXian-Regular"/>
          <w:color w:val="auto"/>
          <w:sz w:val="32"/>
          <w:szCs w:val="32"/>
          <w:highlight w:val="none"/>
        </w:rPr>
        <w:t>）*100%=</w:t>
      </w:r>
      <w:r>
        <w:rPr>
          <w:rFonts w:hint="eastAsia" w:ascii="仿宋_GB2312" w:eastAsia="仿宋_GB2312" w:cs="DengXian-Regular"/>
          <w:color w:val="auto"/>
          <w:sz w:val="32"/>
          <w:szCs w:val="32"/>
          <w:highlight w:val="none"/>
          <w:lang w:val="en-US" w:eastAsia="zh-CN"/>
        </w:rPr>
        <w:t>59.18</w:t>
      </w:r>
      <w:r>
        <w:rPr>
          <w:rFonts w:hint="eastAsia" w:ascii="仿宋_GB2312" w:eastAsia="仿宋_GB2312" w:cs="DengXian-Regular"/>
          <w:color w:val="auto"/>
          <w:sz w:val="32"/>
          <w:szCs w:val="32"/>
          <w:highlight w:val="none"/>
        </w:rPr>
        <w:t>%。</w:t>
      </w:r>
    </w:p>
    <w:p w14:paraId="2D954481">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0</w:t>
      </w:r>
      <w:r>
        <w:rPr>
          <w:rFonts w:hint="eastAsia" w:ascii="仿宋_GB2312" w:eastAsia="仿宋_GB2312" w:cs="DengXian-Regular"/>
          <w:color w:val="auto"/>
          <w:sz w:val="32"/>
          <w:szCs w:val="32"/>
          <w:highlight w:val="none"/>
        </w:rPr>
        <w:t>分。</w:t>
      </w:r>
    </w:p>
    <w:bookmarkEnd w:id="60"/>
    <w:bookmarkEnd w:id="61"/>
    <w:p w14:paraId="4AB3383E">
      <w:pPr>
        <w:pStyle w:val="4"/>
        <w:spacing w:before="0" w:after="0"/>
        <w:ind w:firstLine="643" w:firstLineChars="200"/>
        <w:jc w:val="both"/>
        <w:rPr>
          <w:rFonts w:ascii="楷体" w:hAnsi="楷体" w:eastAsia="楷体"/>
          <w:color w:val="auto"/>
          <w:sz w:val="32"/>
          <w:highlight w:val="none"/>
        </w:rPr>
      </w:pPr>
      <w:bookmarkStart w:id="62" w:name="_Toc19940"/>
      <w:r>
        <w:rPr>
          <w:rFonts w:hint="eastAsia" w:ascii="楷体" w:hAnsi="楷体" w:eastAsia="楷体"/>
          <w:color w:val="auto"/>
          <w:sz w:val="32"/>
          <w:highlight w:val="none"/>
        </w:rPr>
        <w:t>（二）过程（48分）</w:t>
      </w:r>
      <w:bookmarkEnd w:id="62"/>
    </w:p>
    <w:p w14:paraId="4091379D">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63" w:name="_Toc464638480"/>
      <w:r>
        <w:rPr>
          <w:rFonts w:hint="eastAsia" w:ascii="仿宋_GB2312" w:eastAsia="仿宋_GB2312" w:cs="DengXian-Regular"/>
          <w:color w:val="auto"/>
          <w:sz w:val="32"/>
          <w:szCs w:val="32"/>
          <w:highlight w:val="none"/>
        </w:rPr>
        <w:t>该一级指标包含预算执行、预算管理和绩效评价三个二级指标，主要反映预算调整、收入支出完成情况，“三公”经费、政府采购执行情况，财务管理是否规范、资金使用是否合规，决算真实性。</w:t>
      </w:r>
    </w:p>
    <w:p w14:paraId="1B26C229">
      <w:pPr>
        <w:spacing w:after="0" w:line="360" w:lineRule="auto"/>
        <w:jc w:val="center"/>
        <w:textAlignment w:val="baseline"/>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60A5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64B126EB">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一级指标</w:t>
            </w:r>
          </w:p>
        </w:tc>
        <w:tc>
          <w:tcPr>
            <w:tcW w:w="1388" w:type="dxa"/>
            <w:vAlign w:val="center"/>
          </w:tcPr>
          <w:p w14:paraId="5BE7660E">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二级指标</w:t>
            </w:r>
          </w:p>
        </w:tc>
        <w:tc>
          <w:tcPr>
            <w:tcW w:w="2277" w:type="dxa"/>
            <w:vAlign w:val="center"/>
          </w:tcPr>
          <w:p w14:paraId="1326A1A4">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三级指标</w:t>
            </w:r>
          </w:p>
        </w:tc>
        <w:tc>
          <w:tcPr>
            <w:tcW w:w="1155" w:type="dxa"/>
            <w:vAlign w:val="center"/>
          </w:tcPr>
          <w:p w14:paraId="1AFB3BDA">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分数权重</w:t>
            </w:r>
          </w:p>
        </w:tc>
        <w:tc>
          <w:tcPr>
            <w:tcW w:w="1276" w:type="dxa"/>
            <w:vAlign w:val="center"/>
          </w:tcPr>
          <w:p w14:paraId="670CC419">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得分</w:t>
            </w:r>
          </w:p>
        </w:tc>
      </w:tr>
      <w:tr w14:paraId="6324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1C49376F">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过程（48分）</w:t>
            </w:r>
          </w:p>
        </w:tc>
        <w:tc>
          <w:tcPr>
            <w:tcW w:w="1388" w:type="dxa"/>
            <w:vMerge w:val="restart"/>
            <w:vAlign w:val="center"/>
          </w:tcPr>
          <w:p w14:paraId="154CE4C5">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预算执行</w:t>
            </w:r>
          </w:p>
          <w:p w14:paraId="05AAE5C4">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（24分）</w:t>
            </w:r>
          </w:p>
        </w:tc>
        <w:tc>
          <w:tcPr>
            <w:tcW w:w="2277" w:type="dxa"/>
            <w:vAlign w:val="center"/>
          </w:tcPr>
          <w:p w14:paraId="22629C22">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预算收入调整率</w:t>
            </w:r>
          </w:p>
        </w:tc>
        <w:tc>
          <w:tcPr>
            <w:tcW w:w="1155" w:type="dxa"/>
            <w:vAlign w:val="center"/>
          </w:tcPr>
          <w:p w14:paraId="4BE27C65">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276" w:type="dxa"/>
            <w:vAlign w:val="center"/>
          </w:tcPr>
          <w:p w14:paraId="767F3DE7">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14:paraId="38FD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01347A2">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14:paraId="014DD440">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14:paraId="39029237">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收入完成率</w:t>
            </w:r>
          </w:p>
        </w:tc>
        <w:tc>
          <w:tcPr>
            <w:tcW w:w="1155" w:type="dxa"/>
            <w:vAlign w:val="center"/>
          </w:tcPr>
          <w:p w14:paraId="427E37C8">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14:paraId="1FF8B770">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14:paraId="4C39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B0EFB8A">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14:paraId="29579436">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14:paraId="59AEF0A3">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预算支出调整率</w:t>
            </w:r>
          </w:p>
        </w:tc>
        <w:tc>
          <w:tcPr>
            <w:tcW w:w="1155" w:type="dxa"/>
            <w:vAlign w:val="center"/>
          </w:tcPr>
          <w:p w14:paraId="44446595">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276" w:type="dxa"/>
            <w:vAlign w:val="center"/>
          </w:tcPr>
          <w:p w14:paraId="6508D8ED">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14:paraId="0AB2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6E00BB7">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14:paraId="07897B68">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14:paraId="7D30848F">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财政拨款支出完成率</w:t>
            </w:r>
          </w:p>
        </w:tc>
        <w:tc>
          <w:tcPr>
            <w:tcW w:w="1155" w:type="dxa"/>
            <w:vAlign w:val="center"/>
          </w:tcPr>
          <w:p w14:paraId="5F3CE1D0">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14:paraId="47E6DD4B">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14:paraId="4094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F66F4DD">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14:paraId="24B16F08">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14:paraId="1F0555B3">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“三公经费”控制率</w:t>
            </w:r>
          </w:p>
        </w:tc>
        <w:tc>
          <w:tcPr>
            <w:tcW w:w="1155" w:type="dxa"/>
            <w:vAlign w:val="center"/>
          </w:tcPr>
          <w:p w14:paraId="024D6A03">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276" w:type="dxa"/>
            <w:vAlign w:val="center"/>
          </w:tcPr>
          <w:p w14:paraId="1118522F">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3</w:t>
            </w:r>
          </w:p>
        </w:tc>
      </w:tr>
      <w:tr w14:paraId="6407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335B9FD">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14:paraId="4E94DA46">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14:paraId="546B1727">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政府采购执行率</w:t>
            </w:r>
          </w:p>
        </w:tc>
        <w:tc>
          <w:tcPr>
            <w:tcW w:w="1155" w:type="dxa"/>
            <w:vAlign w:val="center"/>
          </w:tcPr>
          <w:p w14:paraId="1EC917E3">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276" w:type="dxa"/>
            <w:vAlign w:val="center"/>
          </w:tcPr>
          <w:p w14:paraId="41801E03">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3</w:t>
            </w:r>
          </w:p>
        </w:tc>
      </w:tr>
      <w:tr w14:paraId="2CAA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2F733C4">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14:paraId="64A0BFB3">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14:paraId="53D013B6">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资金使用合规性</w:t>
            </w:r>
          </w:p>
        </w:tc>
        <w:tc>
          <w:tcPr>
            <w:tcW w:w="1155" w:type="dxa"/>
            <w:vAlign w:val="center"/>
          </w:tcPr>
          <w:p w14:paraId="77B877D4">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276" w:type="dxa"/>
            <w:vAlign w:val="center"/>
          </w:tcPr>
          <w:p w14:paraId="5292B52C">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3</w:t>
            </w:r>
          </w:p>
        </w:tc>
      </w:tr>
      <w:tr w14:paraId="3BCE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21AAB61">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14:paraId="5A65F42A">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14:paraId="0D6434C5">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决算真实性</w:t>
            </w:r>
          </w:p>
        </w:tc>
        <w:tc>
          <w:tcPr>
            <w:tcW w:w="1155" w:type="dxa"/>
            <w:vAlign w:val="center"/>
          </w:tcPr>
          <w:p w14:paraId="1D30B9C5">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276" w:type="dxa"/>
            <w:vAlign w:val="center"/>
          </w:tcPr>
          <w:p w14:paraId="093A8A43">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3</w:t>
            </w:r>
          </w:p>
        </w:tc>
      </w:tr>
      <w:tr w14:paraId="2B90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E963A12">
            <w:pPr>
              <w:spacing w:line="420" w:lineRule="exact"/>
              <w:jc w:val="center"/>
              <w:rPr>
                <w:rFonts w:cs="宋体" w:asciiTheme="minorEastAsia" w:hAnsiTheme="minorEastAsia" w:eastAsiaTheme="minorEastAsia"/>
                <w:color w:val="auto"/>
                <w:sz w:val="21"/>
                <w:szCs w:val="21"/>
                <w:highlight w:val="none"/>
              </w:rPr>
            </w:pPr>
          </w:p>
        </w:tc>
        <w:tc>
          <w:tcPr>
            <w:tcW w:w="1388" w:type="dxa"/>
            <w:vMerge w:val="restart"/>
            <w:vAlign w:val="center"/>
          </w:tcPr>
          <w:p w14:paraId="5735DCEC">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预算管理</w:t>
            </w:r>
          </w:p>
          <w:p w14:paraId="38450EBE">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（16分）</w:t>
            </w:r>
          </w:p>
        </w:tc>
        <w:tc>
          <w:tcPr>
            <w:tcW w:w="2277" w:type="dxa"/>
            <w:vAlign w:val="center"/>
          </w:tcPr>
          <w:p w14:paraId="0FB86606">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管理制度健全性</w:t>
            </w:r>
          </w:p>
        </w:tc>
        <w:tc>
          <w:tcPr>
            <w:tcW w:w="1155" w:type="dxa"/>
            <w:vAlign w:val="center"/>
          </w:tcPr>
          <w:p w14:paraId="01226161">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14:paraId="78F61953">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14:paraId="533F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19F38B9">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14:paraId="492EF5D7">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14:paraId="3BDC8909">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预决算信息公开</w:t>
            </w:r>
          </w:p>
        </w:tc>
        <w:tc>
          <w:tcPr>
            <w:tcW w:w="1155" w:type="dxa"/>
            <w:vAlign w:val="center"/>
          </w:tcPr>
          <w:p w14:paraId="09BF740C">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14:paraId="7C585714">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14:paraId="0D8B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EBA4546">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14:paraId="3BB99465">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14:paraId="44B934E9">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基础信息完善性</w:t>
            </w:r>
          </w:p>
        </w:tc>
        <w:tc>
          <w:tcPr>
            <w:tcW w:w="1155" w:type="dxa"/>
            <w:vAlign w:val="center"/>
          </w:tcPr>
          <w:p w14:paraId="33728380">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14:paraId="065A6031">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14:paraId="76B2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C0A8E4C">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14:paraId="5899FDB1">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14:paraId="7B25E4CA">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资产管理规范性</w:t>
            </w:r>
          </w:p>
        </w:tc>
        <w:tc>
          <w:tcPr>
            <w:tcW w:w="1155" w:type="dxa"/>
            <w:vAlign w:val="center"/>
          </w:tcPr>
          <w:p w14:paraId="781652CA">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14:paraId="0ABD2668">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14:paraId="08B1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3D7337AA">
            <w:pPr>
              <w:spacing w:line="420" w:lineRule="exact"/>
              <w:jc w:val="center"/>
              <w:rPr>
                <w:rFonts w:cs="宋体" w:asciiTheme="minorEastAsia" w:hAnsiTheme="minorEastAsia" w:eastAsiaTheme="minorEastAsia"/>
                <w:color w:val="auto"/>
                <w:sz w:val="21"/>
                <w:szCs w:val="21"/>
                <w:highlight w:val="none"/>
              </w:rPr>
            </w:pPr>
          </w:p>
        </w:tc>
        <w:tc>
          <w:tcPr>
            <w:tcW w:w="1388" w:type="dxa"/>
            <w:vMerge w:val="restart"/>
            <w:vAlign w:val="center"/>
          </w:tcPr>
          <w:p w14:paraId="6F85D350">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绩效评价</w:t>
            </w:r>
          </w:p>
          <w:p w14:paraId="7B2805A1">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（8分）</w:t>
            </w:r>
          </w:p>
        </w:tc>
        <w:tc>
          <w:tcPr>
            <w:tcW w:w="2277" w:type="dxa"/>
            <w:vAlign w:val="center"/>
          </w:tcPr>
          <w:p w14:paraId="178309AF">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绩效自评覆盖率</w:t>
            </w:r>
          </w:p>
        </w:tc>
        <w:tc>
          <w:tcPr>
            <w:tcW w:w="1155" w:type="dxa"/>
            <w:vAlign w:val="center"/>
          </w:tcPr>
          <w:p w14:paraId="1D3601E7">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14:paraId="7DA68896">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14:paraId="1FDD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14:paraId="1E9757D2">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14:paraId="401D8867">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14:paraId="2C2E2614">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绩效评价优等率</w:t>
            </w:r>
          </w:p>
        </w:tc>
        <w:tc>
          <w:tcPr>
            <w:tcW w:w="1155" w:type="dxa"/>
            <w:vAlign w:val="center"/>
          </w:tcPr>
          <w:p w14:paraId="6716F8F6">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14:paraId="2897BA7B">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14:paraId="3E1D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192B1CAE">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合计</w:t>
            </w:r>
          </w:p>
        </w:tc>
        <w:tc>
          <w:tcPr>
            <w:tcW w:w="2277" w:type="dxa"/>
            <w:vAlign w:val="center"/>
          </w:tcPr>
          <w:p w14:paraId="299F8EDA">
            <w:pPr>
              <w:spacing w:line="420" w:lineRule="exact"/>
              <w:jc w:val="center"/>
              <w:rPr>
                <w:rFonts w:cs="宋体" w:asciiTheme="minorEastAsia" w:hAnsiTheme="minorEastAsia" w:eastAsiaTheme="minorEastAsia"/>
                <w:color w:val="auto"/>
                <w:sz w:val="21"/>
                <w:szCs w:val="21"/>
                <w:highlight w:val="none"/>
              </w:rPr>
            </w:pPr>
          </w:p>
        </w:tc>
        <w:tc>
          <w:tcPr>
            <w:tcW w:w="1155" w:type="dxa"/>
            <w:vAlign w:val="center"/>
          </w:tcPr>
          <w:p w14:paraId="6CD2E669">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48</w:t>
            </w:r>
          </w:p>
        </w:tc>
        <w:tc>
          <w:tcPr>
            <w:tcW w:w="1276" w:type="dxa"/>
            <w:vAlign w:val="center"/>
          </w:tcPr>
          <w:p w14:paraId="241B38EF">
            <w:pPr>
              <w:spacing w:line="42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48</w:t>
            </w:r>
          </w:p>
        </w:tc>
      </w:tr>
      <w:bookmarkEnd w:id="63"/>
    </w:tbl>
    <w:p w14:paraId="04464EC4">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64" w:name="_Toc465149514"/>
      <w:bookmarkStart w:id="65" w:name="_Toc464638487"/>
      <w:r>
        <w:rPr>
          <w:rFonts w:hint="eastAsia" w:ascii="仿宋_GB2312" w:eastAsia="仿宋_GB2312" w:cs="DengXian-Regular"/>
          <w:color w:val="auto"/>
          <w:sz w:val="32"/>
          <w:szCs w:val="32"/>
          <w:highlight w:val="none"/>
        </w:rPr>
        <w:t>1.预算执行（24分）</w:t>
      </w:r>
    </w:p>
    <w:p w14:paraId="58AB102B">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（1）预算收入调整率（2分）</w:t>
      </w:r>
    </w:p>
    <w:p w14:paraId="6247A4D5">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该指标主要评价预算收入的调整情况，进而衡量预算收入编制的准确性，通过预算收入调整率衡量。</w:t>
      </w:r>
    </w:p>
    <w:p w14:paraId="400EC499">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预算收入调整率=（</w:t>
      </w:r>
      <w:r>
        <w:rPr>
          <w:rFonts w:hint="eastAsia" w:ascii="仿宋_GB2312" w:eastAsia="仿宋_GB2312" w:cs="DengXian-Regular"/>
          <w:color w:val="auto"/>
          <w:sz w:val="32"/>
          <w:szCs w:val="32"/>
          <w:highlight w:val="none"/>
          <w:lang w:val="en-US" w:eastAsia="zh-CN"/>
        </w:rPr>
        <w:t>1719.16</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val="en-US" w:eastAsia="zh-CN"/>
        </w:rPr>
        <w:t>1666.64</w:t>
      </w:r>
      <w:r>
        <w:rPr>
          <w:rFonts w:hint="eastAsia" w:ascii="仿宋_GB2312" w:eastAsia="仿宋_GB2312" w:cs="DengXian-Regular"/>
          <w:color w:val="auto"/>
          <w:sz w:val="32"/>
          <w:szCs w:val="32"/>
          <w:highlight w:val="none"/>
        </w:rPr>
        <w:t>）/年初预算数*</w:t>
      </w:r>
      <w:r>
        <w:rPr>
          <w:rFonts w:hint="eastAsia" w:ascii="仿宋_GB2312" w:eastAsia="仿宋_GB2312" w:cs="DengXian-Regular"/>
          <w:color w:val="auto"/>
          <w:sz w:val="32"/>
          <w:szCs w:val="32"/>
          <w:highlight w:val="none"/>
          <w:lang w:val="en-US" w:eastAsia="zh-CN"/>
        </w:rPr>
        <w:t>3.15</w:t>
      </w:r>
      <w:r>
        <w:rPr>
          <w:rFonts w:hint="eastAsia" w:ascii="仿宋_GB2312" w:eastAsia="仿宋_GB2312" w:cs="DengXian-Regular"/>
          <w:color w:val="auto"/>
          <w:sz w:val="32"/>
          <w:szCs w:val="32"/>
          <w:highlight w:val="none"/>
        </w:rPr>
        <w:t>%</w:t>
      </w:r>
    </w:p>
    <w:p w14:paraId="608EB98D">
      <w:pPr>
        <w:spacing w:after="0" w:line="360" w:lineRule="auto"/>
        <w:ind w:firstLine="640" w:firstLineChars="200"/>
        <w:jc w:val="both"/>
        <w:textAlignment w:val="baseline"/>
        <w:rPr>
          <w:rFonts w:hint="default" w:ascii="仿宋_GB2312" w:eastAsia="仿宋_GB2312" w:cs="DengXian-Regular"/>
          <w:color w:val="auto"/>
          <w:sz w:val="32"/>
          <w:szCs w:val="32"/>
          <w:highlight w:val="none"/>
          <w:lang w:val="en-US" w:eastAsia="zh-CN"/>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单位的预算指标文件，其中：保财农【2021】56号</w:t>
      </w:r>
      <w:r>
        <w:rPr>
          <w:rFonts w:hint="eastAsia" w:ascii="仿宋_GB2312" w:eastAsia="仿宋_GB2312" w:cs="DengXian-Regular"/>
          <w:color w:val="auto"/>
          <w:sz w:val="32"/>
          <w:szCs w:val="32"/>
          <w:highlight w:val="none"/>
          <w:lang w:eastAsia="zh-CN"/>
        </w:rPr>
        <w:t>追加</w:t>
      </w:r>
      <w:r>
        <w:rPr>
          <w:rFonts w:hint="eastAsia" w:ascii="仿宋_GB2312" w:eastAsia="仿宋_GB2312" w:cs="DengXian-Regular"/>
          <w:color w:val="auto"/>
          <w:sz w:val="32"/>
          <w:szCs w:val="32"/>
          <w:highlight w:val="none"/>
          <w:lang w:val="en-US" w:eastAsia="zh-CN"/>
        </w:rPr>
        <w:t>2021年农村综合改革转移支付资金73万元，</w:t>
      </w:r>
      <w:r>
        <w:rPr>
          <w:rFonts w:hint="eastAsia" w:ascii="仿宋_GB2312" w:eastAsia="仿宋_GB2312" w:cs="DengXian-Regular"/>
          <w:color w:val="auto"/>
          <w:sz w:val="32"/>
          <w:szCs w:val="32"/>
          <w:highlight w:val="none"/>
        </w:rPr>
        <w:t>徐财预指【2021】1-1384号</w:t>
      </w:r>
      <w:r>
        <w:rPr>
          <w:rFonts w:hint="eastAsia" w:ascii="仿宋_GB2312" w:eastAsia="仿宋_GB2312" w:cs="DengXian-Regular"/>
          <w:color w:val="auto"/>
          <w:sz w:val="32"/>
          <w:szCs w:val="32"/>
          <w:highlight w:val="none"/>
          <w:lang w:eastAsia="zh-CN"/>
        </w:rPr>
        <w:t>追加锅炉低氮改造资金</w:t>
      </w:r>
      <w:r>
        <w:rPr>
          <w:rFonts w:hint="eastAsia" w:ascii="仿宋_GB2312" w:eastAsia="仿宋_GB2312" w:cs="DengXian-Regular"/>
          <w:color w:val="auto"/>
          <w:sz w:val="32"/>
          <w:szCs w:val="32"/>
          <w:highlight w:val="none"/>
          <w:lang w:val="en-US" w:eastAsia="zh-CN"/>
        </w:rPr>
        <w:t>16.9万元，</w:t>
      </w:r>
      <w:r>
        <w:rPr>
          <w:rFonts w:hint="eastAsia" w:ascii="仿宋_GB2312" w:eastAsia="仿宋_GB2312" w:cs="DengXian-Regular"/>
          <w:color w:val="auto"/>
          <w:sz w:val="32"/>
          <w:szCs w:val="32"/>
          <w:highlight w:val="none"/>
        </w:rPr>
        <w:t>徐财预指{2021}1-1442</w:t>
      </w:r>
      <w:r>
        <w:rPr>
          <w:rFonts w:hint="eastAsia" w:ascii="仿宋_GB2312" w:eastAsia="仿宋_GB2312" w:cs="DengXian-Regular"/>
          <w:color w:val="auto"/>
          <w:sz w:val="32"/>
          <w:szCs w:val="32"/>
          <w:highlight w:val="none"/>
          <w:lang w:eastAsia="zh-CN"/>
        </w:rPr>
        <w:t>追加政法稳定经费</w:t>
      </w:r>
      <w:r>
        <w:rPr>
          <w:rFonts w:hint="eastAsia" w:ascii="仿宋_GB2312" w:eastAsia="仿宋_GB2312" w:cs="DengXian-Regular"/>
          <w:color w:val="auto"/>
          <w:sz w:val="32"/>
          <w:szCs w:val="32"/>
          <w:highlight w:val="none"/>
          <w:lang w:val="en-US" w:eastAsia="zh-CN"/>
        </w:rPr>
        <w:t>10万元，</w:t>
      </w:r>
      <w:r>
        <w:rPr>
          <w:rFonts w:hint="eastAsia" w:ascii="仿宋_GB2312" w:eastAsia="仿宋_GB2312" w:cs="DengXian-Regular"/>
          <w:color w:val="auto"/>
          <w:sz w:val="32"/>
          <w:szCs w:val="32"/>
          <w:highlight w:val="none"/>
        </w:rPr>
        <w:t>保财行【2021】18号</w:t>
      </w:r>
      <w:r>
        <w:rPr>
          <w:rFonts w:hint="eastAsia" w:ascii="仿宋_GB2312" w:eastAsia="仿宋_GB2312" w:cs="DengXian-Regular"/>
          <w:color w:val="auto"/>
          <w:sz w:val="32"/>
          <w:szCs w:val="32"/>
          <w:highlight w:val="none"/>
          <w:lang w:eastAsia="zh-CN"/>
        </w:rPr>
        <w:t>追加下达阿式清真寺改造补助资金</w:t>
      </w:r>
      <w:r>
        <w:rPr>
          <w:rFonts w:hint="eastAsia" w:ascii="仿宋_GB2312" w:eastAsia="仿宋_GB2312" w:cs="DengXian-Regular"/>
          <w:color w:val="auto"/>
          <w:sz w:val="32"/>
          <w:szCs w:val="32"/>
          <w:highlight w:val="none"/>
          <w:lang w:val="en-US" w:eastAsia="zh-CN"/>
        </w:rPr>
        <w:t>9.79万元</w:t>
      </w:r>
      <w:r>
        <w:rPr>
          <w:rFonts w:hint="eastAsia" w:ascii="仿宋_GB2312" w:eastAsia="仿宋_GB2312" w:cs="DengXian-Regular"/>
          <w:color w:val="auto"/>
          <w:sz w:val="32"/>
          <w:szCs w:val="32"/>
          <w:highlight w:val="none"/>
        </w:rPr>
        <w:t>徐财预指【2021】3-1083号</w:t>
      </w:r>
      <w:r>
        <w:rPr>
          <w:rFonts w:hint="eastAsia" w:ascii="仿宋_GB2312" w:eastAsia="仿宋_GB2312" w:cs="DengXian-Regular"/>
          <w:color w:val="auto"/>
          <w:sz w:val="32"/>
          <w:szCs w:val="32"/>
          <w:highlight w:val="none"/>
          <w:lang w:eastAsia="zh-CN"/>
        </w:rPr>
        <w:t>追加村级组织建设维护资金</w:t>
      </w:r>
      <w:r>
        <w:rPr>
          <w:rFonts w:hint="eastAsia" w:ascii="仿宋_GB2312" w:eastAsia="仿宋_GB2312" w:cs="DengXian-Regular"/>
          <w:color w:val="auto"/>
          <w:sz w:val="32"/>
          <w:szCs w:val="32"/>
          <w:highlight w:val="none"/>
          <w:lang w:val="en-US" w:eastAsia="zh-CN"/>
        </w:rPr>
        <w:t>9万元，</w:t>
      </w:r>
      <w:r>
        <w:rPr>
          <w:rFonts w:hint="eastAsia" w:ascii="仿宋_GB2312" w:eastAsia="仿宋_GB2312" w:cs="DengXian-Regular"/>
          <w:color w:val="auto"/>
          <w:sz w:val="32"/>
          <w:szCs w:val="32"/>
          <w:highlight w:val="none"/>
        </w:rPr>
        <w:t>徐财预指【2021】1-1203号</w:t>
      </w:r>
      <w:r>
        <w:rPr>
          <w:rFonts w:hint="eastAsia" w:ascii="仿宋_GB2312" w:eastAsia="仿宋_GB2312" w:cs="DengXian-Regular"/>
          <w:color w:val="auto"/>
          <w:sz w:val="32"/>
          <w:szCs w:val="32"/>
          <w:highlight w:val="none"/>
          <w:lang w:eastAsia="zh-CN"/>
        </w:rPr>
        <w:t>追加秸秆垃圾禁烧工作费用和三级禁烧网格员补贴资金</w:t>
      </w:r>
      <w:r>
        <w:rPr>
          <w:rFonts w:hint="eastAsia" w:ascii="仿宋_GB2312" w:eastAsia="仿宋_GB2312" w:cs="DengXian-Regular"/>
          <w:color w:val="auto"/>
          <w:sz w:val="32"/>
          <w:szCs w:val="32"/>
          <w:highlight w:val="none"/>
          <w:lang w:val="en-US" w:eastAsia="zh-CN"/>
        </w:rPr>
        <w:t>12.35万元，</w:t>
      </w:r>
      <w:r>
        <w:rPr>
          <w:rFonts w:hint="eastAsia" w:ascii="仿宋_GB2312" w:eastAsia="仿宋_GB2312" w:cs="DengXian-Regular"/>
          <w:color w:val="auto"/>
          <w:sz w:val="32"/>
          <w:szCs w:val="32"/>
          <w:highlight w:val="none"/>
        </w:rPr>
        <w:t>徐财预指[2021]1－1233号</w:t>
      </w:r>
      <w:r>
        <w:rPr>
          <w:rFonts w:hint="eastAsia" w:ascii="仿宋_GB2312" w:eastAsia="仿宋_GB2312" w:cs="DengXian-Regular"/>
          <w:color w:val="auto"/>
          <w:sz w:val="32"/>
          <w:szCs w:val="32"/>
          <w:highlight w:val="none"/>
          <w:lang w:eastAsia="zh-CN"/>
        </w:rPr>
        <w:t>追加新冠疫苗接种工作经费</w:t>
      </w:r>
      <w:r>
        <w:rPr>
          <w:rFonts w:hint="eastAsia" w:ascii="仿宋_GB2312" w:eastAsia="仿宋_GB2312" w:cs="DengXian-Regular"/>
          <w:color w:val="auto"/>
          <w:sz w:val="32"/>
          <w:szCs w:val="32"/>
          <w:highlight w:val="none"/>
          <w:lang w:val="en-US" w:eastAsia="zh-CN"/>
        </w:rPr>
        <w:t>4万元，</w:t>
      </w:r>
    </w:p>
    <w:p w14:paraId="2BDC5E8B">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年初预算数为</w:t>
      </w:r>
      <w:r>
        <w:rPr>
          <w:rFonts w:hint="eastAsia" w:ascii="仿宋_GB2312" w:eastAsia="仿宋_GB2312" w:cs="DengXian-Regular"/>
          <w:color w:val="auto"/>
          <w:sz w:val="32"/>
          <w:szCs w:val="32"/>
          <w:highlight w:val="none"/>
          <w:lang w:val="en-US" w:eastAsia="zh-CN"/>
        </w:rPr>
        <w:t>1666.64</w:t>
      </w:r>
      <w:r>
        <w:rPr>
          <w:rFonts w:hint="eastAsia" w:ascii="仿宋_GB2312" w:eastAsia="仿宋_GB2312" w:cs="DengXian-Regular"/>
          <w:color w:val="auto"/>
          <w:sz w:val="32"/>
          <w:szCs w:val="32"/>
          <w:highlight w:val="none"/>
        </w:rPr>
        <w:t>万元，预算收入调整率为</w:t>
      </w:r>
      <w:r>
        <w:rPr>
          <w:rFonts w:hint="eastAsia" w:ascii="仿宋_GB2312" w:eastAsia="仿宋_GB2312" w:cs="DengXian-Regular"/>
          <w:color w:val="auto"/>
          <w:sz w:val="32"/>
          <w:szCs w:val="32"/>
          <w:highlight w:val="none"/>
          <w:lang w:val="en-US" w:eastAsia="zh-CN"/>
        </w:rPr>
        <w:t>3.15</w:t>
      </w:r>
      <w:r>
        <w:rPr>
          <w:rFonts w:hint="eastAsia" w:ascii="仿宋_GB2312" w:eastAsia="仿宋_GB2312" w:cs="DengXian-Regular"/>
          <w:color w:val="auto"/>
          <w:sz w:val="32"/>
          <w:szCs w:val="32"/>
          <w:highlight w:val="none"/>
        </w:rPr>
        <w:t>%，预算调整增加了</w:t>
      </w:r>
      <w:r>
        <w:rPr>
          <w:rFonts w:hint="eastAsia" w:ascii="仿宋_GB2312" w:eastAsia="仿宋_GB2312" w:cs="DengXian-Regular"/>
          <w:color w:val="auto"/>
          <w:sz w:val="32"/>
          <w:szCs w:val="32"/>
          <w:highlight w:val="none"/>
          <w:lang w:val="en-US" w:eastAsia="zh-CN"/>
        </w:rPr>
        <w:t>3</w:t>
      </w:r>
      <w:r>
        <w:rPr>
          <w:rFonts w:hint="eastAsia" w:ascii="仿宋_GB2312" w:eastAsia="仿宋_GB2312" w:cs="DengXian-Regular"/>
          <w:color w:val="auto"/>
          <w:sz w:val="32"/>
          <w:szCs w:val="32"/>
          <w:highlight w:val="none"/>
        </w:rPr>
        <w:t>个百分点，扣</w:t>
      </w:r>
      <w:r>
        <w:rPr>
          <w:rFonts w:hint="eastAsia" w:ascii="仿宋_GB2312" w:eastAsia="仿宋_GB2312" w:cs="DengXian-Regular"/>
          <w:color w:val="auto"/>
          <w:sz w:val="32"/>
          <w:szCs w:val="32"/>
          <w:highlight w:val="none"/>
          <w:lang w:val="en-US" w:eastAsia="zh-CN"/>
        </w:rPr>
        <w:t>3.15</w:t>
      </w:r>
      <w:r>
        <w:rPr>
          <w:rFonts w:hint="eastAsia" w:ascii="仿宋_GB2312" w:eastAsia="仿宋_GB2312" w:cs="DengXian-Regular"/>
          <w:color w:val="auto"/>
          <w:sz w:val="32"/>
          <w:szCs w:val="32"/>
          <w:highlight w:val="none"/>
        </w:rPr>
        <w:t>*0.1*2=</w:t>
      </w:r>
      <w:r>
        <w:rPr>
          <w:rFonts w:hint="eastAsia" w:ascii="仿宋_GB2312" w:eastAsia="仿宋_GB2312" w:cs="DengXian-Regular"/>
          <w:color w:val="auto"/>
          <w:sz w:val="32"/>
          <w:szCs w:val="32"/>
          <w:highlight w:val="none"/>
          <w:lang w:val="en-US" w:eastAsia="zh-CN"/>
        </w:rPr>
        <w:t>0.63</w:t>
      </w:r>
      <w:r>
        <w:rPr>
          <w:rFonts w:hint="eastAsia" w:ascii="仿宋_GB2312" w:eastAsia="仿宋_GB2312" w:cs="DengXian-Regular"/>
          <w:color w:val="auto"/>
          <w:sz w:val="32"/>
          <w:szCs w:val="32"/>
          <w:highlight w:val="none"/>
        </w:rPr>
        <w:t>分。</w:t>
      </w:r>
    </w:p>
    <w:p w14:paraId="39427926">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eastAsia" w:ascii="仿宋_GB2312" w:eastAsia="仿宋_GB2312" w:cs="DengXian-Regular"/>
          <w:color w:val="auto"/>
          <w:sz w:val="32"/>
          <w:szCs w:val="32"/>
          <w:highlight w:val="none"/>
          <w:lang w:val="en-US" w:eastAsia="zh-CN"/>
        </w:rPr>
        <w:t>0.63</w:t>
      </w:r>
      <w:r>
        <w:rPr>
          <w:rFonts w:hint="eastAsia" w:ascii="仿宋_GB2312" w:eastAsia="仿宋_GB2312" w:cs="DengXian-Regular"/>
          <w:color w:val="auto"/>
          <w:sz w:val="32"/>
          <w:szCs w:val="32"/>
          <w:highlight w:val="none"/>
        </w:rPr>
        <w:t>分。</w:t>
      </w:r>
    </w:p>
    <w:p w14:paraId="4C1897BD">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（2）收入完成率（4分）</w:t>
      </w:r>
    </w:p>
    <w:p w14:paraId="1E33E2D8">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该指标主要评价部门预算收入的完成情况，用以反映部门预算收入的完成程度，通过收入完成率衡量。</w:t>
      </w:r>
    </w:p>
    <w:p w14:paraId="4B210DEC">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收入完成率=（决算收入/预算收入）×100%。</w:t>
      </w:r>
    </w:p>
    <w:p w14:paraId="5325099E">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年预算文本、决算文本，202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年收入预算数</w:t>
      </w:r>
      <w:r>
        <w:rPr>
          <w:rFonts w:hint="eastAsia" w:ascii="仿宋_GB2312" w:eastAsia="仿宋_GB2312" w:cs="DengXian-Regular"/>
          <w:color w:val="auto"/>
          <w:sz w:val="32"/>
          <w:szCs w:val="32"/>
          <w:highlight w:val="none"/>
          <w:lang w:val="en-US" w:eastAsia="zh-CN"/>
        </w:rPr>
        <w:t>1666.64</w:t>
      </w:r>
      <w:r>
        <w:rPr>
          <w:rFonts w:hint="eastAsia" w:ascii="仿宋_GB2312" w:eastAsia="仿宋_GB2312" w:cs="DengXian-Regular"/>
          <w:color w:val="auto"/>
          <w:sz w:val="32"/>
          <w:szCs w:val="32"/>
          <w:highlight w:val="none"/>
        </w:rPr>
        <w:t>万元，收入决算数</w:t>
      </w:r>
      <w:r>
        <w:rPr>
          <w:rFonts w:hint="eastAsia" w:ascii="仿宋" w:hAnsi="仿宋" w:eastAsia="仿宋" w:cs="DengXian-Regular"/>
          <w:color w:val="auto"/>
          <w:sz w:val="32"/>
          <w:szCs w:val="32"/>
          <w:highlight w:val="none"/>
          <w:lang w:val="en-US" w:eastAsia="zh-CN"/>
        </w:rPr>
        <w:t>1790.83</w:t>
      </w:r>
      <w:r>
        <w:rPr>
          <w:rFonts w:hint="eastAsia" w:ascii="仿宋_GB2312" w:eastAsia="仿宋_GB2312" w:cs="DengXian-Regular"/>
          <w:color w:val="auto"/>
          <w:sz w:val="32"/>
          <w:szCs w:val="32"/>
          <w:highlight w:val="none"/>
        </w:rPr>
        <w:t>万元，收入完成率=（</w:t>
      </w:r>
      <w:r>
        <w:rPr>
          <w:rFonts w:hint="eastAsia" w:ascii="仿宋" w:hAnsi="仿宋" w:eastAsia="仿宋" w:cs="DengXian-Regular"/>
          <w:color w:val="auto"/>
          <w:sz w:val="32"/>
          <w:szCs w:val="32"/>
          <w:highlight w:val="none"/>
          <w:lang w:val="en-US" w:eastAsia="zh-CN"/>
        </w:rPr>
        <w:t>1790.83</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val="en-US" w:eastAsia="zh-CN"/>
        </w:rPr>
        <w:t>1666.64</w:t>
      </w:r>
      <w:r>
        <w:rPr>
          <w:rFonts w:hint="eastAsia" w:ascii="仿宋_GB2312" w:eastAsia="仿宋_GB2312" w:cs="DengXian-Regular"/>
          <w:color w:val="auto"/>
          <w:sz w:val="32"/>
          <w:szCs w:val="32"/>
          <w:highlight w:val="none"/>
        </w:rPr>
        <w:t>）*100%=</w:t>
      </w:r>
      <w:r>
        <w:rPr>
          <w:rFonts w:hint="eastAsia" w:ascii="仿宋_GB2312" w:eastAsia="仿宋_GB2312" w:cs="DengXian-Regular"/>
          <w:color w:val="auto"/>
          <w:sz w:val="32"/>
          <w:szCs w:val="32"/>
          <w:highlight w:val="none"/>
          <w:lang w:val="en-US" w:eastAsia="zh-CN"/>
        </w:rPr>
        <w:t>107.45</w:t>
      </w:r>
      <w:r>
        <w:rPr>
          <w:rFonts w:hint="eastAsia" w:ascii="仿宋_GB2312" w:eastAsia="仿宋_GB2312" w:cs="DengXian-Regular"/>
          <w:color w:val="auto"/>
          <w:sz w:val="32"/>
          <w:szCs w:val="32"/>
          <w:highlight w:val="none"/>
        </w:rPr>
        <w:t>%。</w:t>
      </w:r>
    </w:p>
    <w:p w14:paraId="08C41BD6">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4</w:t>
      </w:r>
      <w:r>
        <w:rPr>
          <w:rFonts w:hint="eastAsia" w:ascii="仿宋_GB2312" w:eastAsia="仿宋_GB2312" w:cs="DengXian-Regular"/>
          <w:color w:val="auto"/>
          <w:sz w:val="32"/>
          <w:szCs w:val="32"/>
          <w:highlight w:val="none"/>
        </w:rPr>
        <w:t>分。</w:t>
      </w:r>
    </w:p>
    <w:p w14:paraId="6A46F100">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（3）预算支出调整率（2分）</w:t>
      </w:r>
    </w:p>
    <w:p w14:paraId="0967144B">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该指标主要评价预算支出的调整情况，进而衡量预算支出编制的准确性，通过预算支出调整率衡量。</w:t>
      </w:r>
    </w:p>
    <w:p w14:paraId="29F9EA6D">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预算支出调整率=（调整预算数-年初预算数）/年初预算数*100%</w:t>
      </w:r>
    </w:p>
    <w:p w14:paraId="3C08B67B">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单位提供的保定市财政局下发的预算指标文件，其中保财农【2021】56号</w:t>
      </w:r>
      <w:r>
        <w:rPr>
          <w:rFonts w:hint="eastAsia" w:ascii="仿宋_GB2312" w:eastAsia="仿宋_GB2312" w:cs="DengXian-Regular"/>
          <w:color w:val="auto"/>
          <w:sz w:val="32"/>
          <w:szCs w:val="32"/>
          <w:highlight w:val="none"/>
          <w:lang w:eastAsia="zh-CN"/>
        </w:rPr>
        <w:t>追加</w:t>
      </w:r>
      <w:r>
        <w:rPr>
          <w:rFonts w:hint="eastAsia" w:ascii="仿宋_GB2312" w:eastAsia="仿宋_GB2312" w:cs="DengXian-Regular"/>
          <w:color w:val="auto"/>
          <w:sz w:val="32"/>
          <w:szCs w:val="32"/>
          <w:highlight w:val="none"/>
          <w:lang w:val="en-US" w:eastAsia="zh-CN"/>
        </w:rPr>
        <w:t>2021年农村综合改革转移支付资金73万元，</w:t>
      </w:r>
      <w:r>
        <w:rPr>
          <w:rFonts w:hint="eastAsia" w:ascii="仿宋_GB2312" w:eastAsia="仿宋_GB2312" w:cs="DengXian-Regular"/>
          <w:color w:val="auto"/>
          <w:sz w:val="32"/>
          <w:szCs w:val="32"/>
          <w:highlight w:val="none"/>
        </w:rPr>
        <w:t>徐财预指【2021】1-1384号</w:t>
      </w:r>
      <w:r>
        <w:rPr>
          <w:rFonts w:hint="eastAsia" w:ascii="仿宋_GB2312" w:eastAsia="仿宋_GB2312" w:cs="DengXian-Regular"/>
          <w:color w:val="auto"/>
          <w:sz w:val="32"/>
          <w:szCs w:val="32"/>
          <w:highlight w:val="none"/>
          <w:lang w:eastAsia="zh-CN"/>
        </w:rPr>
        <w:t>追加锅炉低氮改造资金</w:t>
      </w:r>
      <w:r>
        <w:rPr>
          <w:rFonts w:hint="eastAsia" w:ascii="仿宋_GB2312" w:eastAsia="仿宋_GB2312" w:cs="DengXian-Regular"/>
          <w:color w:val="auto"/>
          <w:sz w:val="32"/>
          <w:szCs w:val="32"/>
          <w:highlight w:val="none"/>
          <w:lang w:val="en-US" w:eastAsia="zh-CN"/>
        </w:rPr>
        <w:t>16.9万元，</w:t>
      </w:r>
      <w:r>
        <w:rPr>
          <w:rFonts w:hint="eastAsia" w:ascii="仿宋_GB2312" w:eastAsia="仿宋_GB2312" w:cs="DengXian-Regular"/>
          <w:color w:val="auto"/>
          <w:sz w:val="32"/>
          <w:szCs w:val="32"/>
          <w:highlight w:val="none"/>
        </w:rPr>
        <w:t>徐财预指{2021}1-1442</w:t>
      </w:r>
      <w:r>
        <w:rPr>
          <w:rFonts w:hint="eastAsia" w:ascii="仿宋_GB2312" w:eastAsia="仿宋_GB2312" w:cs="DengXian-Regular"/>
          <w:color w:val="auto"/>
          <w:sz w:val="32"/>
          <w:szCs w:val="32"/>
          <w:highlight w:val="none"/>
          <w:lang w:eastAsia="zh-CN"/>
        </w:rPr>
        <w:t>追加政法稳定经费</w:t>
      </w:r>
      <w:r>
        <w:rPr>
          <w:rFonts w:hint="eastAsia" w:ascii="仿宋_GB2312" w:eastAsia="仿宋_GB2312" w:cs="DengXian-Regular"/>
          <w:color w:val="auto"/>
          <w:sz w:val="32"/>
          <w:szCs w:val="32"/>
          <w:highlight w:val="none"/>
          <w:lang w:val="en-US" w:eastAsia="zh-CN"/>
        </w:rPr>
        <w:t>10万元，</w:t>
      </w:r>
      <w:r>
        <w:rPr>
          <w:rFonts w:hint="eastAsia" w:ascii="仿宋_GB2312" w:eastAsia="仿宋_GB2312" w:cs="DengXian-Regular"/>
          <w:color w:val="auto"/>
          <w:sz w:val="32"/>
          <w:szCs w:val="32"/>
          <w:highlight w:val="none"/>
        </w:rPr>
        <w:t>保财行【2021】18号</w:t>
      </w:r>
      <w:r>
        <w:rPr>
          <w:rFonts w:hint="eastAsia" w:ascii="仿宋_GB2312" w:eastAsia="仿宋_GB2312" w:cs="DengXian-Regular"/>
          <w:color w:val="auto"/>
          <w:sz w:val="32"/>
          <w:szCs w:val="32"/>
          <w:highlight w:val="none"/>
          <w:lang w:eastAsia="zh-CN"/>
        </w:rPr>
        <w:t>追加下达阿式清真寺改造补助资金</w:t>
      </w:r>
      <w:r>
        <w:rPr>
          <w:rFonts w:hint="eastAsia" w:ascii="仿宋_GB2312" w:eastAsia="仿宋_GB2312" w:cs="DengXian-Regular"/>
          <w:color w:val="auto"/>
          <w:sz w:val="32"/>
          <w:szCs w:val="32"/>
          <w:highlight w:val="none"/>
          <w:lang w:val="en-US" w:eastAsia="zh-CN"/>
        </w:rPr>
        <w:t>9.79万元</w:t>
      </w:r>
      <w:r>
        <w:rPr>
          <w:rFonts w:hint="eastAsia" w:ascii="仿宋_GB2312" w:eastAsia="仿宋_GB2312" w:cs="DengXian-Regular"/>
          <w:color w:val="auto"/>
          <w:sz w:val="32"/>
          <w:szCs w:val="32"/>
          <w:highlight w:val="none"/>
        </w:rPr>
        <w:t>徐财预指【2021】3-1083号</w:t>
      </w:r>
      <w:r>
        <w:rPr>
          <w:rFonts w:hint="eastAsia" w:ascii="仿宋_GB2312" w:eastAsia="仿宋_GB2312" w:cs="DengXian-Regular"/>
          <w:color w:val="auto"/>
          <w:sz w:val="32"/>
          <w:szCs w:val="32"/>
          <w:highlight w:val="none"/>
          <w:lang w:eastAsia="zh-CN"/>
        </w:rPr>
        <w:t>追加村级组织建设维护资金</w:t>
      </w:r>
      <w:r>
        <w:rPr>
          <w:rFonts w:hint="eastAsia" w:ascii="仿宋_GB2312" w:eastAsia="仿宋_GB2312" w:cs="DengXian-Regular"/>
          <w:color w:val="auto"/>
          <w:sz w:val="32"/>
          <w:szCs w:val="32"/>
          <w:highlight w:val="none"/>
          <w:lang w:val="en-US" w:eastAsia="zh-CN"/>
        </w:rPr>
        <w:t>9万元，</w:t>
      </w:r>
      <w:r>
        <w:rPr>
          <w:rFonts w:hint="eastAsia" w:ascii="仿宋_GB2312" w:eastAsia="仿宋_GB2312" w:cs="DengXian-Regular"/>
          <w:color w:val="auto"/>
          <w:sz w:val="32"/>
          <w:szCs w:val="32"/>
          <w:highlight w:val="none"/>
        </w:rPr>
        <w:t>徐财预指【2021】1-1203号</w:t>
      </w:r>
      <w:r>
        <w:rPr>
          <w:rFonts w:hint="eastAsia" w:ascii="仿宋_GB2312" w:eastAsia="仿宋_GB2312" w:cs="DengXian-Regular"/>
          <w:color w:val="auto"/>
          <w:sz w:val="32"/>
          <w:szCs w:val="32"/>
          <w:highlight w:val="none"/>
          <w:lang w:eastAsia="zh-CN"/>
        </w:rPr>
        <w:t>追加秸秆垃圾禁烧工作费用和三级禁烧网格员补贴资金</w:t>
      </w:r>
      <w:r>
        <w:rPr>
          <w:rFonts w:hint="eastAsia" w:ascii="仿宋_GB2312" w:eastAsia="仿宋_GB2312" w:cs="DengXian-Regular"/>
          <w:color w:val="auto"/>
          <w:sz w:val="32"/>
          <w:szCs w:val="32"/>
          <w:highlight w:val="none"/>
          <w:lang w:val="en-US" w:eastAsia="zh-CN"/>
        </w:rPr>
        <w:t>12.35万元，</w:t>
      </w:r>
      <w:r>
        <w:rPr>
          <w:rFonts w:hint="eastAsia" w:ascii="仿宋_GB2312" w:eastAsia="仿宋_GB2312" w:cs="DengXian-Regular"/>
          <w:color w:val="auto"/>
          <w:sz w:val="32"/>
          <w:szCs w:val="32"/>
          <w:highlight w:val="none"/>
        </w:rPr>
        <w:t>徐财预指[2021]1－1233号</w:t>
      </w:r>
      <w:r>
        <w:rPr>
          <w:rFonts w:hint="eastAsia" w:ascii="仿宋_GB2312" w:eastAsia="仿宋_GB2312" w:cs="DengXian-Regular"/>
          <w:color w:val="auto"/>
          <w:sz w:val="32"/>
          <w:szCs w:val="32"/>
          <w:highlight w:val="none"/>
          <w:lang w:eastAsia="zh-CN"/>
        </w:rPr>
        <w:t>追加新冠疫苗接种工作经费</w:t>
      </w:r>
      <w:r>
        <w:rPr>
          <w:rFonts w:hint="eastAsia" w:ascii="仿宋_GB2312" w:eastAsia="仿宋_GB2312" w:cs="DengXian-Regular"/>
          <w:color w:val="auto"/>
          <w:sz w:val="32"/>
          <w:szCs w:val="32"/>
          <w:highlight w:val="none"/>
          <w:lang w:val="en-US" w:eastAsia="zh-CN"/>
        </w:rPr>
        <w:t>4万元，</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年度预算支出的追加数合计</w:t>
      </w:r>
      <w:r>
        <w:rPr>
          <w:rFonts w:hint="eastAsia" w:ascii="仿宋_GB2312" w:eastAsia="仿宋_GB2312" w:cs="DengXian-Regular"/>
          <w:color w:val="auto"/>
          <w:sz w:val="32"/>
          <w:szCs w:val="32"/>
          <w:highlight w:val="none"/>
          <w:lang w:val="en-US" w:eastAsia="zh-CN"/>
        </w:rPr>
        <w:t>124.19</w:t>
      </w:r>
      <w:r>
        <w:rPr>
          <w:rFonts w:hint="eastAsia" w:ascii="仿宋_GB2312" w:eastAsia="仿宋_GB2312" w:cs="DengXian-Regular"/>
          <w:color w:val="auto"/>
          <w:sz w:val="32"/>
          <w:szCs w:val="32"/>
          <w:highlight w:val="none"/>
        </w:rPr>
        <w:t>万元，年初预算数为</w:t>
      </w:r>
      <w:r>
        <w:rPr>
          <w:rFonts w:hint="eastAsia" w:ascii="仿宋_GB2312" w:eastAsia="仿宋_GB2312" w:cs="DengXian-Regular"/>
          <w:color w:val="auto"/>
          <w:sz w:val="32"/>
          <w:szCs w:val="32"/>
          <w:highlight w:val="none"/>
          <w:lang w:val="en-US" w:eastAsia="zh-CN"/>
        </w:rPr>
        <w:t>1666.64</w:t>
      </w:r>
      <w:r>
        <w:rPr>
          <w:rFonts w:hint="eastAsia" w:ascii="仿宋_GB2312" w:eastAsia="仿宋_GB2312" w:cs="DengXian-Regular"/>
          <w:color w:val="auto"/>
          <w:sz w:val="32"/>
          <w:szCs w:val="32"/>
          <w:highlight w:val="none"/>
        </w:rPr>
        <w:t>万元，预算支出调整率为</w:t>
      </w:r>
      <w:r>
        <w:rPr>
          <w:rFonts w:hint="eastAsia" w:ascii="仿宋_GB2312" w:eastAsia="仿宋_GB2312" w:cs="DengXian-Regular"/>
          <w:color w:val="auto"/>
          <w:sz w:val="32"/>
          <w:szCs w:val="32"/>
          <w:highlight w:val="none"/>
          <w:lang w:val="en-US" w:eastAsia="zh-CN"/>
        </w:rPr>
        <w:t>107.45</w:t>
      </w:r>
      <w:r>
        <w:rPr>
          <w:rFonts w:hint="eastAsia" w:ascii="仿宋_GB2312" w:eastAsia="仿宋_GB2312" w:cs="DengXian-Regular"/>
          <w:color w:val="auto"/>
          <w:sz w:val="32"/>
          <w:szCs w:val="32"/>
          <w:highlight w:val="none"/>
        </w:rPr>
        <w:t>%，预算调整增加了</w:t>
      </w:r>
      <w:r>
        <w:rPr>
          <w:rFonts w:hint="eastAsia" w:ascii="仿宋_GB2312" w:eastAsia="仿宋_GB2312" w:cs="DengXian-Regular"/>
          <w:color w:val="auto"/>
          <w:sz w:val="32"/>
          <w:szCs w:val="32"/>
          <w:highlight w:val="none"/>
          <w:lang w:val="en-US" w:eastAsia="zh-CN"/>
        </w:rPr>
        <w:t>3.15</w:t>
      </w:r>
      <w:r>
        <w:rPr>
          <w:rFonts w:hint="eastAsia" w:ascii="仿宋_GB2312" w:eastAsia="仿宋_GB2312" w:cs="DengXian-Regular"/>
          <w:color w:val="auto"/>
          <w:sz w:val="32"/>
          <w:szCs w:val="32"/>
          <w:highlight w:val="none"/>
        </w:rPr>
        <w:t>个百分点，扣</w:t>
      </w:r>
      <w:r>
        <w:rPr>
          <w:rFonts w:hint="eastAsia" w:ascii="仿宋_GB2312" w:eastAsia="仿宋_GB2312" w:cs="DengXian-Regular"/>
          <w:color w:val="auto"/>
          <w:sz w:val="32"/>
          <w:szCs w:val="32"/>
          <w:highlight w:val="none"/>
          <w:lang w:val="en-US" w:eastAsia="zh-CN"/>
        </w:rPr>
        <w:t>0.3</w:t>
      </w:r>
      <w:r>
        <w:rPr>
          <w:rFonts w:hint="eastAsia" w:ascii="仿宋_GB2312" w:eastAsia="仿宋_GB2312" w:cs="DengXian-Regular"/>
          <w:color w:val="auto"/>
          <w:sz w:val="32"/>
          <w:szCs w:val="32"/>
          <w:highlight w:val="none"/>
        </w:rPr>
        <w:t>分。</w:t>
      </w:r>
    </w:p>
    <w:p w14:paraId="2A658320">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1.7</w:t>
      </w:r>
      <w:r>
        <w:rPr>
          <w:rFonts w:hint="eastAsia" w:ascii="仿宋_GB2312" w:eastAsia="仿宋_GB2312" w:cs="DengXian-Regular"/>
          <w:color w:val="auto"/>
          <w:sz w:val="32"/>
          <w:szCs w:val="32"/>
          <w:highlight w:val="none"/>
        </w:rPr>
        <w:t>分。</w:t>
      </w:r>
    </w:p>
    <w:p w14:paraId="15412933">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（4）财政拨款支出完成率（4分）</w:t>
      </w:r>
    </w:p>
    <w:p w14:paraId="168D0592">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该指标主要评价部门财政拨款的支出进度，通过财政拨款支出完成率来衡量。</w:t>
      </w:r>
    </w:p>
    <w:p w14:paraId="663FEA42">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财政拨款支出完成率=（部门决算财政拨款支出/部门决算财政拨款收入）*100%。</w:t>
      </w:r>
    </w:p>
    <w:p w14:paraId="450F8968">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单位提供的202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年决算文本，部门决算财政拨款支出数</w:t>
      </w:r>
      <w:r>
        <w:rPr>
          <w:rFonts w:hint="eastAsia" w:ascii="仿宋" w:hAnsi="仿宋" w:eastAsia="仿宋" w:cs="DengXian-Regular"/>
          <w:color w:val="auto"/>
          <w:sz w:val="32"/>
          <w:szCs w:val="32"/>
          <w:highlight w:val="none"/>
          <w:lang w:val="en-US" w:eastAsia="zh-CN"/>
        </w:rPr>
        <w:t>1916.28</w:t>
      </w:r>
      <w:r>
        <w:rPr>
          <w:rFonts w:hint="eastAsia" w:ascii="仿宋_GB2312" w:eastAsia="仿宋_GB2312" w:cs="DengXian-Regular"/>
          <w:color w:val="auto"/>
          <w:sz w:val="32"/>
          <w:szCs w:val="32"/>
          <w:highlight w:val="none"/>
        </w:rPr>
        <w:t>万元，财政拨款收入数</w:t>
      </w:r>
      <w:r>
        <w:rPr>
          <w:rFonts w:hint="eastAsia" w:ascii="仿宋_GB2312" w:eastAsia="仿宋_GB2312" w:cs="DengXian-Regular"/>
          <w:color w:val="auto"/>
          <w:sz w:val="32"/>
          <w:szCs w:val="32"/>
          <w:highlight w:val="none"/>
          <w:lang w:val="en-US" w:eastAsia="zh-CN"/>
        </w:rPr>
        <w:t>1790.83</w:t>
      </w:r>
      <w:r>
        <w:rPr>
          <w:rFonts w:hint="eastAsia" w:ascii="仿宋_GB2312" w:eastAsia="仿宋_GB2312" w:cs="DengXian-Regular"/>
          <w:color w:val="auto"/>
          <w:sz w:val="32"/>
          <w:szCs w:val="32"/>
          <w:highlight w:val="none"/>
        </w:rPr>
        <w:t>万元，财政拨款支出率=（</w:t>
      </w:r>
      <w:r>
        <w:rPr>
          <w:rFonts w:hint="eastAsia" w:ascii="仿宋" w:hAnsi="仿宋" w:eastAsia="仿宋" w:cs="DengXian-Regular"/>
          <w:color w:val="auto"/>
          <w:sz w:val="32"/>
          <w:szCs w:val="32"/>
          <w:highlight w:val="none"/>
          <w:lang w:val="en-US" w:eastAsia="zh-CN"/>
        </w:rPr>
        <w:t>1916.28</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val="en-US" w:eastAsia="zh-CN"/>
        </w:rPr>
        <w:t>1790.83</w:t>
      </w:r>
      <w:r>
        <w:rPr>
          <w:rFonts w:hint="eastAsia" w:ascii="仿宋_GB2312" w:eastAsia="仿宋_GB2312" w:cs="DengXian-Regular"/>
          <w:color w:val="auto"/>
          <w:sz w:val="32"/>
          <w:szCs w:val="32"/>
          <w:highlight w:val="none"/>
        </w:rPr>
        <w:t>）*100%=</w:t>
      </w:r>
      <w:r>
        <w:rPr>
          <w:rFonts w:hint="eastAsia" w:ascii="仿宋_GB2312" w:eastAsia="仿宋_GB2312" w:cs="DengXian-Regular"/>
          <w:color w:val="auto"/>
          <w:sz w:val="32"/>
          <w:szCs w:val="32"/>
          <w:highlight w:val="none"/>
          <w:lang w:val="en-US" w:eastAsia="zh-CN"/>
        </w:rPr>
        <w:t>107</w:t>
      </w:r>
      <w:r>
        <w:rPr>
          <w:rFonts w:hint="eastAsia" w:ascii="仿宋_GB2312" w:eastAsia="仿宋_GB2312" w:cs="DengXian-Regular"/>
          <w:color w:val="auto"/>
          <w:sz w:val="32"/>
          <w:szCs w:val="32"/>
          <w:highlight w:val="none"/>
        </w:rPr>
        <w:t>%</w:t>
      </w:r>
      <w:r>
        <w:rPr>
          <w:rFonts w:ascii="Arial" w:hAnsi="Arial" w:eastAsia="仿宋_GB2312" w:cs="Arial"/>
          <w:color w:val="auto"/>
          <w:sz w:val="32"/>
          <w:szCs w:val="32"/>
          <w:highlight w:val="none"/>
        </w:rPr>
        <w:t>≥</w:t>
      </w:r>
      <w:r>
        <w:rPr>
          <w:rFonts w:hint="eastAsia" w:ascii="仿宋_GB2312" w:eastAsia="仿宋_GB2312" w:cs="DengXian-Regular"/>
          <w:color w:val="auto"/>
          <w:sz w:val="32"/>
          <w:szCs w:val="32"/>
          <w:highlight w:val="none"/>
        </w:rPr>
        <w:t>90%。</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年年初结转和结余</w:t>
      </w:r>
      <w:r>
        <w:rPr>
          <w:rFonts w:hint="eastAsia" w:ascii="仿宋_GB2312" w:eastAsia="仿宋_GB2312" w:cs="DengXian-Regular"/>
          <w:color w:val="auto"/>
          <w:sz w:val="32"/>
          <w:szCs w:val="32"/>
          <w:highlight w:val="none"/>
          <w:lang w:val="en-US" w:eastAsia="zh-CN"/>
        </w:rPr>
        <w:t>125.73</w:t>
      </w:r>
      <w:r>
        <w:rPr>
          <w:rFonts w:hint="eastAsia" w:ascii="仿宋_GB2312" w:eastAsia="仿宋_GB2312" w:cs="DengXian-Regular"/>
          <w:color w:val="auto"/>
          <w:sz w:val="32"/>
          <w:szCs w:val="32"/>
          <w:highlight w:val="none"/>
        </w:rPr>
        <w:t>万元，故支出数大于收入数。</w:t>
      </w:r>
    </w:p>
    <w:p w14:paraId="3BC527A3">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4</w:t>
      </w:r>
      <w:r>
        <w:rPr>
          <w:rFonts w:hint="eastAsia" w:ascii="仿宋_GB2312" w:eastAsia="仿宋_GB2312" w:cs="DengXian-Regular"/>
          <w:color w:val="auto"/>
          <w:sz w:val="32"/>
          <w:szCs w:val="32"/>
          <w:highlight w:val="none"/>
        </w:rPr>
        <w:t>分。</w:t>
      </w:r>
    </w:p>
    <w:p w14:paraId="1B09C13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（5）“三公”经费控制率（3分）</w:t>
      </w:r>
    </w:p>
    <w:p w14:paraId="6804EF1A">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该指标主要评价“三公”经费是否得到有效控制，通过“三公”经费控制率来衡量。</w:t>
      </w:r>
    </w:p>
    <w:p w14:paraId="12552186">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“三公”经费控制率=（实际支出数/预算数）*100%。</w:t>
      </w:r>
    </w:p>
    <w:p w14:paraId="6270DF71">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年预算文本及决算文本，“三公”经费年初预算数</w:t>
      </w:r>
      <w:r>
        <w:rPr>
          <w:rFonts w:hint="eastAsia" w:ascii="仿宋_GB2312" w:eastAsia="仿宋_GB2312" w:cs="DengXian-Regular"/>
          <w:color w:val="auto"/>
          <w:sz w:val="32"/>
          <w:szCs w:val="32"/>
          <w:highlight w:val="none"/>
          <w:lang w:val="en-US" w:eastAsia="zh-CN"/>
        </w:rPr>
        <w:t>24</w:t>
      </w:r>
      <w:r>
        <w:rPr>
          <w:rFonts w:hint="eastAsia" w:ascii="仿宋_GB2312" w:eastAsia="仿宋_GB2312" w:cs="DengXian-Regular"/>
          <w:color w:val="auto"/>
          <w:sz w:val="32"/>
          <w:szCs w:val="32"/>
          <w:highlight w:val="none"/>
        </w:rPr>
        <w:t>万元，年末决算数</w:t>
      </w:r>
      <w:r>
        <w:rPr>
          <w:rFonts w:hint="eastAsia" w:ascii="仿宋_GB2312" w:eastAsia="仿宋_GB2312" w:cs="DengXian-Regular"/>
          <w:color w:val="auto"/>
          <w:sz w:val="32"/>
          <w:szCs w:val="32"/>
          <w:highlight w:val="none"/>
          <w:lang w:val="en-US" w:eastAsia="zh-CN"/>
        </w:rPr>
        <w:t>11.6</w:t>
      </w:r>
      <w:r>
        <w:rPr>
          <w:rFonts w:hint="eastAsia" w:ascii="仿宋_GB2312" w:eastAsia="仿宋_GB2312" w:cs="DengXian-Regular"/>
          <w:color w:val="auto"/>
          <w:sz w:val="32"/>
          <w:szCs w:val="32"/>
          <w:highlight w:val="none"/>
        </w:rPr>
        <w:t>万元，“三公”经费控制率=（</w:t>
      </w:r>
      <w:r>
        <w:rPr>
          <w:rFonts w:hint="eastAsia" w:ascii="仿宋_GB2312" w:eastAsia="仿宋_GB2312" w:cs="DengXian-Regular"/>
          <w:color w:val="auto"/>
          <w:sz w:val="32"/>
          <w:szCs w:val="32"/>
          <w:highlight w:val="none"/>
          <w:lang w:val="en-US" w:eastAsia="zh-CN"/>
        </w:rPr>
        <w:t>11.6</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val="en-US" w:eastAsia="zh-CN"/>
        </w:rPr>
        <w:t>24</w:t>
      </w:r>
      <w:r>
        <w:rPr>
          <w:rFonts w:hint="eastAsia" w:ascii="仿宋_GB2312" w:eastAsia="仿宋_GB2312" w:cs="DengXian-Regular"/>
          <w:color w:val="auto"/>
          <w:sz w:val="32"/>
          <w:szCs w:val="32"/>
          <w:highlight w:val="none"/>
        </w:rPr>
        <w:t>）*100%=</w:t>
      </w:r>
      <w:r>
        <w:rPr>
          <w:rFonts w:hint="eastAsia" w:ascii="仿宋_GB2312" w:eastAsia="仿宋_GB2312" w:cs="DengXian-Regular"/>
          <w:color w:val="auto"/>
          <w:sz w:val="32"/>
          <w:szCs w:val="32"/>
          <w:highlight w:val="none"/>
          <w:lang w:val="en-US" w:eastAsia="zh-CN"/>
        </w:rPr>
        <w:t>48.3</w:t>
      </w:r>
      <w:r>
        <w:rPr>
          <w:rFonts w:hint="eastAsia" w:ascii="仿宋_GB2312" w:eastAsia="仿宋_GB2312" w:cs="DengXian-Regular"/>
          <w:color w:val="auto"/>
          <w:sz w:val="32"/>
          <w:szCs w:val="32"/>
          <w:highlight w:val="none"/>
        </w:rPr>
        <w:t>%</w:t>
      </w:r>
      <w:r>
        <w:rPr>
          <w:rFonts w:ascii="Arial" w:hAnsi="Arial" w:eastAsia="仿宋_GB2312" w:cs="Arial"/>
          <w:color w:val="auto"/>
          <w:sz w:val="32"/>
          <w:szCs w:val="32"/>
          <w:highlight w:val="none"/>
        </w:rPr>
        <w:t>≤</w:t>
      </w:r>
      <w:r>
        <w:rPr>
          <w:rFonts w:hint="eastAsia" w:ascii="仿宋_GB2312" w:eastAsia="仿宋_GB2312" w:cs="DengXian-Regular"/>
          <w:color w:val="auto"/>
          <w:sz w:val="32"/>
          <w:szCs w:val="32"/>
          <w:highlight w:val="none"/>
        </w:rPr>
        <w:t>100%。</w:t>
      </w:r>
    </w:p>
    <w:p w14:paraId="262A8C61">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3</w:t>
      </w:r>
      <w:r>
        <w:rPr>
          <w:rFonts w:hint="eastAsia" w:ascii="仿宋_GB2312" w:eastAsia="仿宋_GB2312" w:cs="DengXian-Regular"/>
          <w:color w:val="auto"/>
          <w:sz w:val="32"/>
          <w:szCs w:val="32"/>
          <w:highlight w:val="none"/>
        </w:rPr>
        <w:t>分。</w:t>
      </w:r>
    </w:p>
    <w:p w14:paraId="338F92A9">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（6）政府采购执行率（3分）</w:t>
      </w:r>
    </w:p>
    <w:p w14:paraId="6E06F72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该指标主要评价部门是否有效执行政府采购政策，通过政府采购执行率来衡量。</w:t>
      </w:r>
    </w:p>
    <w:p w14:paraId="613DC87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政府采购执行率=（</w:t>
      </w:r>
      <w:r>
        <w:rPr>
          <w:rFonts w:hint="eastAsia" w:ascii="仿宋_GB2312" w:eastAsia="仿宋_GB2312" w:cs="DengXian-Regular"/>
          <w:color w:val="auto"/>
          <w:sz w:val="32"/>
          <w:szCs w:val="32"/>
          <w:highlight w:val="none"/>
          <w:lang w:val="en-US" w:eastAsia="zh-CN"/>
        </w:rPr>
        <w:t>6.59</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val="en-US" w:eastAsia="zh-CN"/>
        </w:rPr>
        <w:t>0</w:t>
      </w:r>
      <w:r>
        <w:rPr>
          <w:rFonts w:hint="eastAsia" w:ascii="仿宋_GB2312" w:eastAsia="仿宋_GB2312" w:cs="DengXian-Regular"/>
          <w:color w:val="auto"/>
          <w:sz w:val="32"/>
          <w:szCs w:val="32"/>
          <w:highlight w:val="none"/>
        </w:rPr>
        <w:t>）*100%。</w:t>
      </w:r>
    </w:p>
    <w:p w14:paraId="553BBB37">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年预算文本及决算文本，政府采购年初预算数</w:t>
      </w:r>
      <w:r>
        <w:rPr>
          <w:rFonts w:hint="eastAsia" w:ascii="仿宋_GB2312" w:eastAsia="仿宋_GB2312" w:cs="DengXian-Regular"/>
          <w:color w:val="auto"/>
          <w:sz w:val="32"/>
          <w:szCs w:val="32"/>
          <w:highlight w:val="none"/>
          <w:lang w:val="en-US" w:eastAsia="zh-CN"/>
        </w:rPr>
        <w:t>0</w:t>
      </w:r>
      <w:r>
        <w:rPr>
          <w:rFonts w:hint="eastAsia" w:ascii="仿宋_GB2312" w:eastAsia="仿宋_GB2312" w:cs="DengXian-Regular"/>
          <w:color w:val="auto"/>
          <w:sz w:val="32"/>
          <w:szCs w:val="32"/>
          <w:highlight w:val="none"/>
        </w:rPr>
        <w:t>万元，年末决算数</w:t>
      </w:r>
      <w:r>
        <w:rPr>
          <w:rFonts w:hint="eastAsia" w:ascii="仿宋_GB2312" w:eastAsia="仿宋_GB2312" w:cs="DengXian-Regular"/>
          <w:color w:val="auto"/>
          <w:sz w:val="32"/>
          <w:szCs w:val="32"/>
          <w:highlight w:val="none"/>
          <w:lang w:val="en-US" w:eastAsia="zh-CN"/>
        </w:rPr>
        <w:t>6.59</w:t>
      </w:r>
      <w:r>
        <w:rPr>
          <w:rFonts w:hint="eastAsia" w:ascii="仿宋_GB2312" w:eastAsia="仿宋_GB2312" w:cs="DengXian-Regular"/>
          <w:color w:val="auto"/>
          <w:sz w:val="32"/>
          <w:szCs w:val="32"/>
          <w:highlight w:val="none"/>
        </w:rPr>
        <w:t>万元，政府采购执行率为</w:t>
      </w:r>
      <w:r>
        <w:rPr>
          <w:rFonts w:hint="eastAsia" w:ascii="仿宋_GB2312" w:eastAsia="仿宋_GB2312" w:cs="DengXian-Regular"/>
          <w:color w:val="auto"/>
          <w:sz w:val="32"/>
          <w:szCs w:val="32"/>
          <w:highlight w:val="none"/>
          <w:lang w:val="en-US" w:eastAsia="zh-CN"/>
        </w:rPr>
        <w:t>100%</w:t>
      </w:r>
      <w:r>
        <w:rPr>
          <w:rFonts w:hint="eastAsia" w:ascii="仿宋_GB2312" w:eastAsia="仿宋_GB2312" w:cs="DengXian-Regular"/>
          <w:color w:val="auto"/>
          <w:sz w:val="32"/>
          <w:szCs w:val="32"/>
          <w:highlight w:val="none"/>
        </w:rPr>
        <w:t>。</w:t>
      </w:r>
    </w:p>
    <w:p w14:paraId="079729CC">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该指标实际得分为</w:t>
      </w:r>
      <w:r>
        <w:rPr>
          <w:rFonts w:hint="eastAsia" w:ascii="仿宋_GB2312" w:eastAsia="仿宋_GB2312" w:cs="DengXian-Regular"/>
          <w:color w:val="auto"/>
          <w:sz w:val="32"/>
          <w:szCs w:val="32"/>
          <w:highlight w:val="none"/>
          <w:lang w:val="en-US" w:eastAsia="zh-CN"/>
        </w:rPr>
        <w:t>3</w:t>
      </w:r>
      <w:r>
        <w:rPr>
          <w:rFonts w:hint="eastAsia" w:ascii="仿宋_GB2312" w:eastAsia="仿宋_GB2312" w:cs="DengXian-Regular"/>
          <w:color w:val="auto"/>
          <w:sz w:val="32"/>
          <w:szCs w:val="32"/>
          <w:highlight w:val="none"/>
        </w:rPr>
        <w:t>分。</w:t>
      </w:r>
    </w:p>
    <w:p w14:paraId="4CA5AC40">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（7）资金使用合规性（3分）</w:t>
      </w:r>
    </w:p>
    <w:p w14:paraId="19788040">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该指标主要评价资金使用是否按照相关法律法规和资金管理办法规定的用途使用，财务管理是否符合相关会计准则和财务制度。</w:t>
      </w:r>
    </w:p>
    <w:p w14:paraId="63ECFAB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年明细账、会计凭证等相关资料，</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单位资金使用符合相关会计准则和财务制度，资金拨付有完备的审批程序和手续，资金使用符合部门预算批复的用途，未发现截留、挤占、挪用财政资金的情况。</w:t>
      </w:r>
    </w:p>
    <w:p w14:paraId="1DBC61A8">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3</w:t>
      </w:r>
      <w:r>
        <w:rPr>
          <w:rFonts w:hint="eastAsia" w:ascii="仿宋_GB2312" w:eastAsia="仿宋_GB2312" w:cs="DengXian-Regular"/>
          <w:color w:val="auto"/>
          <w:sz w:val="32"/>
          <w:szCs w:val="32"/>
          <w:highlight w:val="none"/>
        </w:rPr>
        <w:t>分。</w:t>
      </w:r>
    </w:p>
    <w:p w14:paraId="3D093E14">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（8）决算真实性（3分）</w:t>
      </w:r>
    </w:p>
    <w:p w14:paraId="60965EDD">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该指标主要评价决算编制数据是否与账表一致，即决算报表数据与会计账簿数据是否一致。</w:t>
      </w:r>
    </w:p>
    <w:p w14:paraId="6161CD12">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经核查</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年决算文本、明细账及总账，</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单位决算文本数据均与明细账、总账一致。</w:t>
      </w:r>
    </w:p>
    <w:p w14:paraId="7EE06839">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3</w:t>
      </w:r>
      <w:r>
        <w:rPr>
          <w:rFonts w:hint="eastAsia" w:ascii="仿宋_GB2312" w:eastAsia="仿宋_GB2312" w:cs="DengXian-Regular"/>
          <w:color w:val="auto"/>
          <w:sz w:val="32"/>
          <w:szCs w:val="32"/>
          <w:highlight w:val="none"/>
        </w:rPr>
        <w:t>分。</w:t>
      </w:r>
    </w:p>
    <w:p w14:paraId="5AEECA85">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2.预算管理（16分）</w:t>
      </w:r>
    </w:p>
    <w:p w14:paraId="08D0CDD2">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（1）管理制度健全性（4分）</w:t>
      </w:r>
    </w:p>
    <w:p w14:paraId="362F2C32">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该指标主要评价部门是否制定资金管理办法、财务管理制度、会计核算制度等相关内部控制制度，制度执行是否得到有效执行。</w:t>
      </w:r>
    </w:p>
    <w:p w14:paraId="4C63048A">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单位工作制度涵盖了财务制度、网络安全制度、公务用车制度等相关制度，经检查</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单位付款流程审批单、资产盘点表等资料，</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单位已按照相关管理制度的规定执行。</w:t>
      </w:r>
    </w:p>
    <w:p w14:paraId="3AE2ECA9">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eastAsia" w:ascii="仿宋_GB2312" w:eastAsia="仿宋_GB2312" w:cs="DengXian-Regular"/>
          <w:color w:val="auto"/>
          <w:sz w:val="32"/>
          <w:szCs w:val="32"/>
          <w:highlight w:val="none"/>
          <w:lang w:val="en-US" w:eastAsia="zh-CN"/>
        </w:rPr>
        <w:t>4</w:t>
      </w:r>
      <w:r>
        <w:rPr>
          <w:rFonts w:hint="eastAsia" w:ascii="仿宋_GB2312" w:eastAsia="仿宋_GB2312" w:cs="DengXian-Regular"/>
          <w:color w:val="auto"/>
          <w:sz w:val="32"/>
          <w:szCs w:val="32"/>
          <w:highlight w:val="none"/>
        </w:rPr>
        <w:t>分。</w:t>
      </w:r>
    </w:p>
    <w:p w14:paraId="4F349211">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（2）预决算信息公开性（4分）</w:t>
      </w:r>
    </w:p>
    <w:p w14:paraId="25700C6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该指标主要评价部门是否按照政府信息公开的有关要求在相关网站公开部门预算、预算执行情况、年度工作任务等相关信息。</w:t>
      </w:r>
    </w:p>
    <w:p w14:paraId="7DE1397A">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年按政府信息公开的有关要求在保定市徐水区人民政府网公开了202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年的预决算情况、部门责任清单、行政监督清单等相关信息。</w:t>
      </w:r>
    </w:p>
    <w:p w14:paraId="166AFF9E">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4</w:t>
      </w:r>
      <w:r>
        <w:rPr>
          <w:rFonts w:hint="eastAsia" w:ascii="仿宋_GB2312" w:eastAsia="仿宋_GB2312" w:cs="DengXian-Regular"/>
          <w:color w:val="auto"/>
          <w:sz w:val="32"/>
          <w:szCs w:val="32"/>
          <w:highlight w:val="none"/>
        </w:rPr>
        <w:t>分。</w:t>
      </w:r>
    </w:p>
    <w:p w14:paraId="658B1F0A">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（3）基础信息完善性（4分）</w:t>
      </w:r>
    </w:p>
    <w:p w14:paraId="7020DA96">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该指标主要评价基础数据信息和财务信息资料是否真实、完整。</w:t>
      </w:r>
    </w:p>
    <w:p w14:paraId="551B1694">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单位提供的会计账簿、凭证及其他相关资料，</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单位会计信息资料真实完整，</w:t>
      </w:r>
    </w:p>
    <w:p w14:paraId="1E202289">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4</w:t>
      </w:r>
      <w:r>
        <w:rPr>
          <w:rFonts w:hint="eastAsia" w:ascii="仿宋_GB2312" w:eastAsia="仿宋_GB2312" w:cs="DengXian-Regular"/>
          <w:color w:val="auto"/>
          <w:sz w:val="32"/>
          <w:szCs w:val="32"/>
          <w:highlight w:val="none"/>
        </w:rPr>
        <w:t>分。</w:t>
      </w:r>
    </w:p>
    <w:p w14:paraId="45AA56A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（4）资产管理规范性（4分）</w:t>
      </w:r>
    </w:p>
    <w:p w14:paraId="6EB306F4">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该指标主要评价资产管理是否规范，是否建立资产台账，新增资产是否符合规定程序和规定标准，资产的配置是否合规，资产保存是否完整。</w:t>
      </w:r>
    </w:p>
    <w:p w14:paraId="713FA66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单位建立了固定资产台账、无形资产台账，资产保存完整，202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年新增资产</w:t>
      </w:r>
      <w:r>
        <w:rPr>
          <w:rFonts w:hint="eastAsia" w:ascii="仿宋_GB2312" w:eastAsia="仿宋_GB2312" w:cs="DengXian-Regular"/>
          <w:color w:val="auto"/>
          <w:sz w:val="32"/>
          <w:szCs w:val="32"/>
          <w:highlight w:val="none"/>
          <w:lang w:val="en-US" w:eastAsia="zh-CN"/>
        </w:rPr>
        <w:t>44.30</w:t>
      </w:r>
      <w:r>
        <w:rPr>
          <w:rFonts w:hint="eastAsia" w:ascii="仿宋_GB2312" w:eastAsia="仿宋_GB2312" w:cs="DengXian-Regular"/>
          <w:color w:val="auto"/>
          <w:sz w:val="32"/>
          <w:szCs w:val="32"/>
          <w:highlight w:val="none"/>
        </w:rPr>
        <w:t>万元，包含：</w:t>
      </w:r>
      <w:r>
        <w:rPr>
          <w:rFonts w:hint="eastAsia" w:ascii="仿宋_GB2312" w:eastAsia="仿宋_GB2312" w:cs="DengXian-Regular"/>
          <w:color w:val="auto"/>
          <w:sz w:val="32"/>
          <w:szCs w:val="32"/>
          <w:highlight w:val="none"/>
          <w:lang w:eastAsia="zh-CN"/>
        </w:rPr>
        <w:t>调拨车辆</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val="en-US" w:eastAsia="zh-CN"/>
        </w:rPr>
        <w:t>16.38</w:t>
      </w:r>
      <w:r>
        <w:rPr>
          <w:rFonts w:hint="eastAsia" w:ascii="仿宋_GB2312" w:eastAsia="仿宋_GB2312" w:cs="DengXian-Regular"/>
          <w:color w:val="auto"/>
          <w:sz w:val="32"/>
          <w:szCs w:val="32"/>
          <w:highlight w:val="none"/>
        </w:rPr>
        <w:t>万元）、电脑及计算机设备（</w:t>
      </w:r>
      <w:r>
        <w:rPr>
          <w:rFonts w:hint="eastAsia" w:ascii="仿宋_GB2312" w:eastAsia="仿宋_GB2312" w:cs="DengXian-Regular"/>
          <w:color w:val="auto"/>
          <w:sz w:val="32"/>
          <w:szCs w:val="32"/>
          <w:highlight w:val="none"/>
          <w:lang w:val="en-US" w:eastAsia="zh-CN"/>
        </w:rPr>
        <w:t>3.28</w:t>
      </w:r>
      <w:r>
        <w:rPr>
          <w:rFonts w:hint="eastAsia" w:ascii="仿宋_GB2312" w:eastAsia="仿宋_GB2312" w:cs="DengXian-Regular"/>
          <w:color w:val="auto"/>
          <w:sz w:val="32"/>
          <w:szCs w:val="32"/>
          <w:highlight w:val="none"/>
        </w:rPr>
        <w:t>万元）、</w:t>
      </w:r>
      <w:r>
        <w:rPr>
          <w:rFonts w:hint="eastAsia" w:ascii="仿宋_GB2312" w:eastAsia="仿宋_GB2312" w:cs="DengXian-Regular"/>
          <w:color w:val="auto"/>
          <w:sz w:val="32"/>
          <w:szCs w:val="32"/>
          <w:highlight w:val="none"/>
          <w:lang w:eastAsia="zh-CN"/>
        </w:rPr>
        <w:t>低氮锅炉燃烧器（</w:t>
      </w:r>
      <w:r>
        <w:rPr>
          <w:rFonts w:hint="eastAsia" w:ascii="仿宋_GB2312" w:eastAsia="仿宋_GB2312" w:cs="DengXian-Regular"/>
          <w:color w:val="auto"/>
          <w:sz w:val="32"/>
          <w:szCs w:val="32"/>
          <w:highlight w:val="none"/>
          <w:lang w:val="en-US" w:eastAsia="zh-CN"/>
        </w:rPr>
        <w:t>16.9万元</w:t>
      </w:r>
      <w:r>
        <w:rPr>
          <w:rFonts w:hint="eastAsia" w:ascii="仿宋_GB2312" w:eastAsia="仿宋_GB2312" w:cs="DengXian-Regular"/>
          <w:color w:val="auto"/>
          <w:sz w:val="32"/>
          <w:szCs w:val="32"/>
          <w:highlight w:val="none"/>
          <w:lang w:eastAsia="zh-CN"/>
        </w:rPr>
        <w:t>）图书</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val="en-US" w:eastAsia="zh-CN"/>
        </w:rPr>
        <w:t>1.06</w:t>
      </w:r>
      <w:r>
        <w:rPr>
          <w:rFonts w:hint="eastAsia" w:ascii="仿宋_GB2312" w:eastAsia="仿宋_GB2312" w:cs="DengXian-Regular"/>
          <w:color w:val="auto"/>
          <w:sz w:val="32"/>
          <w:szCs w:val="32"/>
          <w:highlight w:val="none"/>
        </w:rPr>
        <w:t>万元）</w:t>
      </w:r>
      <w:r>
        <w:rPr>
          <w:rFonts w:hint="eastAsia" w:ascii="仿宋_GB2312" w:eastAsia="仿宋_GB2312" w:cs="DengXian-Regular"/>
          <w:color w:val="auto"/>
          <w:sz w:val="32"/>
          <w:szCs w:val="32"/>
          <w:highlight w:val="none"/>
          <w:lang w:eastAsia="zh-CN"/>
        </w:rPr>
        <w:t>变频柜及金属配件（</w:t>
      </w:r>
      <w:r>
        <w:rPr>
          <w:rFonts w:hint="eastAsia" w:ascii="仿宋_GB2312" w:eastAsia="仿宋_GB2312" w:cs="DengXian-Regular"/>
          <w:color w:val="auto"/>
          <w:sz w:val="32"/>
          <w:szCs w:val="32"/>
          <w:highlight w:val="none"/>
          <w:lang w:val="en-US" w:eastAsia="zh-CN"/>
        </w:rPr>
        <w:t>1.4万元</w:t>
      </w:r>
      <w:r>
        <w:rPr>
          <w:rFonts w:hint="eastAsia" w:ascii="仿宋_GB2312" w:eastAsia="仿宋_GB2312" w:cs="DengXian-Regular"/>
          <w:color w:val="auto"/>
          <w:sz w:val="32"/>
          <w:szCs w:val="32"/>
          <w:highlight w:val="none"/>
          <w:lang w:eastAsia="zh-CN"/>
        </w:rPr>
        <w:t>）购买办公家具（</w:t>
      </w:r>
      <w:r>
        <w:rPr>
          <w:rFonts w:hint="eastAsia" w:ascii="仿宋_GB2312" w:eastAsia="仿宋_GB2312" w:cs="DengXian-Regular"/>
          <w:color w:val="auto"/>
          <w:sz w:val="32"/>
          <w:szCs w:val="32"/>
          <w:highlight w:val="none"/>
          <w:lang w:val="en-US" w:eastAsia="zh-CN"/>
        </w:rPr>
        <w:t>1.1万元</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，资产购置手续完备，配置符合要求，资产管理整体较规范。</w:t>
      </w:r>
    </w:p>
    <w:p w14:paraId="74950E73">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eastAsia" w:ascii="仿宋_GB2312" w:eastAsia="仿宋_GB2312" w:cs="DengXian-Regular"/>
          <w:color w:val="auto"/>
          <w:sz w:val="32"/>
          <w:szCs w:val="32"/>
          <w:highlight w:val="none"/>
          <w:lang w:val="en-US" w:eastAsia="zh-CN"/>
        </w:rPr>
        <w:t>4</w:t>
      </w:r>
      <w:r>
        <w:rPr>
          <w:rFonts w:hint="eastAsia" w:ascii="仿宋_GB2312" w:eastAsia="仿宋_GB2312" w:cs="DengXian-Regular"/>
          <w:color w:val="auto"/>
          <w:sz w:val="32"/>
          <w:szCs w:val="32"/>
          <w:highlight w:val="none"/>
        </w:rPr>
        <w:t>分。</w:t>
      </w:r>
    </w:p>
    <w:p w14:paraId="0F573F99">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3.绩效评价（8分）</w:t>
      </w:r>
    </w:p>
    <w:p w14:paraId="3B5698FC">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（1）绩效自评覆盖率（4分）</w:t>
      </w:r>
    </w:p>
    <w:p w14:paraId="25616BD7">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该指标主要评价部门是否按相关要求实施绩效自评，通过绩效自评覆盖率来衡量。</w:t>
      </w:r>
    </w:p>
    <w:p w14:paraId="17089FFC">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绩效自评覆盖率=（报送相关自评材料的数量/应实施项目绩效自评数量）*100%。</w:t>
      </w:r>
    </w:p>
    <w:p w14:paraId="50419AF4">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根据徐水区财政局《关于开展202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年度财政专项资金部门绩效自评价工作的通知》及徐水区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年一般项目部门绩效自评表，徐水区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年开展绩效自评的项目数为</w:t>
      </w:r>
      <w:r>
        <w:rPr>
          <w:rFonts w:hint="eastAsia" w:ascii="仿宋_GB2312" w:eastAsia="仿宋_GB2312" w:cs="DengXian-Regular"/>
          <w:color w:val="auto"/>
          <w:sz w:val="32"/>
          <w:szCs w:val="32"/>
          <w:highlight w:val="none"/>
          <w:lang w:val="en-US" w:eastAsia="zh-CN"/>
        </w:rPr>
        <w:t>29</w:t>
      </w:r>
      <w:r>
        <w:rPr>
          <w:rFonts w:hint="eastAsia" w:ascii="仿宋_GB2312" w:eastAsia="仿宋_GB2312" w:cs="DengXian-Regular"/>
          <w:color w:val="auto"/>
          <w:sz w:val="32"/>
          <w:szCs w:val="32"/>
          <w:highlight w:val="none"/>
        </w:rPr>
        <w:t>个，年初预算文本项目数</w:t>
      </w:r>
      <w:r>
        <w:rPr>
          <w:rFonts w:hint="eastAsia" w:ascii="仿宋_GB2312" w:eastAsia="仿宋_GB2312" w:cs="DengXian-Regular"/>
          <w:color w:val="auto"/>
          <w:sz w:val="32"/>
          <w:szCs w:val="32"/>
          <w:highlight w:val="none"/>
          <w:lang w:val="en-US" w:eastAsia="zh-CN"/>
        </w:rPr>
        <w:t>23</w:t>
      </w:r>
      <w:r>
        <w:rPr>
          <w:rFonts w:hint="eastAsia" w:ascii="仿宋_GB2312" w:eastAsia="仿宋_GB2312" w:cs="DengXian-Regular"/>
          <w:color w:val="auto"/>
          <w:sz w:val="32"/>
          <w:szCs w:val="32"/>
          <w:highlight w:val="none"/>
        </w:rPr>
        <w:t>个，要求自评项目个数</w:t>
      </w:r>
      <w:r>
        <w:rPr>
          <w:rFonts w:hint="eastAsia" w:ascii="仿宋_GB2312" w:eastAsia="仿宋_GB2312" w:cs="DengXian-Regular"/>
          <w:color w:val="auto"/>
          <w:sz w:val="32"/>
          <w:szCs w:val="32"/>
          <w:highlight w:val="none"/>
          <w:lang w:val="en-US" w:eastAsia="zh-CN"/>
        </w:rPr>
        <w:t>29</w:t>
      </w:r>
      <w:r>
        <w:rPr>
          <w:rFonts w:hint="eastAsia" w:ascii="仿宋_GB2312" w:eastAsia="仿宋_GB2312" w:cs="DengXian-Regular"/>
          <w:color w:val="auto"/>
          <w:sz w:val="32"/>
          <w:szCs w:val="32"/>
          <w:highlight w:val="none"/>
        </w:rPr>
        <w:t>个，自评覆盖率为</w:t>
      </w:r>
      <w:r>
        <w:rPr>
          <w:rFonts w:hint="eastAsia" w:ascii="仿宋_GB2312" w:eastAsia="仿宋_GB2312" w:cs="DengXian-Regular"/>
          <w:color w:val="auto"/>
          <w:sz w:val="32"/>
          <w:szCs w:val="32"/>
          <w:highlight w:val="none"/>
          <w:lang w:val="en-US" w:eastAsia="zh-CN"/>
        </w:rPr>
        <w:t>126</w:t>
      </w:r>
      <w:r>
        <w:rPr>
          <w:rFonts w:hint="eastAsia" w:ascii="仿宋_GB2312" w:eastAsia="仿宋_GB2312" w:cs="DengXian-Regular"/>
          <w:color w:val="auto"/>
          <w:sz w:val="32"/>
          <w:szCs w:val="32"/>
          <w:highlight w:val="none"/>
        </w:rPr>
        <w:t>%。</w:t>
      </w:r>
    </w:p>
    <w:p w14:paraId="03A12831">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4</w:t>
      </w:r>
      <w:r>
        <w:rPr>
          <w:rFonts w:hint="eastAsia" w:ascii="仿宋_GB2312" w:eastAsia="仿宋_GB2312" w:cs="DengXian-Regular"/>
          <w:color w:val="auto"/>
          <w:sz w:val="32"/>
          <w:szCs w:val="32"/>
          <w:highlight w:val="none"/>
        </w:rPr>
        <w:t>分。</w:t>
      </w:r>
    </w:p>
    <w:p w14:paraId="2AEF157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（2）绩效评价优等率（4分）</w:t>
      </w:r>
    </w:p>
    <w:p w14:paraId="4E9222C6">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该指标主要评价部门开展的绩效评价项目的完成质量，通过绩效评价优等率来衡量。</w:t>
      </w:r>
    </w:p>
    <w:p w14:paraId="79D138C0">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绩效评价优等率=（结果达到优等的数量/参评数量）*100%。</w:t>
      </w:r>
    </w:p>
    <w:p w14:paraId="114A9E36">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年参评数量</w:t>
      </w:r>
      <w:r>
        <w:rPr>
          <w:rFonts w:hint="eastAsia" w:ascii="仿宋_GB2312" w:eastAsia="仿宋_GB2312" w:cs="DengXian-Regular"/>
          <w:color w:val="auto"/>
          <w:sz w:val="32"/>
          <w:szCs w:val="32"/>
          <w:highlight w:val="none"/>
          <w:lang w:val="en-US" w:eastAsia="zh-CN"/>
        </w:rPr>
        <w:t>29</w:t>
      </w:r>
      <w:r>
        <w:rPr>
          <w:rFonts w:hint="eastAsia" w:ascii="仿宋_GB2312" w:eastAsia="仿宋_GB2312" w:cs="DengXian-Regular"/>
          <w:color w:val="auto"/>
          <w:sz w:val="32"/>
          <w:szCs w:val="32"/>
          <w:highlight w:val="none"/>
        </w:rPr>
        <w:t>个，绩效评价结果达到优等的数量</w:t>
      </w:r>
      <w:r>
        <w:rPr>
          <w:rFonts w:hint="eastAsia" w:ascii="仿宋_GB2312" w:eastAsia="仿宋_GB2312" w:cs="DengXian-Regular"/>
          <w:color w:val="auto"/>
          <w:sz w:val="32"/>
          <w:szCs w:val="32"/>
          <w:highlight w:val="none"/>
          <w:lang w:val="en-US" w:eastAsia="zh-CN"/>
        </w:rPr>
        <w:t>29</w:t>
      </w:r>
      <w:r>
        <w:rPr>
          <w:rFonts w:hint="eastAsia" w:ascii="仿宋_GB2312" w:eastAsia="仿宋_GB2312" w:cs="DengXian-Regular"/>
          <w:color w:val="auto"/>
          <w:sz w:val="32"/>
          <w:szCs w:val="32"/>
          <w:highlight w:val="none"/>
        </w:rPr>
        <w:t>个，绩效评价优等率为</w:t>
      </w:r>
      <w:r>
        <w:rPr>
          <w:rFonts w:hint="eastAsia" w:ascii="仿宋_GB2312" w:eastAsia="仿宋_GB2312" w:cs="DengXian-Regular"/>
          <w:color w:val="auto"/>
          <w:sz w:val="32"/>
          <w:szCs w:val="32"/>
          <w:highlight w:val="none"/>
          <w:lang w:val="en-US" w:eastAsia="zh-CN"/>
        </w:rPr>
        <w:t>100</w:t>
      </w:r>
      <w:r>
        <w:rPr>
          <w:rFonts w:hint="eastAsia" w:ascii="仿宋_GB2312" w:eastAsia="仿宋_GB2312" w:cs="DengXian-Regular"/>
          <w:color w:val="auto"/>
          <w:sz w:val="32"/>
          <w:szCs w:val="32"/>
          <w:highlight w:val="none"/>
        </w:rPr>
        <w:t>%。</w:t>
      </w:r>
    </w:p>
    <w:p w14:paraId="03E491C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4</w:t>
      </w:r>
      <w:r>
        <w:rPr>
          <w:rFonts w:hint="eastAsia" w:ascii="仿宋_GB2312" w:eastAsia="仿宋_GB2312" w:cs="DengXian-Regular"/>
          <w:color w:val="auto"/>
          <w:sz w:val="32"/>
          <w:szCs w:val="32"/>
          <w:highlight w:val="none"/>
        </w:rPr>
        <w:t>分。</w:t>
      </w:r>
      <w:bookmarkEnd w:id="64"/>
      <w:bookmarkEnd w:id="65"/>
    </w:p>
    <w:p w14:paraId="7353084C">
      <w:pPr>
        <w:pStyle w:val="4"/>
        <w:spacing w:before="0" w:after="0"/>
        <w:ind w:firstLine="643" w:firstLineChars="200"/>
        <w:jc w:val="both"/>
        <w:rPr>
          <w:rFonts w:ascii="楷体" w:hAnsi="楷体" w:eastAsia="楷体"/>
          <w:color w:val="auto"/>
          <w:sz w:val="32"/>
          <w:highlight w:val="none"/>
        </w:rPr>
      </w:pPr>
      <w:bookmarkStart w:id="66" w:name="_Toc12330"/>
      <w:r>
        <w:rPr>
          <w:rFonts w:hint="eastAsia" w:ascii="楷体" w:hAnsi="楷体" w:eastAsia="楷体"/>
          <w:color w:val="auto"/>
          <w:sz w:val="32"/>
          <w:highlight w:val="none"/>
        </w:rPr>
        <w:t>（三）产出（25分）</w:t>
      </w:r>
      <w:bookmarkEnd w:id="66"/>
    </w:p>
    <w:p w14:paraId="128A870C">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该一级指标包含责任履行一个二级指标，主要反映结转结余率，项目资金使用率，社区矫正人数，社区服刑人员再次犯罪率，法律援助案件办结率。</w:t>
      </w:r>
    </w:p>
    <w:p w14:paraId="3A467A15">
      <w:pPr>
        <w:spacing w:after="0" w:line="360" w:lineRule="auto"/>
        <w:jc w:val="center"/>
        <w:textAlignment w:val="baseline"/>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14:paraId="7B68B591">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7032EAB1">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28FDF238">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42985E26">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4D408CF2">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10A7AFBA">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得分</w:t>
            </w:r>
          </w:p>
        </w:tc>
      </w:tr>
      <w:tr w14:paraId="6876176B">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444430AA">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产出</w:t>
            </w:r>
          </w:p>
          <w:p w14:paraId="0F8D4A73">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（25分）</w:t>
            </w:r>
          </w:p>
        </w:tc>
        <w:tc>
          <w:tcPr>
            <w:tcW w:w="1004" w:type="dxa"/>
            <w:vMerge w:val="restart"/>
            <w:tcBorders>
              <w:top w:val="single" w:color="000000" w:sz="4" w:space="0"/>
              <w:left w:val="single" w:color="000000" w:sz="4" w:space="0"/>
              <w:right w:val="single" w:color="000000" w:sz="4" w:space="0"/>
            </w:tcBorders>
            <w:vAlign w:val="center"/>
          </w:tcPr>
          <w:p w14:paraId="7757CBD3">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64F646C5">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6A3020E8">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59D66AC9">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5</w:t>
            </w:r>
          </w:p>
        </w:tc>
      </w:tr>
      <w:tr w14:paraId="14462C43">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05DEF070">
            <w:pPr>
              <w:spacing w:line="420" w:lineRule="exact"/>
              <w:jc w:val="center"/>
              <w:rPr>
                <w:rFonts w:cs="宋体" w:asciiTheme="minorEastAsia" w:hAnsiTheme="minorEastAsia" w:eastAsiaTheme="minorEastAsia"/>
                <w:color w:val="auto"/>
                <w:sz w:val="21"/>
                <w:szCs w:val="21"/>
                <w:highlight w:val="none"/>
              </w:rPr>
            </w:pPr>
          </w:p>
        </w:tc>
        <w:tc>
          <w:tcPr>
            <w:tcW w:w="1004" w:type="dxa"/>
            <w:vMerge w:val="continue"/>
            <w:tcBorders>
              <w:left w:val="single" w:color="000000" w:sz="4" w:space="0"/>
              <w:right w:val="single" w:color="000000" w:sz="4" w:space="0"/>
            </w:tcBorders>
            <w:vAlign w:val="center"/>
          </w:tcPr>
          <w:p w14:paraId="10EC66EA">
            <w:pPr>
              <w:spacing w:line="420" w:lineRule="exact"/>
              <w:jc w:val="center"/>
              <w:rPr>
                <w:rFonts w:cs="宋体" w:asciiTheme="minorEastAsia" w:hAnsiTheme="minorEastAsia" w:eastAsiaTheme="minorEastAsia"/>
                <w:color w:val="auto"/>
                <w:sz w:val="21"/>
                <w:szCs w:val="21"/>
                <w:highlight w:val="none"/>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622DA91C">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766E8A98">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2AB98378">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5</w:t>
            </w:r>
          </w:p>
        </w:tc>
      </w:tr>
      <w:tr w14:paraId="0F85AC46">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1F08EEC6">
            <w:pPr>
              <w:spacing w:line="420" w:lineRule="exact"/>
              <w:jc w:val="center"/>
              <w:rPr>
                <w:rFonts w:cs="宋体" w:asciiTheme="minorEastAsia" w:hAnsiTheme="minorEastAsia" w:eastAsiaTheme="minorEastAsia"/>
                <w:color w:val="auto"/>
                <w:sz w:val="21"/>
                <w:szCs w:val="21"/>
                <w:highlight w:val="none"/>
              </w:rPr>
            </w:pPr>
          </w:p>
        </w:tc>
        <w:tc>
          <w:tcPr>
            <w:tcW w:w="1004" w:type="dxa"/>
            <w:vMerge w:val="continue"/>
            <w:tcBorders>
              <w:left w:val="single" w:color="000000" w:sz="4" w:space="0"/>
              <w:right w:val="single" w:color="000000" w:sz="4" w:space="0"/>
            </w:tcBorders>
            <w:vAlign w:val="center"/>
          </w:tcPr>
          <w:p w14:paraId="2AB4C934">
            <w:pPr>
              <w:spacing w:line="420" w:lineRule="exact"/>
              <w:jc w:val="center"/>
              <w:rPr>
                <w:rFonts w:cs="宋体" w:asciiTheme="minorEastAsia" w:hAnsiTheme="minorEastAsia" w:eastAsiaTheme="minorEastAsia"/>
                <w:color w:val="auto"/>
                <w:sz w:val="21"/>
                <w:szCs w:val="21"/>
                <w:highlight w:val="none"/>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3FA5CB6B">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14:paraId="2BFE9AF4">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577F413D">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5</w:t>
            </w:r>
          </w:p>
        </w:tc>
      </w:tr>
      <w:tr w14:paraId="695A814A">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0C85FC47">
            <w:pPr>
              <w:spacing w:line="420" w:lineRule="exact"/>
              <w:jc w:val="center"/>
              <w:rPr>
                <w:rFonts w:cs="宋体" w:asciiTheme="minorEastAsia" w:hAnsiTheme="minorEastAsia" w:eastAsiaTheme="minorEastAsia"/>
                <w:color w:val="auto"/>
                <w:sz w:val="21"/>
                <w:szCs w:val="21"/>
                <w:highlight w:val="none"/>
              </w:rPr>
            </w:pPr>
          </w:p>
        </w:tc>
        <w:tc>
          <w:tcPr>
            <w:tcW w:w="1004" w:type="dxa"/>
            <w:vMerge w:val="continue"/>
            <w:tcBorders>
              <w:left w:val="single" w:color="000000" w:sz="4" w:space="0"/>
              <w:right w:val="single" w:color="000000" w:sz="4" w:space="0"/>
            </w:tcBorders>
            <w:vAlign w:val="center"/>
          </w:tcPr>
          <w:p w14:paraId="770461A8">
            <w:pPr>
              <w:spacing w:line="420" w:lineRule="exact"/>
              <w:jc w:val="center"/>
              <w:rPr>
                <w:rFonts w:cs="宋体" w:asciiTheme="minorEastAsia" w:hAnsiTheme="minorEastAsia" w:eastAsiaTheme="minorEastAsia"/>
                <w:color w:val="auto"/>
                <w:sz w:val="21"/>
                <w:szCs w:val="21"/>
                <w:highlight w:val="none"/>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1121271D">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145B0C8E">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5F544A3E">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5</w:t>
            </w:r>
          </w:p>
        </w:tc>
      </w:tr>
      <w:tr w14:paraId="2D074704">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6297BD66">
            <w:pPr>
              <w:spacing w:line="420" w:lineRule="exact"/>
              <w:jc w:val="center"/>
              <w:rPr>
                <w:rFonts w:cs="宋体" w:asciiTheme="minorEastAsia" w:hAnsiTheme="minorEastAsia" w:eastAsiaTheme="minorEastAsia"/>
                <w:color w:val="auto"/>
                <w:sz w:val="21"/>
                <w:szCs w:val="21"/>
                <w:highlight w:val="none"/>
              </w:rPr>
            </w:pPr>
          </w:p>
        </w:tc>
        <w:tc>
          <w:tcPr>
            <w:tcW w:w="1004" w:type="dxa"/>
            <w:vMerge w:val="continue"/>
            <w:tcBorders>
              <w:left w:val="single" w:color="000000" w:sz="4" w:space="0"/>
              <w:right w:val="single" w:color="000000" w:sz="4" w:space="0"/>
            </w:tcBorders>
            <w:vAlign w:val="center"/>
          </w:tcPr>
          <w:p w14:paraId="4F1B2119">
            <w:pPr>
              <w:spacing w:line="420" w:lineRule="exact"/>
              <w:jc w:val="center"/>
              <w:rPr>
                <w:rFonts w:cs="宋体" w:asciiTheme="minorEastAsia" w:hAnsiTheme="minorEastAsia" w:eastAsiaTheme="minorEastAsia"/>
                <w:color w:val="auto"/>
                <w:sz w:val="21"/>
                <w:szCs w:val="21"/>
                <w:highlight w:val="none"/>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1F431D4E">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0D01A072">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2B128B23">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5</w:t>
            </w:r>
          </w:p>
        </w:tc>
      </w:tr>
      <w:tr w14:paraId="0D5117A7">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66E793B5">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35686C2B">
            <w:pPr>
              <w:spacing w:line="420" w:lineRule="exact"/>
              <w:jc w:val="center"/>
              <w:rPr>
                <w:rFonts w:cs="宋体" w:asciiTheme="minorEastAsia" w:hAnsiTheme="minorEastAsia" w:eastAsiaTheme="minorEastAsia"/>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135AD02C">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2F64">
            <w:pPr>
              <w:spacing w:line="42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25</w:t>
            </w:r>
          </w:p>
        </w:tc>
      </w:tr>
    </w:tbl>
    <w:p w14:paraId="567B0D34">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67" w:name="_Toc464638518"/>
      <w:bookmarkStart w:id="68" w:name="_Toc465149515"/>
      <w:r>
        <w:rPr>
          <w:rFonts w:hint="eastAsia" w:ascii="仿宋_GB2312" w:eastAsia="仿宋_GB2312" w:cs="DengXian-Regular"/>
          <w:color w:val="auto"/>
          <w:sz w:val="32"/>
          <w:szCs w:val="32"/>
          <w:highlight w:val="none"/>
        </w:rPr>
        <w:t>1.结转结余率（5分）</w:t>
      </w:r>
    </w:p>
    <w:p w14:paraId="491A94CA">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该指标主要评价部门的结转结余情况，通过结转结余率衡量。</w:t>
      </w:r>
    </w:p>
    <w:p w14:paraId="3EED4EF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结转结余率=（本年结转结余数/决算收入数）*100%。</w:t>
      </w:r>
    </w:p>
    <w:p w14:paraId="673F80CB">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年决算文本及相关资料</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年结转结余资金</w:t>
      </w:r>
      <w:r>
        <w:rPr>
          <w:rFonts w:hint="eastAsia" w:ascii="仿宋_GB2312" w:eastAsia="仿宋_GB2312" w:cs="DengXian-Regular"/>
          <w:color w:val="auto"/>
          <w:sz w:val="32"/>
          <w:szCs w:val="32"/>
          <w:highlight w:val="none"/>
          <w:lang w:val="en-US" w:eastAsia="zh-CN"/>
        </w:rPr>
        <w:t>0</w:t>
      </w:r>
      <w:r>
        <w:rPr>
          <w:rFonts w:hint="eastAsia" w:ascii="仿宋_GB2312" w:eastAsia="仿宋_GB2312" w:cs="DengXian-Regular"/>
          <w:color w:val="auto"/>
          <w:sz w:val="32"/>
          <w:szCs w:val="32"/>
          <w:highlight w:val="none"/>
        </w:rPr>
        <w:t>万元，决算收入</w:t>
      </w:r>
      <w:r>
        <w:rPr>
          <w:rFonts w:hint="eastAsia" w:ascii="仿宋_GB2312" w:eastAsia="仿宋_GB2312" w:cs="DengXian-Regular"/>
          <w:color w:val="auto"/>
          <w:sz w:val="32"/>
          <w:szCs w:val="32"/>
          <w:highlight w:val="none"/>
          <w:lang w:val="en-US" w:eastAsia="zh-CN"/>
        </w:rPr>
        <w:t>1790.83</w:t>
      </w:r>
      <w:r>
        <w:rPr>
          <w:rFonts w:hint="eastAsia" w:ascii="仿宋_GB2312" w:eastAsia="仿宋_GB2312" w:cs="DengXian-Regular"/>
          <w:color w:val="auto"/>
          <w:sz w:val="32"/>
          <w:szCs w:val="32"/>
          <w:highlight w:val="none"/>
        </w:rPr>
        <w:t>万元，结转结余率</w:t>
      </w:r>
      <w:r>
        <w:rPr>
          <w:rFonts w:hint="eastAsia" w:ascii="仿宋_GB2312" w:eastAsia="仿宋_GB2312" w:cs="DengXian-Regular"/>
          <w:color w:val="auto"/>
          <w:sz w:val="32"/>
          <w:szCs w:val="32"/>
          <w:highlight w:val="none"/>
          <w:lang w:val="en-US" w:eastAsia="zh-CN"/>
        </w:rPr>
        <w:t>100</w:t>
      </w:r>
      <w:r>
        <w:rPr>
          <w:rFonts w:hint="eastAsia" w:ascii="仿宋_GB2312" w:eastAsia="仿宋_GB2312" w:cs="DengXian-Regular"/>
          <w:color w:val="auto"/>
          <w:sz w:val="32"/>
          <w:szCs w:val="32"/>
          <w:highlight w:val="none"/>
        </w:rPr>
        <w:t>%，小于（大于）5%。</w:t>
      </w:r>
    </w:p>
    <w:p w14:paraId="228C1425">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eastAsia" w:ascii="仿宋_GB2312" w:eastAsia="仿宋_GB2312" w:cs="DengXian-Regular"/>
          <w:color w:val="auto"/>
          <w:sz w:val="32"/>
          <w:szCs w:val="32"/>
          <w:highlight w:val="none"/>
          <w:lang w:val="en-US" w:eastAsia="zh-CN"/>
        </w:rPr>
        <w:t>5</w:t>
      </w:r>
      <w:r>
        <w:rPr>
          <w:rFonts w:hint="eastAsia" w:ascii="仿宋_GB2312" w:eastAsia="仿宋_GB2312" w:cs="DengXian-Regular"/>
          <w:color w:val="auto"/>
          <w:sz w:val="32"/>
          <w:szCs w:val="32"/>
          <w:highlight w:val="none"/>
        </w:rPr>
        <w:t>分。</w:t>
      </w:r>
    </w:p>
    <w:p w14:paraId="1591BE4E">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2.项目资金使用率（5分）</w:t>
      </w:r>
    </w:p>
    <w:p w14:paraId="43C97327">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该指标主要评价项目资金的使用效率，通过项目资金使用率来衡量。</w:t>
      </w:r>
    </w:p>
    <w:p w14:paraId="743671F1">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项目资金使用率=（实际支出项目资金总额/计划完整项目资金总数）*100%。</w:t>
      </w:r>
    </w:p>
    <w:p w14:paraId="5C6881D8">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年实际支出项目资金总额</w:t>
      </w:r>
      <w:r>
        <w:rPr>
          <w:rFonts w:hint="eastAsia" w:ascii="仿宋" w:hAnsi="仿宋" w:eastAsia="仿宋" w:cs="DengXian-Regular"/>
          <w:color w:val="auto"/>
          <w:sz w:val="32"/>
          <w:szCs w:val="32"/>
          <w:highlight w:val="none"/>
          <w:lang w:val="en-US" w:eastAsia="zh-CN"/>
        </w:rPr>
        <w:t>1916.28</w:t>
      </w:r>
      <w:r>
        <w:rPr>
          <w:rFonts w:hint="eastAsia" w:ascii="仿宋_GB2312" w:eastAsia="仿宋_GB2312" w:cs="DengXian-Regular"/>
          <w:color w:val="auto"/>
          <w:sz w:val="32"/>
          <w:szCs w:val="32"/>
          <w:highlight w:val="none"/>
        </w:rPr>
        <w:t>万元，年初预算共</w:t>
      </w:r>
      <w:r>
        <w:rPr>
          <w:rFonts w:hint="eastAsia" w:ascii="仿宋_GB2312" w:eastAsia="仿宋_GB2312" w:cs="DengXian-Regular"/>
          <w:color w:val="auto"/>
          <w:sz w:val="32"/>
          <w:szCs w:val="32"/>
          <w:highlight w:val="none"/>
          <w:lang w:val="en-US" w:eastAsia="zh-CN"/>
        </w:rPr>
        <w:t>24</w:t>
      </w:r>
      <w:r>
        <w:rPr>
          <w:rFonts w:hint="eastAsia" w:ascii="仿宋_GB2312" w:eastAsia="仿宋_GB2312" w:cs="DengXian-Regular"/>
          <w:color w:val="auto"/>
          <w:sz w:val="32"/>
          <w:szCs w:val="32"/>
          <w:highlight w:val="none"/>
        </w:rPr>
        <w:t>个项目，预算数</w:t>
      </w:r>
      <w:r>
        <w:rPr>
          <w:rFonts w:hint="eastAsia" w:ascii="仿宋_GB2312" w:eastAsia="仿宋_GB2312" w:cs="DengXian-Regular"/>
          <w:color w:val="auto"/>
          <w:sz w:val="32"/>
          <w:szCs w:val="32"/>
          <w:highlight w:val="none"/>
          <w:lang w:val="en-US" w:eastAsia="zh-CN"/>
        </w:rPr>
        <w:t>1666.64</w:t>
      </w:r>
      <w:r>
        <w:rPr>
          <w:rFonts w:hint="eastAsia" w:ascii="仿宋_GB2312" w:eastAsia="仿宋_GB2312" w:cs="DengXian-Regular"/>
          <w:color w:val="auto"/>
          <w:sz w:val="32"/>
          <w:szCs w:val="32"/>
          <w:highlight w:val="none"/>
        </w:rPr>
        <w:t>万元，年中追加项目资金</w:t>
      </w:r>
      <w:r>
        <w:rPr>
          <w:rFonts w:hint="eastAsia" w:ascii="仿宋_GB2312" w:eastAsia="仿宋_GB2312" w:cs="DengXian-Regular"/>
          <w:color w:val="auto"/>
          <w:sz w:val="32"/>
          <w:szCs w:val="32"/>
          <w:highlight w:val="none"/>
          <w:lang w:val="en-US" w:eastAsia="zh-CN"/>
        </w:rPr>
        <w:t>124.19</w:t>
      </w:r>
      <w:r>
        <w:rPr>
          <w:rFonts w:hint="eastAsia" w:ascii="仿宋_GB2312" w:eastAsia="仿宋_GB2312" w:cs="DengXian-Regular"/>
          <w:color w:val="auto"/>
          <w:sz w:val="32"/>
          <w:szCs w:val="32"/>
          <w:highlight w:val="none"/>
        </w:rPr>
        <w:t>万元，项目资金使用率为</w:t>
      </w:r>
      <w:r>
        <w:rPr>
          <w:rFonts w:hint="eastAsia" w:ascii="仿宋_GB2312" w:eastAsia="仿宋_GB2312" w:cs="DengXian-Regular"/>
          <w:color w:val="auto"/>
          <w:sz w:val="32"/>
          <w:szCs w:val="32"/>
          <w:highlight w:val="none"/>
          <w:lang w:val="en-US" w:eastAsia="zh-CN"/>
        </w:rPr>
        <w:t>100</w:t>
      </w:r>
      <w:r>
        <w:rPr>
          <w:rFonts w:hint="eastAsia" w:ascii="仿宋_GB2312" w:eastAsia="仿宋_GB2312" w:cs="DengXian-Regular"/>
          <w:color w:val="auto"/>
          <w:sz w:val="32"/>
          <w:szCs w:val="32"/>
          <w:highlight w:val="none"/>
        </w:rPr>
        <w:t>%。</w:t>
      </w:r>
    </w:p>
    <w:p w14:paraId="41792FAF">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eastAsia" w:ascii="仿宋_GB2312" w:eastAsia="仿宋_GB2312" w:cs="DengXian-Regular"/>
          <w:color w:val="auto"/>
          <w:sz w:val="32"/>
          <w:szCs w:val="32"/>
          <w:highlight w:val="none"/>
          <w:lang w:val="en-US" w:eastAsia="zh-CN"/>
        </w:rPr>
        <w:t>5</w:t>
      </w:r>
      <w:r>
        <w:rPr>
          <w:rFonts w:hint="eastAsia" w:ascii="仿宋_GB2312" w:eastAsia="仿宋_GB2312" w:cs="DengXian-Regular"/>
          <w:color w:val="auto"/>
          <w:sz w:val="32"/>
          <w:szCs w:val="32"/>
          <w:highlight w:val="none"/>
        </w:rPr>
        <w:t>分。</w:t>
      </w:r>
    </w:p>
    <w:p w14:paraId="722AC367">
      <w:pPr>
        <w:pStyle w:val="4"/>
        <w:spacing w:before="0" w:after="0"/>
        <w:ind w:firstLine="643" w:firstLineChars="200"/>
        <w:jc w:val="both"/>
        <w:rPr>
          <w:rFonts w:ascii="楷体" w:hAnsi="楷体" w:eastAsia="楷体"/>
          <w:color w:val="auto"/>
          <w:sz w:val="32"/>
          <w:highlight w:val="none"/>
        </w:rPr>
      </w:pPr>
      <w:bookmarkStart w:id="69" w:name="_Toc28363"/>
      <w:r>
        <w:rPr>
          <w:rFonts w:hint="eastAsia" w:ascii="楷体" w:hAnsi="楷体" w:eastAsia="楷体"/>
          <w:color w:val="auto"/>
          <w:sz w:val="32"/>
          <w:highlight w:val="none"/>
        </w:rPr>
        <w:t>（四）效果</w:t>
      </w:r>
      <w:bookmarkEnd w:id="67"/>
      <w:bookmarkEnd w:id="68"/>
      <w:r>
        <w:rPr>
          <w:rFonts w:hint="eastAsia" w:ascii="楷体" w:hAnsi="楷体" w:eastAsia="楷体"/>
          <w:color w:val="auto"/>
          <w:sz w:val="32"/>
          <w:highlight w:val="none"/>
        </w:rPr>
        <w:t>（15分）</w:t>
      </w:r>
      <w:bookmarkEnd w:id="69"/>
    </w:p>
    <w:p w14:paraId="40A2A085">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70" w:name="_Toc464638520"/>
      <w:r>
        <w:rPr>
          <w:rFonts w:hint="eastAsia" w:ascii="仿宋_GB2312" w:eastAsia="仿宋_GB2312" w:cs="DengXian-Regular"/>
          <w:color w:val="auto"/>
          <w:sz w:val="32"/>
          <w:szCs w:val="32"/>
          <w:highlight w:val="none"/>
        </w:rPr>
        <w:t>该一级指标包含履职效益一个二级指标。主要反映部门履行职责对社会发展所带来的直接或间接效益及社会公众或部门的服务对象对部门履职效果的满意程度。</w:t>
      </w:r>
    </w:p>
    <w:p w14:paraId="6E421073">
      <w:pPr>
        <w:spacing w:after="0" w:line="360" w:lineRule="auto"/>
        <w:jc w:val="center"/>
        <w:textAlignment w:val="baseline"/>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14:paraId="78AEFEC8">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034F30E0">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58F4C951">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4B05B78C">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268C01C6">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6CEE2762">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得分</w:t>
            </w:r>
          </w:p>
        </w:tc>
      </w:tr>
      <w:tr w14:paraId="36EC532A">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5B559A6F">
            <w:pPr>
              <w:spacing w:after="0"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项目效果</w:t>
            </w:r>
          </w:p>
          <w:p w14:paraId="37ED27CE">
            <w:pPr>
              <w:spacing w:after="0"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7CE4CF6C">
            <w:pPr>
              <w:spacing w:after="0"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履职效益</w:t>
            </w:r>
          </w:p>
          <w:p w14:paraId="272DF56F">
            <w:pPr>
              <w:spacing w:after="0"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4288D1CE">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1A3BC8FB">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w:t>
            </w:r>
          </w:p>
        </w:tc>
        <w:tc>
          <w:tcPr>
            <w:tcW w:w="1045" w:type="dxa"/>
            <w:tcBorders>
              <w:top w:val="single" w:color="000000" w:sz="4" w:space="0"/>
              <w:left w:val="single" w:color="000000" w:sz="4" w:space="0"/>
              <w:bottom w:val="single" w:color="000000" w:sz="4" w:space="0"/>
              <w:right w:val="single" w:color="000000" w:sz="4" w:space="0"/>
            </w:tcBorders>
            <w:vAlign w:val="center"/>
          </w:tcPr>
          <w:p w14:paraId="57E6F168">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10</w:t>
            </w:r>
          </w:p>
        </w:tc>
      </w:tr>
      <w:tr w14:paraId="0B7D75B6">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479479D3">
            <w:pPr>
              <w:spacing w:line="420" w:lineRule="exact"/>
              <w:jc w:val="center"/>
              <w:rPr>
                <w:rFonts w:cs="宋体" w:asciiTheme="minorEastAsia" w:hAnsiTheme="minorEastAsia" w:eastAsiaTheme="minorEastAsia"/>
                <w:color w:val="auto"/>
                <w:sz w:val="21"/>
                <w:szCs w:val="21"/>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3D7B7DBB">
            <w:pPr>
              <w:spacing w:line="420" w:lineRule="exact"/>
              <w:jc w:val="center"/>
              <w:rPr>
                <w:rFonts w:cs="宋体" w:asciiTheme="minorEastAsia" w:hAnsiTheme="minorEastAsia" w:eastAsiaTheme="minorEastAsia"/>
                <w:color w:val="auto"/>
                <w:sz w:val="21"/>
                <w:szCs w:val="21"/>
                <w:highlight w:val="none"/>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03F09221">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07F52C4C">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1045" w:type="dxa"/>
            <w:tcBorders>
              <w:top w:val="single" w:color="000000" w:sz="4" w:space="0"/>
              <w:left w:val="single" w:color="000000" w:sz="4" w:space="0"/>
              <w:bottom w:val="single" w:color="000000" w:sz="4" w:space="0"/>
              <w:right w:val="single" w:color="000000" w:sz="4" w:space="0"/>
            </w:tcBorders>
            <w:vAlign w:val="center"/>
          </w:tcPr>
          <w:p w14:paraId="61A71B91">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5</w:t>
            </w:r>
          </w:p>
        </w:tc>
      </w:tr>
      <w:tr w14:paraId="237BDCB3">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682B5B4F">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30E8CB3B">
            <w:pPr>
              <w:spacing w:line="420" w:lineRule="exact"/>
              <w:jc w:val="center"/>
              <w:rPr>
                <w:rFonts w:cs="宋体" w:asciiTheme="minorEastAsia" w:hAnsiTheme="minorEastAsia" w:eastAsiaTheme="minorEastAsia"/>
                <w:color w:val="auto"/>
                <w:sz w:val="21"/>
                <w:szCs w:val="21"/>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47F7286B">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w:t>
            </w:r>
          </w:p>
        </w:tc>
        <w:tc>
          <w:tcPr>
            <w:tcW w:w="1045" w:type="dxa"/>
            <w:tcBorders>
              <w:top w:val="single" w:color="000000" w:sz="4" w:space="0"/>
              <w:left w:val="single" w:color="000000" w:sz="4" w:space="0"/>
              <w:bottom w:val="single" w:color="000000" w:sz="4" w:space="0"/>
              <w:right w:val="single" w:color="000000" w:sz="4" w:space="0"/>
            </w:tcBorders>
            <w:vAlign w:val="center"/>
          </w:tcPr>
          <w:p w14:paraId="7979A5CF">
            <w:pPr>
              <w:spacing w:line="42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15</w:t>
            </w:r>
          </w:p>
        </w:tc>
      </w:tr>
      <w:bookmarkEnd w:id="70"/>
    </w:tbl>
    <w:p w14:paraId="4AA80DEE">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71" w:name="_Toc465149516"/>
      <w:bookmarkStart w:id="72" w:name="_Toc492652784"/>
      <w:bookmarkStart w:id="73" w:name="_Toc464638561"/>
      <w:r>
        <w:rPr>
          <w:rFonts w:hint="eastAsia" w:ascii="仿宋_GB2312" w:eastAsia="仿宋_GB2312" w:cs="DengXian-Regular"/>
          <w:color w:val="auto"/>
          <w:sz w:val="32"/>
          <w:szCs w:val="32"/>
          <w:highlight w:val="none"/>
        </w:rPr>
        <w:t>1.部门整体效益（10分）</w:t>
      </w:r>
    </w:p>
    <w:p w14:paraId="2854361E">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该指标主要评价部门履行职责对社会发展所带来的直接或间接效益。</w:t>
      </w:r>
    </w:p>
    <w:p w14:paraId="09AD6A65">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经查看</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单位提供的相关资料，</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单位履行职责对社会发展所带来的社会效益较显著，有效的提高了社会公众的</w:t>
      </w:r>
      <w:r>
        <w:rPr>
          <w:rFonts w:hint="eastAsia" w:ascii="仿宋_GB2312" w:eastAsia="仿宋_GB2312" w:cs="DengXian-Regular"/>
          <w:color w:val="auto"/>
          <w:sz w:val="32"/>
          <w:szCs w:val="32"/>
          <w:highlight w:val="none"/>
          <w:lang w:eastAsia="zh-CN"/>
        </w:rPr>
        <w:t>维权</w:t>
      </w:r>
      <w:r>
        <w:rPr>
          <w:rFonts w:hint="eastAsia" w:ascii="仿宋_GB2312" w:eastAsia="仿宋_GB2312" w:cs="DengXian-Regular"/>
          <w:color w:val="auto"/>
          <w:sz w:val="32"/>
          <w:szCs w:val="32"/>
          <w:highlight w:val="none"/>
        </w:rPr>
        <w:t>意识，减少了社会</w:t>
      </w:r>
      <w:r>
        <w:rPr>
          <w:rFonts w:hint="eastAsia" w:ascii="仿宋_GB2312" w:eastAsia="仿宋_GB2312" w:cs="DengXian-Regular"/>
          <w:color w:val="auto"/>
          <w:sz w:val="32"/>
          <w:szCs w:val="32"/>
          <w:highlight w:val="none"/>
          <w:lang w:eastAsia="zh-CN"/>
        </w:rPr>
        <w:t>不稳定</w:t>
      </w:r>
      <w:r>
        <w:rPr>
          <w:rFonts w:hint="eastAsia" w:ascii="仿宋_GB2312" w:eastAsia="仿宋_GB2312" w:cs="DengXian-Regular"/>
          <w:color w:val="auto"/>
          <w:sz w:val="32"/>
          <w:szCs w:val="32"/>
          <w:highlight w:val="none"/>
        </w:rPr>
        <w:t>因素。</w:t>
      </w:r>
    </w:p>
    <w:p w14:paraId="5488FE40">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eastAsia" w:ascii="仿宋_GB2312" w:eastAsia="仿宋_GB2312" w:cs="DengXian-Regular"/>
          <w:color w:val="auto"/>
          <w:sz w:val="32"/>
          <w:szCs w:val="32"/>
          <w:highlight w:val="none"/>
          <w:lang w:val="en-US" w:eastAsia="zh-CN"/>
        </w:rPr>
        <w:t>10</w:t>
      </w:r>
      <w:r>
        <w:rPr>
          <w:rFonts w:hint="eastAsia" w:ascii="仿宋_GB2312" w:eastAsia="仿宋_GB2312" w:cs="DengXian-Regular"/>
          <w:color w:val="auto"/>
          <w:sz w:val="32"/>
          <w:szCs w:val="32"/>
          <w:highlight w:val="none"/>
        </w:rPr>
        <w:t>分。</w:t>
      </w:r>
    </w:p>
    <w:p w14:paraId="45C67442">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2.考评满意度（5分）</w:t>
      </w:r>
    </w:p>
    <w:p w14:paraId="52F84080">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该指标主要评价社会公众或部门的服务对象对部门履职效果的满意程度。</w:t>
      </w:r>
    </w:p>
    <w:p w14:paraId="27AA7FEC">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针对该指标，我们随机选取了50个调查对象进行了问卷调查，具体调查情况如下：</w:t>
      </w:r>
    </w:p>
    <w:p w14:paraId="0072DC8A">
      <w:pPr>
        <w:spacing w:after="0" w:line="360" w:lineRule="auto"/>
        <w:jc w:val="center"/>
        <w:textAlignment w:val="baseline"/>
        <w:rPr>
          <w:rFonts w:asciiTheme="minorEastAsia" w:hAnsiTheme="minorEastAsia" w:eastAsiaTheme="minorEastAsia" w:cstheme="minorEastAsia"/>
          <w:b/>
          <w:bCs/>
          <w:color w:val="auto"/>
          <w:sz w:val="32"/>
          <w:szCs w:val="32"/>
          <w:highlight w:val="none"/>
          <w:u w:color="000000"/>
        </w:rPr>
      </w:pPr>
      <w:r>
        <w:rPr>
          <w:rFonts w:hint="eastAsia" w:asciiTheme="minorEastAsia" w:hAnsiTheme="minorEastAsia" w:eastAsiaTheme="minorEastAsia" w:cstheme="minorEastAsia"/>
          <w:b/>
          <w:bCs/>
          <w:color w:val="auto"/>
          <w:sz w:val="32"/>
          <w:szCs w:val="32"/>
          <w:highlight w:val="none"/>
          <w:u w:color="000000"/>
        </w:rPr>
        <w:t>表6  服务对象满意度调查问卷汇总表</w:t>
      </w:r>
    </w:p>
    <w:p w14:paraId="1583C2CE">
      <w:pPr>
        <w:spacing w:after="0" w:line="540" w:lineRule="exact"/>
        <w:ind w:firstLine="6930" w:firstLineChars="3300"/>
        <w:jc w:val="both"/>
        <w:textAlignment w:val="baseline"/>
        <w:rPr>
          <w:rFonts w:ascii="仿宋_GB2312" w:eastAsia="仿宋_GB2312" w:cs="Times New Roman" w:hAnsiTheme="minorEastAsia"/>
          <w:color w:val="auto"/>
          <w:sz w:val="32"/>
          <w:szCs w:val="32"/>
          <w:highlight w:val="none"/>
          <w:u w:color="000000"/>
        </w:rPr>
      </w:pPr>
      <w:r>
        <w:rPr>
          <w:rFonts w:hint="eastAsia" w:asciiTheme="minorEastAsia" w:hAnsiTheme="minorEastAsia" w:eastAsiaTheme="minorEastAsia" w:cstheme="minorEastAsia"/>
          <w:color w:val="auto"/>
          <w:sz w:val="21"/>
          <w:szCs w:val="21"/>
          <w:highlight w:val="none"/>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5FCE6266">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71AFF1FA">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063E671F">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5E1826ED">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2243E69C">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2546A079">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16BCE926">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单项得分</w:t>
            </w:r>
          </w:p>
        </w:tc>
      </w:tr>
      <w:tr w14:paraId="56CC7060">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79711FBA">
            <w:pPr>
              <w:spacing w:after="0" w:line="360" w:lineRule="auto"/>
              <w:jc w:val="both"/>
              <w:textAlignment w:val="baseline"/>
              <w:rPr>
                <w:rFonts w:cs="Times New Roman" w:asciiTheme="minorEastAsia" w:hAnsiTheme="minorEastAsia" w:eastAsiaTheme="minorEastAsia"/>
                <w:color w:val="auto"/>
                <w:sz w:val="21"/>
                <w:szCs w:val="21"/>
                <w:highlight w:val="none"/>
                <w:u w:color="000000"/>
              </w:rPr>
            </w:pPr>
            <w:r>
              <w:rPr>
                <w:rFonts w:hint="eastAsia" w:cs="Times New Roman" w:asciiTheme="minorEastAsia" w:hAnsiTheme="minorEastAsia" w:eastAsiaTheme="minorEastAsia"/>
                <w:color w:val="auto"/>
                <w:sz w:val="21"/>
                <w:szCs w:val="21"/>
                <w:highlight w:val="none"/>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14:paraId="3570F661">
            <w:pPr>
              <w:spacing w:after="0" w:line="360" w:lineRule="auto"/>
              <w:jc w:val="center"/>
              <w:textAlignment w:val="baseline"/>
              <w:rPr>
                <w:rFonts w:hint="default" w:cs="Times New Roman" w:asciiTheme="minorEastAsia" w:hAnsiTheme="minorEastAsia" w:eastAsiaTheme="minorEastAsia"/>
                <w:color w:val="auto"/>
                <w:sz w:val="21"/>
                <w:szCs w:val="21"/>
                <w:highlight w:val="none"/>
                <w:u w:color="000000"/>
                <w:lang w:val="en-US" w:eastAsia="zh-CN"/>
              </w:rPr>
            </w:pPr>
            <w:r>
              <w:rPr>
                <w:rFonts w:hint="eastAsia" w:cs="Times New Roman" w:asciiTheme="minorEastAsia" w:hAnsiTheme="minorEastAsia" w:eastAsiaTheme="minorEastAsia"/>
                <w:color w:val="auto"/>
                <w:sz w:val="21"/>
                <w:szCs w:val="21"/>
                <w:highlight w:val="none"/>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528BE8D0">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hint="eastAsia" w:cs="Times New Roman" w:asciiTheme="minorEastAsia" w:hAnsiTheme="minorEastAsia" w:eastAsiaTheme="minorEastAsia"/>
                <w:color w:val="auto"/>
                <w:sz w:val="21"/>
                <w:szCs w:val="21"/>
                <w:highlight w:val="none"/>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14:paraId="58DA45AE">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hint="eastAsia" w:cs="Times New Roman" w:asciiTheme="minorEastAsia" w:hAnsiTheme="minorEastAsia" w:eastAsiaTheme="minorEastAsia"/>
                <w:color w:val="auto"/>
                <w:sz w:val="21"/>
                <w:szCs w:val="21"/>
                <w:highlight w:val="none"/>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0DD70B0A">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cs="Times New Roman" w:asciiTheme="minorEastAsia" w:hAnsiTheme="minorEastAsia" w:eastAsiaTheme="minorEastAsia"/>
                <w:color w:val="auto"/>
                <w:sz w:val="21"/>
                <w:szCs w:val="21"/>
                <w:highlight w:val="none"/>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157A96AA">
            <w:pPr>
              <w:spacing w:after="0" w:line="360" w:lineRule="auto"/>
              <w:jc w:val="center"/>
              <w:textAlignment w:val="baseline"/>
              <w:rPr>
                <w:rFonts w:hint="default" w:cs="Times New Roman" w:asciiTheme="minorEastAsia" w:hAnsiTheme="minorEastAsia" w:eastAsiaTheme="minorEastAsia"/>
                <w:color w:val="auto"/>
                <w:sz w:val="21"/>
                <w:szCs w:val="21"/>
                <w:highlight w:val="none"/>
                <w:u w:color="000000"/>
                <w:lang w:val="en-US" w:eastAsia="zh-CN"/>
              </w:rPr>
            </w:pPr>
            <w:r>
              <w:rPr>
                <w:rFonts w:hint="eastAsia" w:cs="Times New Roman" w:asciiTheme="minorEastAsia" w:hAnsiTheme="minorEastAsia" w:eastAsiaTheme="minorEastAsia"/>
                <w:color w:val="auto"/>
                <w:sz w:val="21"/>
                <w:szCs w:val="21"/>
                <w:highlight w:val="none"/>
                <w:u w:color="000000"/>
                <w:lang w:val="en-US" w:eastAsia="zh-CN"/>
              </w:rPr>
              <w:t>100</w:t>
            </w:r>
          </w:p>
        </w:tc>
      </w:tr>
      <w:tr w14:paraId="64A710DF">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69E00501">
            <w:pPr>
              <w:spacing w:after="0" w:line="360" w:lineRule="auto"/>
              <w:jc w:val="both"/>
              <w:textAlignment w:val="baseline"/>
              <w:rPr>
                <w:rFonts w:cs="Times New Roman" w:asciiTheme="minorEastAsia" w:hAnsiTheme="minorEastAsia" w:eastAsiaTheme="minorEastAsia"/>
                <w:color w:val="auto"/>
                <w:sz w:val="21"/>
                <w:szCs w:val="21"/>
                <w:highlight w:val="none"/>
                <w:u w:color="000000"/>
              </w:rPr>
            </w:pPr>
            <w:r>
              <w:rPr>
                <w:rFonts w:hint="eastAsia" w:cs="Times New Roman" w:asciiTheme="minorEastAsia" w:hAnsiTheme="minorEastAsia" w:eastAsiaTheme="minorEastAsia"/>
                <w:color w:val="auto"/>
                <w:sz w:val="21"/>
                <w:szCs w:val="21"/>
                <w:highlight w:val="none"/>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52453608">
            <w:pPr>
              <w:spacing w:after="0" w:line="360" w:lineRule="auto"/>
              <w:jc w:val="center"/>
              <w:textAlignment w:val="baseline"/>
              <w:rPr>
                <w:rFonts w:hint="default" w:cs="Times New Roman" w:asciiTheme="minorEastAsia" w:hAnsiTheme="minorEastAsia" w:eastAsiaTheme="minorEastAsia"/>
                <w:color w:val="auto"/>
                <w:sz w:val="21"/>
                <w:szCs w:val="21"/>
                <w:highlight w:val="none"/>
                <w:u w:color="000000"/>
                <w:lang w:val="en-US" w:eastAsia="zh-CN"/>
              </w:rPr>
            </w:pPr>
            <w:r>
              <w:rPr>
                <w:rFonts w:hint="eastAsia" w:cs="Times New Roman" w:asciiTheme="minorEastAsia" w:hAnsiTheme="minorEastAsia" w:eastAsiaTheme="minorEastAsia"/>
                <w:color w:val="auto"/>
                <w:sz w:val="21"/>
                <w:szCs w:val="21"/>
                <w:highlight w:val="none"/>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45E08F17">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hint="eastAsia" w:cs="Times New Roman" w:asciiTheme="minorEastAsia" w:hAnsiTheme="minorEastAsia" w:eastAsiaTheme="minorEastAsia"/>
                <w:color w:val="auto"/>
                <w:sz w:val="21"/>
                <w:szCs w:val="21"/>
                <w:highlight w:val="none"/>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14:paraId="25485555">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hint="eastAsia" w:cs="Times New Roman" w:asciiTheme="minorEastAsia" w:hAnsiTheme="minorEastAsia" w:eastAsiaTheme="minorEastAsia"/>
                <w:color w:val="auto"/>
                <w:sz w:val="21"/>
                <w:szCs w:val="21"/>
                <w:highlight w:val="none"/>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33034337">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cs="Times New Roman" w:asciiTheme="minorEastAsia" w:hAnsiTheme="minorEastAsia" w:eastAsiaTheme="minorEastAsia"/>
                <w:color w:val="auto"/>
                <w:sz w:val="21"/>
                <w:szCs w:val="21"/>
                <w:highlight w:val="none"/>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7148AFF6">
            <w:pPr>
              <w:spacing w:after="0" w:line="360" w:lineRule="auto"/>
              <w:jc w:val="center"/>
              <w:textAlignment w:val="baseline"/>
              <w:rPr>
                <w:rFonts w:hint="default" w:cs="Times New Roman" w:asciiTheme="minorEastAsia" w:hAnsiTheme="minorEastAsia" w:eastAsiaTheme="minorEastAsia"/>
                <w:color w:val="auto"/>
                <w:sz w:val="21"/>
                <w:szCs w:val="21"/>
                <w:highlight w:val="none"/>
                <w:u w:color="000000"/>
                <w:lang w:val="en-US" w:eastAsia="zh-CN"/>
              </w:rPr>
            </w:pPr>
            <w:r>
              <w:rPr>
                <w:rFonts w:hint="eastAsia" w:cs="Times New Roman" w:asciiTheme="minorEastAsia" w:hAnsiTheme="minorEastAsia" w:eastAsiaTheme="minorEastAsia"/>
                <w:color w:val="auto"/>
                <w:sz w:val="21"/>
                <w:szCs w:val="21"/>
                <w:highlight w:val="none"/>
                <w:u w:color="000000"/>
                <w:lang w:val="en-US" w:eastAsia="zh-CN"/>
              </w:rPr>
              <w:t>100</w:t>
            </w:r>
          </w:p>
        </w:tc>
      </w:tr>
      <w:tr w14:paraId="30B60688">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58D469E6">
            <w:pPr>
              <w:spacing w:after="0" w:line="360" w:lineRule="auto"/>
              <w:jc w:val="both"/>
              <w:textAlignment w:val="baseline"/>
              <w:rPr>
                <w:rFonts w:cs="Times New Roman" w:asciiTheme="minorEastAsia" w:hAnsiTheme="minorEastAsia" w:eastAsiaTheme="minorEastAsia"/>
                <w:color w:val="auto"/>
                <w:sz w:val="21"/>
                <w:szCs w:val="21"/>
                <w:highlight w:val="none"/>
                <w:u w:color="000000"/>
              </w:rPr>
            </w:pPr>
            <w:r>
              <w:rPr>
                <w:rFonts w:hint="eastAsia" w:cs="Times New Roman" w:asciiTheme="minorEastAsia" w:hAnsiTheme="minorEastAsia" w:eastAsiaTheme="minorEastAsia"/>
                <w:color w:val="auto"/>
                <w:sz w:val="21"/>
                <w:szCs w:val="21"/>
                <w:highlight w:val="none"/>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14:paraId="6D4149B1">
            <w:pPr>
              <w:spacing w:after="0" w:line="360" w:lineRule="auto"/>
              <w:jc w:val="center"/>
              <w:textAlignment w:val="baseline"/>
              <w:rPr>
                <w:rFonts w:hint="default" w:cs="Times New Roman" w:asciiTheme="minorEastAsia" w:hAnsiTheme="minorEastAsia" w:eastAsiaTheme="minorEastAsia"/>
                <w:color w:val="auto"/>
                <w:sz w:val="21"/>
                <w:szCs w:val="21"/>
                <w:highlight w:val="none"/>
                <w:u w:color="000000"/>
                <w:lang w:val="en-US" w:eastAsia="zh-CN"/>
              </w:rPr>
            </w:pPr>
            <w:r>
              <w:rPr>
                <w:rFonts w:hint="eastAsia" w:cs="Times New Roman" w:asciiTheme="minorEastAsia" w:hAnsiTheme="minorEastAsia" w:eastAsiaTheme="minorEastAsia"/>
                <w:color w:val="auto"/>
                <w:sz w:val="21"/>
                <w:szCs w:val="21"/>
                <w:highlight w:val="none"/>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254B0FA8">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hint="eastAsia" w:cs="Times New Roman" w:asciiTheme="minorEastAsia" w:hAnsiTheme="minorEastAsia" w:eastAsiaTheme="minorEastAsia"/>
                <w:color w:val="auto"/>
                <w:sz w:val="21"/>
                <w:szCs w:val="21"/>
                <w:highlight w:val="none"/>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14:paraId="5EF9CB4C">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hint="eastAsia" w:cs="Times New Roman" w:asciiTheme="minorEastAsia" w:hAnsiTheme="minorEastAsia" w:eastAsiaTheme="minorEastAsia"/>
                <w:color w:val="auto"/>
                <w:sz w:val="21"/>
                <w:szCs w:val="21"/>
                <w:highlight w:val="none"/>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272BBA19">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cs="Times New Roman" w:asciiTheme="minorEastAsia" w:hAnsiTheme="minorEastAsia" w:eastAsiaTheme="minorEastAsia"/>
                <w:color w:val="auto"/>
                <w:sz w:val="21"/>
                <w:szCs w:val="21"/>
                <w:highlight w:val="none"/>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7FCB4144">
            <w:pPr>
              <w:spacing w:after="0" w:line="360" w:lineRule="auto"/>
              <w:jc w:val="center"/>
              <w:textAlignment w:val="baseline"/>
              <w:rPr>
                <w:rFonts w:hint="default" w:cs="Times New Roman" w:asciiTheme="minorEastAsia" w:hAnsiTheme="minorEastAsia" w:eastAsiaTheme="minorEastAsia"/>
                <w:color w:val="auto"/>
                <w:sz w:val="21"/>
                <w:szCs w:val="21"/>
                <w:highlight w:val="none"/>
                <w:u w:color="000000"/>
                <w:lang w:val="en-US" w:eastAsia="zh-CN"/>
              </w:rPr>
            </w:pPr>
            <w:r>
              <w:rPr>
                <w:rFonts w:hint="eastAsia" w:cs="Times New Roman" w:asciiTheme="minorEastAsia" w:hAnsiTheme="minorEastAsia" w:eastAsiaTheme="minorEastAsia"/>
                <w:color w:val="auto"/>
                <w:sz w:val="21"/>
                <w:szCs w:val="21"/>
                <w:highlight w:val="none"/>
                <w:u w:color="000000"/>
                <w:lang w:val="en-US" w:eastAsia="zh-CN"/>
              </w:rPr>
              <w:t>100</w:t>
            </w:r>
          </w:p>
        </w:tc>
      </w:tr>
    </w:tbl>
    <w:p w14:paraId="5064D003">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调查问卷共分为3个单项，每个单项满分为100分。其中：每一单项满分为100分：满意为100分，一般为50分，不满意为0分。</w:t>
      </w:r>
    </w:p>
    <w:p w14:paraId="25687EE4">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单项满意度得分=总分数/总人数</w:t>
      </w:r>
    </w:p>
    <w:p w14:paraId="35ED7810">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总体满意度得分=∑1/3各单项满意度得分</w:t>
      </w:r>
    </w:p>
    <w:p w14:paraId="1F97966A">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经计算，总体得分为</w:t>
      </w:r>
      <w:r>
        <w:rPr>
          <w:rFonts w:hint="eastAsia" w:ascii="仿宋_GB2312" w:eastAsia="仿宋_GB2312" w:cs="Times New Roman" w:hAnsiTheme="minorEastAsia"/>
          <w:color w:val="auto"/>
          <w:sz w:val="32"/>
          <w:szCs w:val="32"/>
          <w:highlight w:val="none"/>
          <w:u w:color="000000"/>
          <w:lang w:val="en-US" w:eastAsia="zh-CN"/>
        </w:rPr>
        <w:t>100</w:t>
      </w:r>
      <w:r>
        <w:rPr>
          <w:rFonts w:hint="eastAsia" w:ascii="仿宋_GB2312" w:eastAsia="仿宋_GB2312" w:cs="Times New Roman" w:hAnsiTheme="minorEastAsia"/>
          <w:color w:val="auto"/>
          <w:sz w:val="32"/>
          <w:szCs w:val="32"/>
          <w:highlight w:val="none"/>
          <w:u w:color="000000"/>
        </w:rPr>
        <w:t>分，小于(大于）90分，评价等级为“</w:t>
      </w:r>
      <w:r>
        <w:rPr>
          <w:rFonts w:hint="eastAsia" w:ascii="仿宋_GB2312" w:eastAsia="仿宋_GB2312" w:cs="Times New Roman" w:hAnsiTheme="minorEastAsia"/>
          <w:color w:val="auto"/>
          <w:sz w:val="32"/>
          <w:szCs w:val="32"/>
          <w:highlight w:val="none"/>
          <w:u w:color="000000"/>
          <w:lang w:eastAsia="zh-CN"/>
        </w:rPr>
        <w:t>优</w:t>
      </w:r>
      <w:r>
        <w:rPr>
          <w:rFonts w:hint="eastAsia" w:ascii="仿宋_GB2312" w:eastAsia="仿宋_GB2312" w:cs="Times New Roman" w:hAnsiTheme="minorEastAsia"/>
          <w:color w:val="auto"/>
          <w:sz w:val="32"/>
          <w:szCs w:val="32"/>
          <w:highlight w:val="none"/>
          <w:u w:color="000000"/>
        </w:rPr>
        <w:t>”。</w:t>
      </w:r>
    </w:p>
    <w:p w14:paraId="6F3BDB4F">
      <w:pPr>
        <w:spacing w:after="0" w:line="360" w:lineRule="auto"/>
        <w:ind w:firstLine="640" w:firstLineChars="200"/>
        <w:jc w:val="both"/>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该指标实际得分</w:t>
      </w:r>
      <w:r>
        <w:rPr>
          <w:rFonts w:hint="eastAsia" w:ascii="仿宋_GB2312" w:eastAsia="仿宋_GB2312" w:cs="Times New Roman" w:hAnsiTheme="minorEastAsia"/>
          <w:color w:val="auto"/>
          <w:sz w:val="32"/>
          <w:szCs w:val="32"/>
          <w:highlight w:val="none"/>
          <w:u w:color="000000"/>
          <w:lang w:val="en-US" w:eastAsia="zh-CN"/>
        </w:rPr>
        <w:t>5</w:t>
      </w:r>
      <w:r>
        <w:rPr>
          <w:rFonts w:hint="eastAsia" w:ascii="仿宋_GB2312" w:eastAsia="仿宋_GB2312" w:cs="Times New Roman" w:hAnsiTheme="minorEastAsia"/>
          <w:color w:val="auto"/>
          <w:sz w:val="32"/>
          <w:szCs w:val="32"/>
          <w:highlight w:val="none"/>
          <w:u w:color="000000"/>
        </w:rPr>
        <w:t>分。</w:t>
      </w:r>
    </w:p>
    <w:p w14:paraId="41E3F45F">
      <w:pPr>
        <w:pStyle w:val="3"/>
        <w:keepNext w:val="0"/>
        <w:keepLines w:val="0"/>
        <w:suppressLineNumbers/>
        <w:spacing w:before="0" w:after="0" w:line="360" w:lineRule="auto"/>
        <w:ind w:firstLine="643" w:firstLineChars="200"/>
        <w:rPr>
          <w:rFonts w:ascii="黑体"/>
          <w:color w:val="auto"/>
          <w:highlight w:val="none"/>
        </w:rPr>
      </w:pPr>
      <w:bookmarkStart w:id="74" w:name="_Toc13757"/>
      <w:r>
        <w:rPr>
          <w:rFonts w:hint="eastAsia" w:ascii="黑体"/>
          <w:color w:val="auto"/>
          <w:highlight w:val="none"/>
        </w:rPr>
        <w:t>五、绩效评价发现的问题</w:t>
      </w:r>
      <w:bookmarkEnd w:id="71"/>
      <w:bookmarkEnd w:id="72"/>
      <w:bookmarkEnd w:id="73"/>
      <w:bookmarkEnd w:id="74"/>
      <w:bookmarkStart w:id="75" w:name="_Toc492652789"/>
    </w:p>
    <w:p w14:paraId="198B8FAC">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通过对各指标得分及扣分原因的分析，</w:t>
      </w:r>
      <w:r>
        <w:rPr>
          <w:rFonts w:hint="eastAsia" w:ascii="仿宋_GB2312" w:eastAsia="仿宋_GB2312" w:cs="DengXian-Regular"/>
          <w:color w:val="auto"/>
          <w:sz w:val="32"/>
          <w:szCs w:val="32"/>
          <w:highlight w:val="none"/>
          <w:lang w:eastAsia="zh-CN"/>
        </w:rPr>
        <w:t>我</w:t>
      </w:r>
      <w:r>
        <w:rPr>
          <w:rFonts w:hint="eastAsia" w:ascii="仿宋_GB2312" w:eastAsia="仿宋_GB2312" w:cs="DengXian-Regular"/>
          <w:color w:val="auto"/>
          <w:sz w:val="32"/>
          <w:szCs w:val="32"/>
          <w:highlight w:val="none"/>
        </w:rPr>
        <w:t>单位</w:t>
      </w:r>
      <w:r>
        <w:rPr>
          <w:rFonts w:hint="eastAsia" w:ascii="仿宋_GB2312" w:eastAsia="仿宋_GB2312" w:cs="Times New Roman" w:hAnsiTheme="minorEastAsia"/>
          <w:color w:val="auto"/>
          <w:sz w:val="32"/>
          <w:szCs w:val="32"/>
          <w:highlight w:val="none"/>
          <w:u w:color="000000"/>
        </w:rPr>
        <w:t>202</w:t>
      </w:r>
      <w:r>
        <w:rPr>
          <w:rFonts w:hint="default" w:ascii="仿宋_GB2312" w:eastAsia="仿宋_GB2312" w:cs="Times New Roman" w:hAnsiTheme="minorEastAsia"/>
          <w:color w:val="auto"/>
          <w:sz w:val="32"/>
          <w:szCs w:val="32"/>
          <w:highlight w:val="none"/>
          <w:u w:color="000000"/>
          <w:lang w:val="en-US"/>
        </w:rPr>
        <w:t>1</w:t>
      </w:r>
      <w:r>
        <w:rPr>
          <w:rFonts w:hint="eastAsia" w:ascii="仿宋_GB2312" w:eastAsia="仿宋_GB2312" w:cs="Times New Roman" w:hAnsiTheme="minorEastAsia"/>
          <w:color w:val="auto"/>
          <w:sz w:val="32"/>
          <w:szCs w:val="32"/>
          <w:highlight w:val="none"/>
          <w:u w:color="000000"/>
        </w:rPr>
        <w:t>年部门整体支出基本按相关要求执行预算、决算，完成了绩效目标，资金使用效益良好。通过评价，也发现一些不足之处，具体情况如下：</w:t>
      </w:r>
      <w:bookmarkStart w:id="76" w:name="_Toc20723"/>
    </w:p>
    <w:p w14:paraId="6A1AB1BD">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1.部分绩效指标方面。</w:t>
      </w:r>
    </w:p>
    <w:p w14:paraId="4DE386AE">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2.预算决算比较。</w:t>
      </w:r>
    </w:p>
    <w:p w14:paraId="62DBF85A">
      <w:pPr>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lang w:eastAsia="zh-CN"/>
        </w:rPr>
      </w:pPr>
      <w:r>
        <w:rPr>
          <w:rFonts w:hint="eastAsia" w:ascii="仿宋_GB2312" w:eastAsia="仿宋_GB2312" w:cs="Times New Roman" w:hAnsiTheme="minorEastAsia"/>
          <w:color w:val="auto"/>
          <w:sz w:val="32"/>
          <w:szCs w:val="32"/>
          <w:highlight w:val="none"/>
          <w:u w:color="000000"/>
        </w:rPr>
        <w:t>3.预算追加方面</w:t>
      </w:r>
      <w:r>
        <w:rPr>
          <w:rFonts w:hint="eastAsia" w:ascii="仿宋_GB2312" w:eastAsia="仿宋_GB2312" w:cs="Times New Roman" w:hAnsiTheme="minorEastAsia"/>
          <w:color w:val="auto"/>
          <w:sz w:val="32"/>
          <w:szCs w:val="32"/>
          <w:highlight w:val="none"/>
          <w:u w:color="000000"/>
          <w:lang w:eastAsia="zh-CN"/>
        </w:rPr>
        <w:t>。</w:t>
      </w:r>
    </w:p>
    <w:p w14:paraId="52F59792">
      <w:pPr>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lang w:eastAsia="zh-CN"/>
        </w:rPr>
      </w:pPr>
      <w:r>
        <w:rPr>
          <w:rFonts w:hint="eastAsia" w:ascii="仿宋_GB2312" w:eastAsia="仿宋_GB2312" w:cs="Times New Roman" w:hAnsiTheme="minorEastAsia"/>
          <w:color w:val="auto"/>
          <w:sz w:val="32"/>
          <w:szCs w:val="32"/>
          <w:highlight w:val="none"/>
          <w:u w:color="000000"/>
        </w:rPr>
        <w:t>4.政府采购方面</w:t>
      </w:r>
      <w:r>
        <w:rPr>
          <w:rFonts w:hint="eastAsia" w:ascii="仿宋_GB2312" w:eastAsia="仿宋_GB2312" w:cs="Times New Roman" w:hAnsiTheme="minorEastAsia"/>
          <w:color w:val="auto"/>
          <w:sz w:val="32"/>
          <w:szCs w:val="32"/>
          <w:highlight w:val="none"/>
          <w:u w:color="000000"/>
          <w:lang w:eastAsia="zh-CN"/>
        </w:rPr>
        <w:t>。</w:t>
      </w:r>
    </w:p>
    <w:p w14:paraId="170C84BC">
      <w:pPr>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lang w:eastAsia="zh-CN"/>
        </w:rPr>
      </w:pPr>
      <w:r>
        <w:rPr>
          <w:rFonts w:hint="eastAsia" w:ascii="仿宋_GB2312" w:eastAsia="仿宋_GB2312" w:cs="Times New Roman" w:hAnsiTheme="minorEastAsia"/>
          <w:color w:val="auto"/>
          <w:sz w:val="32"/>
          <w:szCs w:val="32"/>
          <w:highlight w:val="none"/>
          <w:u w:color="000000"/>
        </w:rPr>
        <w:t>5.项目资金使用率方面</w:t>
      </w:r>
      <w:r>
        <w:rPr>
          <w:rFonts w:hint="eastAsia" w:ascii="仿宋_GB2312" w:eastAsia="仿宋_GB2312" w:cs="Times New Roman" w:hAnsiTheme="minorEastAsia"/>
          <w:color w:val="auto"/>
          <w:sz w:val="32"/>
          <w:szCs w:val="32"/>
          <w:highlight w:val="none"/>
          <w:u w:color="000000"/>
          <w:lang w:eastAsia="zh-CN"/>
        </w:rPr>
        <w:t>。</w:t>
      </w:r>
    </w:p>
    <w:bookmarkEnd w:id="75"/>
    <w:bookmarkEnd w:id="76"/>
    <w:p w14:paraId="0B4B2650">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baseline"/>
        <w:rPr>
          <w:rFonts w:hint="eastAsia" w:ascii="仿宋_GB2312" w:eastAsia="仿宋_GB2312" w:cs="Times New Roman" w:hAnsiTheme="minorEastAsia"/>
          <w:color w:val="auto"/>
          <w:sz w:val="32"/>
          <w:szCs w:val="32"/>
          <w:highlight w:val="none"/>
          <w:u w:color="000000"/>
        </w:rPr>
      </w:pPr>
      <w:bookmarkStart w:id="77" w:name="_Toc465149521"/>
    </w:p>
    <w:p w14:paraId="478E1E9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附件：1.保定市徐水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Times New Roman" w:hAnsiTheme="minorEastAsia"/>
          <w:color w:val="auto"/>
          <w:sz w:val="32"/>
          <w:szCs w:val="32"/>
          <w:highlight w:val="none"/>
          <w:u w:color="000000"/>
        </w:rPr>
        <w:t>部门基本情况及主要职责</w:t>
      </w:r>
    </w:p>
    <w:p w14:paraId="6A3EFE38">
      <w:pPr>
        <w:keepNext w:val="0"/>
        <w:keepLines w:val="0"/>
        <w:pageBreakBefore w:val="0"/>
        <w:widowControl/>
        <w:kinsoku/>
        <w:wordWrap/>
        <w:overflowPunct/>
        <w:topLinePunct w:val="0"/>
        <w:autoSpaceDE/>
        <w:autoSpaceDN/>
        <w:bidi w:val="0"/>
        <w:adjustRightInd w:val="0"/>
        <w:snapToGrid w:val="0"/>
        <w:spacing w:after="0" w:line="360" w:lineRule="auto"/>
        <w:ind w:firstLine="960" w:firstLineChars="300"/>
        <w:jc w:val="both"/>
        <w:textAlignment w:val="baseline"/>
        <w:rPr>
          <w:rFonts w:hint="eastAsia" w:ascii="仿宋_GB2312" w:eastAsia="仿宋_GB2312" w:cs="Times New Roman" w:hAnsiTheme="minorEastAsia"/>
          <w:color w:val="auto"/>
          <w:sz w:val="32"/>
          <w:szCs w:val="32"/>
          <w:highlight w:val="none"/>
          <w:u w:color="000000"/>
          <w:lang w:eastAsia="zh-CN"/>
        </w:rPr>
      </w:pPr>
      <w:r>
        <w:rPr>
          <w:rFonts w:hint="eastAsia" w:ascii="仿宋_GB2312" w:eastAsia="仿宋_GB2312" w:cs="Times New Roman" w:hAnsiTheme="minorEastAsia"/>
          <w:color w:val="auto"/>
          <w:sz w:val="32"/>
          <w:szCs w:val="32"/>
          <w:highlight w:val="none"/>
          <w:u w:color="000000"/>
        </w:rPr>
        <w:t>2.</w:t>
      </w:r>
      <w:r>
        <w:rPr>
          <w:rFonts w:ascii="仿宋_GB2312" w:eastAsia="仿宋_GB2312" w:cs="Times New Roman" w:hAnsiTheme="minorEastAsia"/>
          <w:color w:val="auto"/>
          <w:sz w:val="32"/>
          <w:szCs w:val="32"/>
          <w:highlight w:val="none"/>
          <w:u w:color="000000"/>
        </w:rPr>
        <w:t>202</w:t>
      </w:r>
      <w:r>
        <w:rPr>
          <w:rFonts w:hint="default" w:ascii="仿宋_GB2312" w:eastAsia="仿宋_GB2312" w:cs="Times New Roman" w:hAnsiTheme="minorEastAsia"/>
          <w:color w:val="auto"/>
          <w:sz w:val="32"/>
          <w:szCs w:val="32"/>
          <w:highlight w:val="none"/>
          <w:u w:color="000000"/>
          <w:lang w:val="en-US"/>
        </w:rPr>
        <w:t>1</w:t>
      </w:r>
      <w:r>
        <w:rPr>
          <w:rFonts w:hint="eastAsia" w:ascii="仿宋_GB2312" w:eastAsia="仿宋_GB2312" w:cs="Times New Roman" w:hAnsiTheme="minorEastAsia"/>
          <w:color w:val="auto"/>
          <w:sz w:val="32"/>
          <w:szCs w:val="32"/>
          <w:highlight w:val="none"/>
          <w:u w:color="000000"/>
        </w:rPr>
        <w:t>年度保定市徐水区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Times New Roman" w:hAnsiTheme="minorEastAsia"/>
          <w:color w:val="auto"/>
          <w:sz w:val="32"/>
          <w:szCs w:val="32"/>
          <w:highlight w:val="none"/>
          <w:u w:color="000000"/>
        </w:rPr>
        <w:t>决算</w:t>
      </w:r>
      <w:bookmarkStart w:id="78" w:name="_Toc465149534"/>
      <w:r>
        <w:rPr>
          <w:rFonts w:hint="eastAsia" w:ascii="仿宋_GB2312" w:eastAsia="仿宋_GB2312" w:cs="Times New Roman" w:hAnsiTheme="minorEastAsia"/>
          <w:color w:val="auto"/>
          <w:sz w:val="32"/>
          <w:szCs w:val="32"/>
          <w:highlight w:val="none"/>
          <w:u w:color="000000"/>
          <w:lang w:eastAsia="zh-CN"/>
        </w:rPr>
        <w:t>公开文本</w:t>
      </w:r>
    </w:p>
    <w:p w14:paraId="3DB6FD48">
      <w:pPr>
        <w:keepNext w:val="0"/>
        <w:keepLines w:val="0"/>
        <w:pageBreakBefore w:val="0"/>
        <w:widowControl/>
        <w:kinsoku/>
        <w:wordWrap/>
        <w:overflowPunct/>
        <w:topLinePunct w:val="0"/>
        <w:autoSpaceDE/>
        <w:autoSpaceDN/>
        <w:bidi w:val="0"/>
        <w:adjustRightInd w:val="0"/>
        <w:snapToGrid w:val="0"/>
        <w:spacing w:after="0" w:line="360" w:lineRule="auto"/>
        <w:ind w:firstLine="960" w:firstLineChars="3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3.</w:t>
      </w:r>
      <w:bookmarkEnd w:id="78"/>
      <w:r>
        <w:rPr>
          <w:rFonts w:hint="eastAsia" w:ascii="仿宋_GB2312" w:eastAsia="仿宋_GB2312" w:cs="Times New Roman" w:hAnsiTheme="minorEastAsia"/>
          <w:color w:val="auto"/>
          <w:sz w:val="32"/>
          <w:szCs w:val="32"/>
          <w:highlight w:val="none"/>
          <w:u w:color="000000"/>
        </w:rPr>
        <w:t>部门整体支出绩效评价指标体系</w:t>
      </w:r>
    </w:p>
    <w:p w14:paraId="6499D272">
      <w:pPr>
        <w:keepNext w:val="0"/>
        <w:keepLines w:val="0"/>
        <w:pageBreakBefore w:val="0"/>
        <w:widowControl/>
        <w:kinsoku/>
        <w:wordWrap/>
        <w:overflowPunct/>
        <w:topLinePunct w:val="0"/>
        <w:autoSpaceDE/>
        <w:autoSpaceDN/>
        <w:bidi w:val="0"/>
        <w:adjustRightInd w:val="0"/>
        <w:snapToGrid w:val="0"/>
        <w:spacing w:after="0" w:line="360" w:lineRule="auto"/>
        <w:ind w:firstLine="960" w:firstLineChars="300"/>
        <w:jc w:val="both"/>
        <w:textAlignment w:val="baseline"/>
        <w:rPr>
          <w:rFonts w:ascii="仿宋_GB2312" w:eastAsia="仿宋_GB2312" w:cs="Times New Roman" w:hAnsiTheme="minorEastAsia"/>
          <w:color w:val="auto"/>
          <w:sz w:val="32"/>
          <w:szCs w:val="32"/>
          <w:highlight w:val="none"/>
          <w:u w:color="000000"/>
        </w:rPr>
      </w:pPr>
      <w:bookmarkStart w:id="79" w:name="_Toc465149544"/>
      <w:r>
        <w:rPr>
          <w:rFonts w:hint="eastAsia" w:ascii="仿宋_GB2312" w:eastAsia="仿宋_GB2312" w:cs="Times New Roman" w:hAnsiTheme="minorEastAsia"/>
          <w:color w:val="auto"/>
          <w:sz w:val="32"/>
          <w:szCs w:val="32"/>
          <w:highlight w:val="none"/>
          <w:u w:color="000000"/>
        </w:rPr>
        <w:t>4.</w:t>
      </w:r>
      <w:bookmarkEnd w:id="79"/>
      <w:r>
        <w:rPr>
          <w:rFonts w:ascii="仿宋_GB2312" w:eastAsia="仿宋_GB2312" w:cs="Times New Roman" w:hAnsiTheme="minorEastAsia"/>
          <w:color w:val="auto"/>
          <w:sz w:val="32"/>
          <w:szCs w:val="32"/>
          <w:highlight w:val="none"/>
          <w:u w:color="000000"/>
        </w:rPr>
        <w:t>202</w:t>
      </w:r>
      <w:r>
        <w:rPr>
          <w:rFonts w:hint="default" w:ascii="仿宋_GB2312" w:eastAsia="仿宋_GB2312" w:cs="Times New Roman" w:hAnsiTheme="minorEastAsia"/>
          <w:color w:val="auto"/>
          <w:sz w:val="32"/>
          <w:szCs w:val="32"/>
          <w:highlight w:val="none"/>
          <w:u w:color="000000"/>
          <w:lang w:val="en-US"/>
        </w:rPr>
        <w:t>1</w:t>
      </w:r>
      <w:r>
        <w:rPr>
          <w:rFonts w:hint="eastAsia" w:ascii="仿宋_GB2312" w:eastAsia="仿宋_GB2312" w:cs="Times New Roman" w:hAnsiTheme="minorEastAsia"/>
          <w:color w:val="auto"/>
          <w:sz w:val="32"/>
          <w:szCs w:val="32"/>
          <w:highlight w:val="none"/>
          <w:u w:color="000000"/>
        </w:rPr>
        <w:t>年徐水区</w:t>
      </w:r>
      <w:r>
        <w:rPr>
          <w:rFonts w:hint="eastAsia" w:ascii="仿宋_GB2312" w:eastAsia="仿宋_GB2312" w:cs="DengXian-Regular"/>
          <w:color w:val="auto"/>
          <w:sz w:val="32"/>
          <w:szCs w:val="32"/>
          <w:highlight w:val="none"/>
          <w:lang w:eastAsia="zh-CN"/>
        </w:rPr>
        <w:t>漕河镇人民政府</w:t>
      </w:r>
      <w:r>
        <w:rPr>
          <w:rFonts w:hint="eastAsia" w:ascii="仿宋_GB2312" w:eastAsia="仿宋_GB2312" w:cs="Times New Roman" w:hAnsiTheme="minorEastAsia"/>
          <w:color w:val="auto"/>
          <w:sz w:val="32"/>
          <w:szCs w:val="32"/>
          <w:highlight w:val="none"/>
          <w:u w:color="000000"/>
        </w:rPr>
        <w:t>工作活动绩效目标、绩效指标一览表</w:t>
      </w:r>
      <w:bookmarkEnd w:id="77"/>
    </w:p>
    <w:p w14:paraId="23B0CE66">
      <w:pPr>
        <w:spacing w:line="540" w:lineRule="exact"/>
        <w:jc w:val="both"/>
        <w:textAlignment w:val="baseline"/>
        <w:rPr>
          <w:rFonts w:ascii="仿宋_GB2312" w:eastAsia="仿宋_GB2312" w:cs="Times New Roman" w:hAnsiTheme="minorEastAsia"/>
          <w:color w:val="auto"/>
          <w:sz w:val="32"/>
          <w:szCs w:val="32"/>
          <w:highlight w:val="none"/>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A7B3">
    <w:pPr>
      <w:pStyle w:val="14"/>
      <w:jc w:val="center"/>
    </w:pPr>
  </w:p>
  <w:p w14:paraId="4FD3B40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C8A61">
    <w:pPr>
      <w:pStyle w:val="14"/>
      <w:jc w:val="center"/>
    </w:pPr>
    <w:r>
      <w:fldChar w:fldCharType="begin"/>
    </w:r>
    <w:r>
      <w:instrText xml:space="preserve"> PAGE   \* MERGEFORMAT </w:instrText>
    </w:r>
    <w:r>
      <w:fldChar w:fldCharType="separate"/>
    </w:r>
    <w:r>
      <w:rPr>
        <w:lang w:val="zh-CN"/>
      </w:rPr>
      <w:t>4</w:t>
    </w:r>
    <w:r>
      <w:rPr>
        <w:lang w:val="zh-CN"/>
      </w:rPr>
      <w:fldChar w:fldCharType="end"/>
    </w:r>
  </w:p>
  <w:p w14:paraId="10C62281">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GY4ZWE2Y2FiM2UyNGIyZDk2OWY3MzNiNzU4Y2E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0897"/>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160"/>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15D42"/>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3DA6"/>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48AA"/>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0594D"/>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153CB2"/>
    <w:rsid w:val="01571175"/>
    <w:rsid w:val="016348BA"/>
    <w:rsid w:val="0194535B"/>
    <w:rsid w:val="01F65399"/>
    <w:rsid w:val="023C3326"/>
    <w:rsid w:val="02456F0B"/>
    <w:rsid w:val="026A1A9F"/>
    <w:rsid w:val="027C4FC2"/>
    <w:rsid w:val="027D02A1"/>
    <w:rsid w:val="028747A1"/>
    <w:rsid w:val="028E60ED"/>
    <w:rsid w:val="02FF29A2"/>
    <w:rsid w:val="030D4D22"/>
    <w:rsid w:val="031C7178"/>
    <w:rsid w:val="03226A0E"/>
    <w:rsid w:val="03397430"/>
    <w:rsid w:val="035A799F"/>
    <w:rsid w:val="039933C9"/>
    <w:rsid w:val="03A66095"/>
    <w:rsid w:val="03D80A99"/>
    <w:rsid w:val="04072292"/>
    <w:rsid w:val="040D3A3D"/>
    <w:rsid w:val="04257EB7"/>
    <w:rsid w:val="04260169"/>
    <w:rsid w:val="042902A5"/>
    <w:rsid w:val="044014D5"/>
    <w:rsid w:val="044B2C91"/>
    <w:rsid w:val="044F1F96"/>
    <w:rsid w:val="049C0065"/>
    <w:rsid w:val="04CC4830"/>
    <w:rsid w:val="04FC1558"/>
    <w:rsid w:val="050945F2"/>
    <w:rsid w:val="050E4034"/>
    <w:rsid w:val="05156139"/>
    <w:rsid w:val="0522646E"/>
    <w:rsid w:val="0536030D"/>
    <w:rsid w:val="05533129"/>
    <w:rsid w:val="056F4DC0"/>
    <w:rsid w:val="057959D3"/>
    <w:rsid w:val="058A4AF5"/>
    <w:rsid w:val="058D4112"/>
    <w:rsid w:val="05937827"/>
    <w:rsid w:val="059A5413"/>
    <w:rsid w:val="05F86FA8"/>
    <w:rsid w:val="06097DB1"/>
    <w:rsid w:val="06174B4A"/>
    <w:rsid w:val="06235020"/>
    <w:rsid w:val="06342461"/>
    <w:rsid w:val="065C2670"/>
    <w:rsid w:val="06677EA2"/>
    <w:rsid w:val="06A040D9"/>
    <w:rsid w:val="06AE3E76"/>
    <w:rsid w:val="06C77316"/>
    <w:rsid w:val="06F01699"/>
    <w:rsid w:val="06F06056"/>
    <w:rsid w:val="06FD5864"/>
    <w:rsid w:val="07021FF9"/>
    <w:rsid w:val="0714468E"/>
    <w:rsid w:val="071C7BC7"/>
    <w:rsid w:val="073D5BF0"/>
    <w:rsid w:val="075A67A2"/>
    <w:rsid w:val="075E1870"/>
    <w:rsid w:val="07A5509F"/>
    <w:rsid w:val="082024A8"/>
    <w:rsid w:val="0840050B"/>
    <w:rsid w:val="086D38AF"/>
    <w:rsid w:val="08884138"/>
    <w:rsid w:val="08943B14"/>
    <w:rsid w:val="08C44882"/>
    <w:rsid w:val="08C94E4D"/>
    <w:rsid w:val="08CA2ABD"/>
    <w:rsid w:val="0915227D"/>
    <w:rsid w:val="09164C3B"/>
    <w:rsid w:val="092023BD"/>
    <w:rsid w:val="0921264F"/>
    <w:rsid w:val="0950406D"/>
    <w:rsid w:val="095869DD"/>
    <w:rsid w:val="099842FD"/>
    <w:rsid w:val="09CE3268"/>
    <w:rsid w:val="09D54648"/>
    <w:rsid w:val="09E11C28"/>
    <w:rsid w:val="0A0C21AC"/>
    <w:rsid w:val="0A11007A"/>
    <w:rsid w:val="0A254EC8"/>
    <w:rsid w:val="0A2C076A"/>
    <w:rsid w:val="0A3A2559"/>
    <w:rsid w:val="0A49473F"/>
    <w:rsid w:val="0A6E64AF"/>
    <w:rsid w:val="0A772457"/>
    <w:rsid w:val="0A7E21FE"/>
    <w:rsid w:val="0A805158"/>
    <w:rsid w:val="0A8E4C25"/>
    <w:rsid w:val="0A93304E"/>
    <w:rsid w:val="0ACB0C5E"/>
    <w:rsid w:val="0ACF30FC"/>
    <w:rsid w:val="0AD8512B"/>
    <w:rsid w:val="0ADD6C61"/>
    <w:rsid w:val="0AF87126"/>
    <w:rsid w:val="0B293550"/>
    <w:rsid w:val="0B4B1CD9"/>
    <w:rsid w:val="0B545858"/>
    <w:rsid w:val="0B8F46D9"/>
    <w:rsid w:val="0B9B2EBC"/>
    <w:rsid w:val="0B9F58B6"/>
    <w:rsid w:val="0BA309DB"/>
    <w:rsid w:val="0BB3636E"/>
    <w:rsid w:val="0BB80A73"/>
    <w:rsid w:val="0BC90D6D"/>
    <w:rsid w:val="0BCB508B"/>
    <w:rsid w:val="0BE8004A"/>
    <w:rsid w:val="0BEE4F26"/>
    <w:rsid w:val="0C070B14"/>
    <w:rsid w:val="0C1A22A8"/>
    <w:rsid w:val="0C26049A"/>
    <w:rsid w:val="0C26236E"/>
    <w:rsid w:val="0C3A6460"/>
    <w:rsid w:val="0C413405"/>
    <w:rsid w:val="0C555B20"/>
    <w:rsid w:val="0C5E17B8"/>
    <w:rsid w:val="0C9306BE"/>
    <w:rsid w:val="0CB05CD1"/>
    <w:rsid w:val="0CBB1F1A"/>
    <w:rsid w:val="0D156BC6"/>
    <w:rsid w:val="0D1B39E9"/>
    <w:rsid w:val="0D49458A"/>
    <w:rsid w:val="0D606B69"/>
    <w:rsid w:val="0D7B0941"/>
    <w:rsid w:val="0D8E2B1D"/>
    <w:rsid w:val="0D924E91"/>
    <w:rsid w:val="0DCB2021"/>
    <w:rsid w:val="0DD72FF5"/>
    <w:rsid w:val="0E057A99"/>
    <w:rsid w:val="0E125726"/>
    <w:rsid w:val="0E284234"/>
    <w:rsid w:val="0E373F30"/>
    <w:rsid w:val="0E3A01CC"/>
    <w:rsid w:val="0E70037E"/>
    <w:rsid w:val="0E9172D3"/>
    <w:rsid w:val="0EAC6F75"/>
    <w:rsid w:val="0EE71754"/>
    <w:rsid w:val="0EF1422C"/>
    <w:rsid w:val="0F024D87"/>
    <w:rsid w:val="0F265A4D"/>
    <w:rsid w:val="0F3B23D4"/>
    <w:rsid w:val="0F3B3DD7"/>
    <w:rsid w:val="0F4F2702"/>
    <w:rsid w:val="0F7675C3"/>
    <w:rsid w:val="0FDF255F"/>
    <w:rsid w:val="0FF86D78"/>
    <w:rsid w:val="10086AB7"/>
    <w:rsid w:val="10233E4F"/>
    <w:rsid w:val="102754E1"/>
    <w:rsid w:val="1030743E"/>
    <w:rsid w:val="10524023"/>
    <w:rsid w:val="10620DCB"/>
    <w:rsid w:val="107672E9"/>
    <w:rsid w:val="107B6AE8"/>
    <w:rsid w:val="10832BFB"/>
    <w:rsid w:val="10871BB9"/>
    <w:rsid w:val="10AB7DC0"/>
    <w:rsid w:val="10C55C4F"/>
    <w:rsid w:val="10C9370B"/>
    <w:rsid w:val="11195DC6"/>
    <w:rsid w:val="114B1BA3"/>
    <w:rsid w:val="115A70AD"/>
    <w:rsid w:val="116421D6"/>
    <w:rsid w:val="116B5C99"/>
    <w:rsid w:val="116C4032"/>
    <w:rsid w:val="119A3994"/>
    <w:rsid w:val="11AB391C"/>
    <w:rsid w:val="11D40011"/>
    <w:rsid w:val="11EA1B00"/>
    <w:rsid w:val="11F807DC"/>
    <w:rsid w:val="121F5AC5"/>
    <w:rsid w:val="12476D79"/>
    <w:rsid w:val="125037BB"/>
    <w:rsid w:val="12521250"/>
    <w:rsid w:val="12524B60"/>
    <w:rsid w:val="125B2E30"/>
    <w:rsid w:val="128233FA"/>
    <w:rsid w:val="12D50243"/>
    <w:rsid w:val="12E866AF"/>
    <w:rsid w:val="12FE5819"/>
    <w:rsid w:val="130131FF"/>
    <w:rsid w:val="130C55D8"/>
    <w:rsid w:val="13244A23"/>
    <w:rsid w:val="133E6A0B"/>
    <w:rsid w:val="13644B24"/>
    <w:rsid w:val="13A96D3E"/>
    <w:rsid w:val="13CE339C"/>
    <w:rsid w:val="13D627B3"/>
    <w:rsid w:val="13EE6B6B"/>
    <w:rsid w:val="13FD0162"/>
    <w:rsid w:val="14076FD1"/>
    <w:rsid w:val="141C27BF"/>
    <w:rsid w:val="141C6432"/>
    <w:rsid w:val="14236A77"/>
    <w:rsid w:val="14271874"/>
    <w:rsid w:val="1430078C"/>
    <w:rsid w:val="1430292E"/>
    <w:rsid w:val="144311B2"/>
    <w:rsid w:val="146D6A72"/>
    <w:rsid w:val="1472386E"/>
    <w:rsid w:val="148C6B5E"/>
    <w:rsid w:val="148F0FC6"/>
    <w:rsid w:val="14CF5BC3"/>
    <w:rsid w:val="151600A7"/>
    <w:rsid w:val="154825D0"/>
    <w:rsid w:val="15503CC4"/>
    <w:rsid w:val="156457A5"/>
    <w:rsid w:val="157D0A5B"/>
    <w:rsid w:val="158D138E"/>
    <w:rsid w:val="159F345A"/>
    <w:rsid w:val="15B317E6"/>
    <w:rsid w:val="15DC73A6"/>
    <w:rsid w:val="15E06155"/>
    <w:rsid w:val="15E43EF8"/>
    <w:rsid w:val="15E6724F"/>
    <w:rsid w:val="163549B0"/>
    <w:rsid w:val="163F5220"/>
    <w:rsid w:val="1663449A"/>
    <w:rsid w:val="16A81136"/>
    <w:rsid w:val="16AC4207"/>
    <w:rsid w:val="16BA4F09"/>
    <w:rsid w:val="16E542DB"/>
    <w:rsid w:val="17085857"/>
    <w:rsid w:val="17303153"/>
    <w:rsid w:val="1746456C"/>
    <w:rsid w:val="174719A4"/>
    <w:rsid w:val="17670086"/>
    <w:rsid w:val="17755988"/>
    <w:rsid w:val="1776605E"/>
    <w:rsid w:val="178A56FB"/>
    <w:rsid w:val="17A8647B"/>
    <w:rsid w:val="17B74C27"/>
    <w:rsid w:val="17E60FF9"/>
    <w:rsid w:val="18177465"/>
    <w:rsid w:val="182218B6"/>
    <w:rsid w:val="18253B4C"/>
    <w:rsid w:val="1839140C"/>
    <w:rsid w:val="183F5113"/>
    <w:rsid w:val="187D44C3"/>
    <w:rsid w:val="18882FA5"/>
    <w:rsid w:val="18966E9E"/>
    <w:rsid w:val="18B421F8"/>
    <w:rsid w:val="18B65BAA"/>
    <w:rsid w:val="190F1674"/>
    <w:rsid w:val="19122C5E"/>
    <w:rsid w:val="19132D2F"/>
    <w:rsid w:val="19210747"/>
    <w:rsid w:val="19487F7E"/>
    <w:rsid w:val="196E7CB2"/>
    <w:rsid w:val="19741D34"/>
    <w:rsid w:val="1983514A"/>
    <w:rsid w:val="198759D2"/>
    <w:rsid w:val="199C7060"/>
    <w:rsid w:val="19D72BB5"/>
    <w:rsid w:val="19E30330"/>
    <w:rsid w:val="19FA0F37"/>
    <w:rsid w:val="1A363CC9"/>
    <w:rsid w:val="1A650CED"/>
    <w:rsid w:val="1A7E01EB"/>
    <w:rsid w:val="1A8D3351"/>
    <w:rsid w:val="1AD212BF"/>
    <w:rsid w:val="1ADC73AF"/>
    <w:rsid w:val="1AE36965"/>
    <w:rsid w:val="1AF1486B"/>
    <w:rsid w:val="1AF900F3"/>
    <w:rsid w:val="1AFC6A2C"/>
    <w:rsid w:val="1AFF1D57"/>
    <w:rsid w:val="1B6227EA"/>
    <w:rsid w:val="1B6E30A4"/>
    <w:rsid w:val="1B9A677B"/>
    <w:rsid w:val="1B9B6673"/>
    <w:rsid w:val="1BE0351A"/>
    <w:rsid w:val="1BE67779"/>
    <w:rsid w:val="1BE955D1"/>
    <w:rsid w:val="1BF22684"/>
    <w:rsid w:val="1C120302"/>
    <w:rsid w:val="1C2C75D5"/>
    <w:rsid w:val="1C3527E7"/>
    <w:rsid w:val="1C442FCB"/>
    <w:rsid w:val="1C532B00"/>
    <w:rsid w:val="1C566D61"/>
    <w:rsid w:val="1C8E289F"/>
    <w:rsid w:val="1CC40F5E"/>
    <w:rsid w:val="1CCC12C5"/>
    <w:rsid w:val="1CE45FFA"/>
    <w:rsid w:val="1D1B1BAD"/>
    <w:rsid w:val="1D401A6B"/>
    <w:rsid w:val="1D4B718B"/>
    <w:rsid w:val="1DBE0045"/>
    <w:rsid w:val="1DCC5DA5"/>
    <w:rsid w:val="1E2A023E"/>
    <w:rsid w:val="1E351E31"/>
    <w:rsid w:val="1E4810EC"/>
    <w:rsid w:val="1E627198"/>
    <w:rsid w:val="1E8A015B"/>
    <w:rsid w:val="1EA00E4A"/>
    <w:rsid w:val="1EA43119"/>
    <w:rsid w:val="1EDC57CF"/>
    <w:rsid w:val="1EED09B7"/>
    <w:rsid w:val="1EF51D26"/>
    <w:rsid w:val="1F4F1109"/>
    <w:rsid w:val="1F514A13"/>
    <w:rsid w:val="1F617D41"/>
    <w:rsid w:val="1F6A0646"/>
    <w:rsid w:val="1F950D15"/>
    <w:rsid w:val="1FA95854"/>
    <w:rsid w:val="1FBA3E5F"/>
    <w:rsid w:val="1FEF75C6"/>
    <w:rsid w:val="1FF0455C"/>
    <w:rsid w:val="1FF80FCE"/>
    <w:rsid w:val="20657FCF"/>
    <w:rsid w:val="206A0332"/>
    <w:rsid w:val="2091595B"/>
    <w:rsid w:val="20F51AC3"/>
    <w:rsid w:val="20F9277B"/>
    <w:rsid w:val="20FB6DE1"/>
    <w:rsid w:val="21573592"/>
    <w:rsid w:val="21643C9D"/>
    <w:rsid w:val="217625A0"/>
    <w:rsid w:val="217B4484"/>
    <w:rsid w:val="21827029"/>
    <w:rsid w:val="21AE6D2F"/>
    <w:rsid w:val="21C21552"/>
    <w:rsid w:val="21C3713A"/>
    <w:rsid w:val="21ED1760"/>
    <w:rsid w:val="21FB7E45"/>
    <w:rsid w:val="220A5EEC"/>
    <w:rsid w:val="220D731C"/>
    <w:rsid w:val="22596DF6"/>
    <w:rsid w:val="227C13A6"/>
    <w:rsid w:val="22847486"/>
    <w:rsid w:val="22DB7D16"/>
    <w:rsid w:val="23646F34"/>
    <w:rsid w:val="236E6B04"/>
    <w:rsid w:val="23BC63DB"/>
    <w:rsid w:val="23D34427"/>
    <w:rsid w:val="23DF57A5"/>
    <w:rsid w:val="24365499"/>
    <w:rsid w:val="24411683"/>
    <w:rsid w:val="244B5E7D"/>
    <w:rsid w:val="249A4D1C"/>
    <w:rsid w:val="24AF3768"/>
    <w:rsid w:val="24B1018E"/>
    <w:rsid w:val="24DA6297"/>
    <w:rsid w:val="24EC036F"/>
    <w:rsid w:val="24EE1F4A"/>
    <w:rsid w:val="24F318DE"/>
    <w:rsid w:val="24FD5E9D"/>
    <w:rsid w:val="2504341B"/>
    <w:rsid w:val="251A2F44"/>
    <w:rsid w:val="252F3CBE"/>
    <w:rsid w:val="25476B92"/>
    <w:rsid w:val="25563EAE"/>
    <w:rsid w:val="258A4C04"/>
    <w:rsid w:val="25BB3480"/>
    <w:rsid w:val="25F81CB5"/>
    <w:rsid w:val="26303D26"/>
    <w:rsid w:val="26582F6C"/>
    <w:rsid w:val="265D68DC"/>
    <w:rsid w:val="26694CDB"/>
    <w:rsid w:val="26AE3066"/>
    <w:rsid w:val="26CC4574"/>
    <w:rsid w:val="26CD57C2"/>
    <w:rsid w:val="27043F55"/>
    <w:rsid w:val="27120E82"/>
    <w:rsid w:val="271D6C87"/>
    <w:rsid w:val="27657439"/>
    <w:rsid w:val="277F3297"/>
    <w:rsid w:val="278A038C"/>
    <w:rsid w:val="27A135A5"/>
    <w:rsid w:val="27AB3B75"/>
    <w:rsid w:val="28257C4A"/>
    <w:rsid w:val="282C171E"/>
    <w:rsid w:val="28437CF2"/>
    <w:rsid w:val="2849297F"/>
    <w:rsid w:val="28693CF3"/>
    <w:rsid w:val="288500D6"/>
    <w:rsid w:val="28971242"/>
    <w:rsid w:val="28A07BDA"/>
    <w:rsid w:val="28A66C17"/>
    <w:rsid w:val="28B10581"/>
    <w:rsid w:val="28E259B5"/>
    <w:rsid w:val="28E60A8E"/>
    <w:rsid w:val="28F03912"/>
    <w:rsid w:val="2902347E"/>
    <w:rsid w:val="29040883"/>
    <w:rsid w:val="292A2280"/>
    <w:rsid w:val="2936596A"/>
    <w:rsid w:val="295038D9"/>
    <w:rsid w:val="2987042F"/>
    <w:rsid w:val="2997006D"/>
    <w:rsid w:val="29AC5EF0"/>
    <w:rsid w:val="29D92E29"/>
    <w:rsid w:val="2A2973DF"/>
    <w:rsid w:val="2A7C41B9"/>
    <w:rsid w:val="2A8D18ED"/>
    <w:rsid w:val="2A975FDE"/>
    <w:rsid w:val="2AB817B9"/>
    <w:rsid w:val="2AD61853"/>
    <w:rsid w:val="2B040631"/>
    <w:rsid w:val="2B0B5AF1"/>
    <w:rsid w:val="2B1F1E6D"/>
    <w:rsid w:val="2B5C0328"/>
    <w:rsid w:val="2B793244"/>
    <w:rsid w:val="2B934DC4"/>
    <w:rsid w:val="2BB44ED3"/>
    <w:rsid w:val="2BB55A0D"/>
    <w:rsid w:val="2BBB6D57"/>
    <w:rsid w:val="2BBD5589"/>
    <w:rsid w:val="2BCF4B5D"/>
    <w:rsid w:val="2BE82CC2"/>
    <w:rsid w:val="2BF262A8"/>
    <w:rsid w:val="2C06723C"/>
    <w:rsid w:val="2C094BA0"/>
    <w:rsid w:val="2C2F3808"/>
    <w:rsid w:val="2C60205D"/>
    <w:rsid w:val="2C6B2C96"/>
    <w:rsid w:val="2C6C1327"/>
    <w:rsid w:val="2C7D1589"/>
    <w:rsid w:val="2C8E2D0A"/>
    <w:rsid w:val="2C8F5C68"/>
    <w:rsid w:val="2CAD317E"/>
    <w:rsid w:val="2CC97424"/>
    <w:rsid w:val="2CF50615"/>
    <w:rsid w:val="2D005BF0"/>
    <w:rsid w:val="2D251621"/>
    <w:rsid w:val="2D2725F0"/>
    <w:rsid w:val="2D345768"/>
    <w:rsid w:val="2D5338CC"/>
    <w:rsid w:val="2D7247D0"/>
    <w:rsid w:val="2D73679B"/>
    <w:rsid w:val="2D9F3EE4"/>
    <w:rsid w:val="2E314893"/>
    <w:rsid w:val="2E3C24E0"/>
    <w:rsid w:val="2E884716"/>
    <w:rsid w:val="2E994608"/>
    <w:rsid w:val="2E9C375A"/>
    <w:rsid w:val="2E9C6604"/>
    <w:rsid w:val="2EA60EE0"/>
    <w:rsid w:val="2ED03A7A"/>
    <w:rsid w:val="2ED14567"/>
    <w:rsid w:val="2ED33C4A"/>
    <w:rsid w:val="2ED8262F"/>
    <w:rsid w:val="2ED860D7"/>
    <w:rsid w:val="2EF02E99"/>
    <w:rsid w:val="2F093883"/>
    <w:rsid w:val="2F242CBD"/>
    <w:rsid w:val="2F3F4F06"/>
    <w:rsid w:val="2F506D90"/>
    <w:rsid w:val="2F871A8D"/>
    <w:rsid w:val="2FB34058"/>
    <w:rsid w:val="2FE21D1F"/>
    <w:rsid w:val="2FE7382B"/>
    <w:rsid w:val="2FEF607E"/>
    <w:rsid w:val="300C74C4"/>
    <w:rsid w:val="303F68F4"/>
    <w:rsid w:val="304B3830"/>
    <w:rsid w:val="307D5A91"/>
    <w:rsid w:val="30801DBB"/>
    <w:rsid w:val="309C3580"/>
    <w:rsid w:val="30A5035C"/>
    <w:rsid w:val="30AA02BA"/>
    <w:rsid w:val="30F97A0E"/>
    <w:rsid w:val="312D7D98"/>
    <w:rsid w:val="313C1144"/>
    <w:rsid w:val="316827B9"/>
    <w:rsid w:val="316A378A"/>
    <w:rsid w:val="317B20C5"/>
    <w:rsid w:val="318D1EAE"/>
    <w:rsid w:val="31BE546A"/>
    <w:rsid w:val="31C43588"/>
    <w:rsid w:val="31DD408D"/>
    <w:rsid w:val="31EA1D3C"/>
    <w:rsid w:val="31F5664A"/>
    <w:rsid w:val="320D7379"/>
    <w:rsid w:val="32110F95"/>
    <w:rsid w:val="322E7783"/>
    <w:rsid w:val="322F1399"/>
    <w:rsid w:val="324D5F65"/>
    <w:rsid w:val="32660B34"/>
    <w:rsid w:val="327745C0"/>
    <w:rsid w:val="328D77CE"/>
    <w:rsid w:val="32A33E31"/>
    <w:rsid w:val="32D048D8"/>
    <w:rsid w:val="32D3622F"/>
    <w:rsid w:val="32D63CF2"/>
    <w:rsid w:val="32F26097"/>
    <w:rsid w:val="33152797"/>
    <w:rsid w:val="33386472"/>
    <w:rsid w:val="3341799D"/>
    <w:rsid w:val="334207EC"/>
    <w:rsid w:val="334C2A32"/>
    <w:rsid w:val="336A2860"/>
    <w:rsid w:val="337A399F"/>
    <w:rsid w:val="337F2EFA"/>
    <w:rsid w:val="337F6F82"/>
    <w:rsid w:val="33820254"/>
    <w:rsid w:val="339029A7"/>
    <w:rsid w:val="33994934"/>
    <w:rsid w:val="33A64ED4"/>
    <w:rsid w:val="33AB3E27"/>
    <w:rsid w:val="33CC5FD9"/>
    <w:rsid w:val="33E141CD"/>
    <w:rsid w:val="34047751"/>
    <w:rsid w:val="34376C6D"/>
    <w:rsid w:val="344C2112"/>
    <w:rsid w:val="34697607"/>
    <w:rsid w:val="34A575DC"/>
    <w:rsid w:val="34BC6A8F"/>
    <w:rsid w:val="34DC6FBF"/>
    <w:rsid w:val="351C137F"/>
    <w:rsid w:val="352019FA"/>
    <w:rsid w:val="352E1173"/>
    <w:rsid w:val="35481032"/>
    <w:rsid w:val="35553F24"/>
    <w:rsid w:val="356066AB"/>
    <w:rsid w:val="35731520"/>
    <w:rsid w:val="3583079A"/>
    <w:rsid w:val="3583113D"/>
    <w:rsid w:val="359044C2"/>
    <w:rsid w:val="3597579C"/>
    <w:rsid w:val="35A86365"/>
    <w:rsid w:val="35C678EC"/>
    <w:rsid w:val="35D11F18"/>
    <w:rsid w:val="35D33BAD"/>
    <w:rsid w:val="35EB6378"/>
    <w:rsid w:val="35F436C6"/>
    <w:rsid w:val="36037C49"/>
    <w:rsid w:val="361B6094"/>
    <w:rsid w:val="365A38BF"/>
    <w:rsid w:val="36B804EA"/>
    <w:rsid w:val="36BC026C"/>
    <w:rsid w:val="36E82B1D"/>
    <w:rsid w:val="370154C2"/>
    <w:rsid w:val="370915E4"/>
    <w:rsid w:val="37137EFC"/>
    <w:rsid w:val="371766EB"/>
    <w:rsid w:val="3728049C"/>
    <w:rsid w:val="372A71DD"/>
    <w:rsid w:val="373B2496"/>
    <w:rsid w:val="375B52CF"/>
    <w:rsid w:val="3767784D"/>
    <w:rsid w:val="377E2940"/>
    <w:rsid w:val="377E56B8"/>
    <w:rsid w:val="37AD3232"/>
    <w:rsid w:val="37C93618"/>
    <w:rsid w:val="37CD3E9A"/>
    <w:rsid w:val="37D03480"/>
    <w:rsid w:val="37D87189"/>
    <w:rsid w:val="37DB48CD"/>
    <w:rsid w:val="37DE4F0C"/>
    <w:rsid w:val="37E87EA7"/>
    <w:rsid w:val="37F761BE"/>
    <w:rsid w:val="380B1A51"/>
    <w:rsid w:val="380D230F"/>
    <w:rsid w:val="382056BC"/>
    <w:rsid w:val="38313FF7"/>
    <w:rsid w:val="385029E8"/>
    <w:rsid w:val="385054D4"/>
    <w:rsid w:val="38AB6B19"/>
    <w:rsid w:val="38BB2AE2"/>
    <w:rsid w:val="38BB3E71"/>
    <w:rsid w:val="39035D73"/>
    <w:rsid w:val="39144BF9"/>
    <w:rsid w:val="39236305"/>
    <w:rsid w:val="392A6F03"/>
    <w:rsid w:val="394C7995"/>
    <w:rsid w:val="39602D71"/>
    <w:rsid w:val="39620ADE"/>
    <w:rsid w:val="396564CD"/>
    <w:rsid w:val="396970DC"/>
    <w:rsid w:val="397D1814"/>
    <w:rsid w:val="398932D7"/>
    <w:rsid w:val="3991694F"/>
    <w:rsid w:val="39D00186"/>
    <w:rsid w:val="39D8445E"/>
    <w:rsid w:val="39E8126B"/>
    <w:rsid w:val="39ED77E9"/>
    <w:rsid w:val="3A096C45"/>
    <w:rsid w:val="3A5D7760"/>
    <w:rsid w:val="3A6366F5"/>
    <w:rsid w:val="3A860F08"/>
    <w:rsid w:val="3AA11F7B"/>
    <w:rsid w:val="3AA94D19"/>
    <w:rsid w:val="3AA955D3"/>
    <w:rsid w:val="3ABC1A10"/>
    <w:rsid w:val="3AC46E18"/>
    <w:rsid w:val="3AD854E7"/>
    <w:rsid w:val="3AF71951"/>
    <w:rsid w:val="3B3315C9"/>
    <w:rsid w:val="3B3666AA"/>
    <w:rsid w:val="3B5D03F9"/>
    <w:rsid w:val="3B612722"/>
    <w:rsid w:val="3B6840C9"/>
    <w:rsid w:val="3B7B4707"/>
    <w:rsid w:val="3B9A4859"/>
    <w:rsid w:val="3B9C69ED"/>
    <w:rsid w:val="3B9F0B1A"/>
    <w:rsid w:val="3BA62701"/>
    <w:rsid w:val="3BE37229"/>
    <w:rsid w:val="3BF06157"/>
    <w:rsid w:val="3C075E40"/>
    <w:rsid w:val="3C0F314C"/>
    <w:rsid w:val="3C5564B6"/>
    <w:rsid w:val="3C5C0751"/>
    <w:rsid w:val="3C660931"/>
    <w:rsid w:val="3C820F44"/>
    <w:rsid w:val="3C8400FD"/>
    <w:rsid w:val="3C842EF2"/>
    <w:rsid w:val="3C8D5215"/>
    <w:rsid w:val="3CA447CC"/>
    <w:rsid w:val="3CB96E1E"/>
    <w:rsid w:val="3CE41D71"/>
    <w:rsid w:val="3CFB568A"/>
    <w:rsid w:val="3D271065"/>
    <w:rsid w:val="3D8679EC"/>
    <w:rsid w:val="3DB86BC2"/>
    <w:rsid w:val="3DBA1088"/>
    <w:rsid w:val="3DD279C4"/>
    <w:rsid w:val="3DF60966"/>
    <w:rsid w:val="3DF77844"/>
    <w:rsid w:val="3DFC0A52"/>
    <w:rsid w:val="3E2A5A13"/>
    <w:rsid w:val="3E5F1E2B"/>
    <w:rsid w:val="3E6758E4"/>
    <w:rsid w:val="3E6A5C1B"/>
    <w:rsid w:val="3E6E0EE5"/>
    <w:rsid w:val="3E951BD3"/>
    <w:rsid w:val="3E9C1275"/>
    <w:rsid w:val="3E9E4382"/>
    <w:rsid w:val="3EA10F4D"/>
    <w:rsid w:val="3EA62CE9"/>
    <w:rsid w:val="3EB91E59"/>
    <w:rsid w:val="3EC17D5F"/>
    <w:rsid w:val="3EC960D4"/>
    <w:rsid w:val="3EC96F4E"/>
    <w:rsid w:val="3ED46AC2"/>
    <w:rsid w:val="3F0F7148"/>
    <w:rsid w:val="3F1E1A37"/>
    <w:rsid w:val="3F3C1257"/>
    <w:rsid w:val="3F6350E8"/>
    <w:rsid w:val="3F835001"/>
    <w:rsid w:val="3FA23A80"/>
    <w:rsid w:val="3FB34A71"/>
    <w:rsid w:val="3FB75DF9"/>
    <w:rsid w:val="3FF550F5"/>
    <w:rsid w:val="4004345A"/>
    <w:rsid w:val="40253ED2"/>
    <w:rsid w:val="40255EEC"/>
    <w:rsid w:val="40456DAB"/>
    <w:rsid w:val="409F6D37"/>
    <w:rsid w:val="40E25617"/>
    <w:rsid w:val="41016E99"/>
    <w:rsid w:val="415404B3"/>
    <w:rsid w:val="418368ED"/>
    <w:rsid w:val="41980D37"/>
    <w:rsid w:val="41B57E03"/>
    <w:rsid w:val="41BA4E2E"/>
    <w:rsid w:val="41EF0A74"/>
    <w:rsid w:val="421560DF"/>
    <w:rsid w:val="425C64FC"/>
    <w:rsid w:val="4278675D"/>
    <w:rsid w:val="42815F08"/>
    <w:rsid w:val="429B48A1"/>
    <w:rsid w:val="42A67C41"/>
    <w:rsid w:val="42AB693D"/>
    <w:rsid w:val="42B113CB"/>
    <w:rsid w:val="42D226F1"/>
    <w:rsid w:val="431A3D19"/>
    <w:rsid w:val="431C61EE"/>
    <w:rsid w:val="431F105C"/>
    <w:rsid w:val="43472061"/>
    <w:rsid w:val="4359384A"/>
    <w:rsid w:val="43A86464"/>
    <w:rsid w:val="43D4311F"/>
    <w:rsid w:val="43DE41FF"/>
    <w:rsid w:val="43F003B4"/>
    <w:rsid w:val="43F20D7A"/>
    <w:rsid w:val="4438137C"/>
    <w:rsid w:val="444D738B"/>
    <w:rsid w:val="444E2CED"/>
    <w:rsid w:val="446458DA"/>
    <w:rsid w:val="446645C4"/>
    <w:rsid w:val="448F7315"/>
    <w:rsid w:val="449B0C99"/>
    <w:rsid w:val="44E00C2F"/>
    <w:rsid w:val="44F12828"/>
    <w:rsid w:val="44F6693A"/>
    <w:rsid w:val="450D6F0E"/>
    <w:rsid w:val="453F4EE8"/>
    <w:rsid w:val="453F6ECB"/>
    <w:rsid w:val="457E0C0E"/>
    <w:rsid w:val="459151E9"/>
    <w:rsid w:val="45A27895"/>
    <w:rsid w:val="45C419F6"/>
    <w:rsid w:val="45EA002D"/>
    <w:rsid w:val="45F12E12"/>
    <w:rsid w:val="46042531"/>
    <w:rsid w:val="4654463C"/>
    <w:rsid w:val="46576497"/>
    <w:rsid w:val="46641A53"/>
    <w:rsid w:val="466B4B0D"/>
    <w:rsid w:val="469D1E1F"/>
    <w:rsid w:val="470201F7"/>
    <w:rsid w:val="470207BE"/>
    <w:rsid w:val="4703453A"/>
    <w:rsid w:val="47401AE3"/>
    <w:rsid w:val="475B0659"/>
    <w:rsid w:val="47847F9B"/>
    <w:rsid w:val="47874BF4"/>
    <w:rsid w:val="479057C4"/>
    <w:rsid w:val="479E4122"/>
    <w:rsid w:val="47AA46EC"/>
    <w:rsid w:val="47B6276E"/>
    <w:rsid w:val="47C854D0"/>
    <w:rsid w:val="47D15D86"/>
    <w:rsid w:val="47D7714D"/>
    <w:rsid w:val="47E219B4"/>
    <w:rsid w:val="47E92C4F"/>
    <w:rsid w:val="47EC73DA"/>
    <w:rsid w:val="483A1794"/>
    <w:rsid w:val="484C0878"/>
    <w:rsid w:val="486D7225"/>
    <w:rsid w:val="48BE1991"/>
    <w:rsid w:val="48C55ABF"/>
    <w:rsid w:val="48CA305E"/>
    <w:rsid w:val="48D71361"/>
    <w:rsid w:val="490467A4"/>
    <w:rsid w:val="490922D4"/>
    <w:rsid w:val="491D1161"/>
    <w:rsid w:val="492376A4"/>
    <w:rsid w:val="493779A6"/>
    <w:rsid w:val="4945471C"/>
    <w:rsid w:val="49782139"/>
    <w:rsid w:val="49C23604"/>
    <w:rsid w:val="4A474221"/>
    <w:rsid w:val="4A6500D9"/>
    <w:rsid w:val="4A6C40DC"/>
    <w:rsid w:val="4AB36EE5"/>
    <w:rsid w:val="4AC21FDF"/>
    <w:rsid w:val="4B00465E"/>
    <w:rsid w:val="4B0E7830"/>
    <w:rsid w:val="4B4D56DB"/>
    <w:rsid w:val="4B523C66"/>
    <w:rsid w:val="4B6E134A"/>
    <w:rsid w:val="4BC652F6"/>
    <w:rsid w:val="4BCB58DC"/>
    <w:rsid w:val="4BD07C84"/>
    <w:rsid w:val="4BDF62D5"/>
    <w:rsid w:val="4BE87F26"/>
    <w:rsid w:val="4C081E20"/>
    <w:rsid w:val="4C335BDE"/>
    <w:rsid w:val="4C3974A1"/>
    <w:rsid w:val="4C423A54"/>
    <w:rsid w:val="4C4D743A"/>
    <w:rsid w:val="4C4F0851"/>
    <w:rsid w:val="4C561056"/>
    <w:rsid w:val="4CA171A9"/>
    <w:rsid w:val="4CDC25C4"/>
    <w:rsid w:val="4CEC0F90"/>
    <w:rsid w:val="4CF55D3A"/>
    <w:rsid w:val="4D064FB6"/>
    <w:rsid w:val="4D1703A5"/>
    <w:rsid w:val="4D2A1AAB"/>
    <w:rsid w:val="4D3917DA"/>
    <w:rsid w:val="4D3C5752"/>
    <w:rsid w:val="4D4858B6"/>
    <w:rsid w:val="4DAE5896"/>
    <w:rsid w:val="4DBD3CB0"/>
    <w:rsid w:val="4DBE15DE"/>
    <w:rsid w:val="4DBE488C"/>
    <w:rsid w:val="4DCC1B5A"/>
    <w:rsid w:val="4DD7009F"/>
    <w:rsid w:val="4DDC34DD"/>
    <w:rsid w:val="4DDC6D95"/>
    <w:rsid w:val="4DFF45BC"/>
    <w:rsid w:val="4E274DE4"/>
    <w:rsid w:val="4E304CAC"/>
    <w:rsid w:val="4E61428A"/>
    <w:rsid w:val="4E623F21"/>
    <w:rsid w:val="4E7B705D"/>
    <w:rsid w:val="4EC83BC4"/>
    <w:rsid w:val="4ECB455C"/>
    <w:rsid w:val="4EF16D21"/>
    <w:rsid w:val="4F0F5E85"/>
    <w:rsid w:val="4F197E0C"/>
    <w:rsid w:val="4F1B18DC"/>
    <w:rsid w:val="4F296FB7"/>
    <w:rsid w:val="4F2A6998"/>
    <w:rsid w:val="4F326010"/>
    <w:rsid w:val="4F4E6BEF"/>
    <w:rsid w:val="4F5434D0"/>
    <w:rsid w:val="4F6745C5"/>
    <w:rsid w:val="4F751E54"/>
    <w:rsid w:val="4F815FC3"/>
    <w:rsid w:val="4FA9510C"/>
    <w:rsid w:val="4FBC55BE"/>
    <w:rsid w:val="4FCB314A"/>
    <w:rsid w:val="4FEC68C5"/>
    <w:rsid w:val="50056D32"/>
    <w:rsid w:val="504741CF"/>
    <w:rsid w:val="50515B38"/>
    <w:rsid w:val="50891C17"/>
    <w:rsid w:val="50AD451E"/>
    <w:rsid w:val="50B47B65"/>
    <w:rsid w:val="50BD2E68"/>
    <w:rsid w:val="50E24AAB"/>
    <w:rsid w:val="50E918DB"/>
    <w:rsid w:val="5125744D"/>
    <w:rsid w:val="512C7DA4"/>
    <w:rsid w:val="514F6DF6"/>
    <w:rsid w:val="515B4F23"/>
    <w:rsid w:val="518F3AA9"/>
    <w:rsid w:val="51A228F0"/>
    <w:rsid w:val="51B25CEA"/>
    <w:rsid w:val="51B52F61"/>
    <w:rsid w:val="520E7D39"/>
    <w:rsid w:val="52143039"/>
    <w:rsid w:val="521C1BE6"/>
    <w:rsid w:val="523E793A"/>
    <w:rsid w:val="524060FD"/>
    <w:rsid w:val="527310FD"/>
    <w:rsid w:val="52902623"/>
    <w:rsid w:val="52A726DA"/>
    <w:rsid w:val="52C145B3"/>
    <w:rsid w:val="52C84AC7"/>
    <w:rsid w:val="532061BE"/>
    <w:rsid w:val="532C19FA"/>
    <w:rsid w:val="536C046F"/>
    <w:rsid w:val="53777260"/>
    <w:rsid w:val="53892A39"/>
    <w:rsid w:val="53B30461"/>
    <w:rsid w:val="53BA0A5E"/>
    <w:rsid w:val="53BD324D"/>
    <w:rsid w:val="53C71722"/>
    <w:rsid w:val="53DA3FDB"/>
    <w:rsid w:val="53F67ABB"/>
    <w:rsid w:val="53FD6EAD"/>
    <w:rsid w:val="544F5540"/>
    <w:rsid w:val="54B52F23"/>
    <w:rsid w:val="54C933DA"/>
    <w:rsid w:val="54F26917"/>
    <w:rsid w:val="54F514A4"/>
    <w:rsid w:val="552333D9"/>
    <w:rsid w:val="552447FF"/>
    <w:rsid w:val="55290288"/>
    <w:rsid w:val="55355B1D"/>
    <w:rsid w:val="55460D6F"/>
    <w:rsid w:val="5563783F"/>
    <w:rsid w:val="557A5820"/>
    <w:rsid w:val="55831A2A"/>
    <w:rsid w:val="559025B5"/>
    <w:rsid w:val="559301A9"/>
    <w:rsid w:val="55BC7DAC"/>
    <w:rsid w:val="55BE6F35"/>
    <w:rsid w:val="55D63178"/>
    <w:rsid w:val="562F4A45"/>
    <w:rsid w:val="5668106F"/>
    <w:rsid w:val="566936A5"/>
    <w:rsid w:val="56931890"/>
    <w:rsid w:val="56AB5747"/>
    <w:rsid w:val="56AE342E"/>
    <w:rsid w:val="570A4EBD"/>
    <w:rsid w:val="570A59DD"/>
    <w:rsid w:val="57394DE3"/>
    <w:rsid w:val="57466A30"/>
    <w:rsid w:val="57A95EB2"/>
    <w:rsid w:val="57D226EC"/>
    <w:rsid w:val="57E52D90"/>
    <w:rsid w:val="57E7750E"/>
    <w:rsid w:val="58273F53"/>
    <w:rsid w:val="582C3304"/>
    <w:rsid w:val="582F1BB2"/>
    <w:rsid w:val="583E683E"/>
    <w:rsid w:val="584263FC"/>
    <w:rsid w:val="584962E9"/>
    <w:rsid w:val="58564158"/>
    <w:rsid w:val="586E7192"/>
    <w:rsid w:val="588552D2"/>
    <w:rsid w:val="588F54E7"/>
    <w:rsid w:val="58AA248A"/>
    <w:rsid w:val="58D76950"/>
    <w:rsid w:val="58DB47D9"/>
    <w:rsid w:val="592757C1"/>
    <w:rsid w:val="592B5AE3"/>
    <w:rsid w:val="592D1B02"/>
    <w:rsid w:val="593A6251"/>
    <w:rsid w:val="59413216"/>
    <w:rsid w:val="59421DFC"/>
    <w:rsid w:val="594D6F63"/>
    <w:rsid w:val="595943D5"/>
    <w:rsid w:val="598F1E4F"/>
    <w:rsid w:val="59922D2C"/>
    <w:rsid w:val="599E3270"/>
    <w:rsid w:val="59C637B1"/>
    <w:rsid w:val="59E7474F"/>
    <w:rsid w:val="59EA485F"/>
    <w:rsid w:val="5A07195A"/>
    <w:rsid w:val="5A097D45"/>
    <w:rsid w:val="5A0B531A"/>
    <w:rsid w:val="5A232744"/>
    <w:rsid w:val="5A30668C"/>
    <w:rsid w:val="5A546C46"/>
    <w:rsid w:val="5A8E433F"/>
    <w:rsid w:val="5A9778A8"/>
    <w:rsid w:val="5AA66E96"/>
    <w:rsid w:val="5ACC5639"/>
    <w:rsid w:val="5AD045F0"/>
    <w:rsid w:val="5AE31934"/>
    <w:rsid w:val="5AFE0937"/>
    <w:rsid w:val="5B022AFF"/>
    <w:rsid w:val="5B1C238B"/>
    <w:rsid w:val="5B3A7F92"/>
    <w:rsid w:val="5B5470BE"/>
    <w:rsid w:val="5B69118A"/>
    <w:rsid w:val="5B7B0387"/>
    <w:rsid w:val="5B803891"/>
    <w:rsid w:val="5BA45644"/>
    <w:rsid w:val="5BB72396"/>
    <w:rsid w:val="5BB83A40"/>
    <w:rsid w:val="5BDA2541"/>
    <w:rsid w:val="5BE820C5"/>
    <w:rsid w:val="5BE90AF0"/>
    <w:rsid w:val="5BF24E17"/>
    <w:rsid w:val="5BFB4FE5"/>
    <w:rsid w:val="5C0C04DD"/>
    <w:rsid w:val="5C1C17C2"/>
    <w:rsid w:val="5C4202CD"/>
    <w:rsid w:val="5C5A377C"/>
    <w:rsid w:val="5C7531BB"/>
    <w:rsid w:val="5C8E70AE"/>
    <w:rsid w:val="5C9700DF"/>
    <w:rsid w:val="5C994311"/>
    <w:rsid w:val="5CE35159"/>
    <w:rsid w:val="5CFF5AEE"/>
    <w:rsid w:val="5D122186"/>
    <w:rsid w:val="5D123AAF"/>
    <w:rsid w:val="5D5260D6"/>
    <w:rsid w:val="5D553587"/>
    <w:rsid w:val="5DA35BCC"/>
    <w:rsid w:val="5DC95B2A"/>
    <w:rsid w:val="5DCE1B6C"/>
    <w:rsid w:val="5DD03E7A"/>
    <w:rsid w:val="5DF5515C"/>
    <w:rsid w:val="5E2F6DAB"/>
    <w:rsid w:val="5E380BB4"/>
    <w:rsid w:val="5E4106DA"/>
    <w:rsid w:val="5E445B78"/>
    <w:rsid w:val="5E4B362D"/>
    <w:rsid w:val="5E4B3828"/>
    <w:rsid w:val="5E4D6025"/>
    <w:rsid w:val="5E70694F"/>
    <w:rsid w:val="5E750D4E"/>
    <w:rsid w:val="5EBF131F"/>
    <w:rsid w:val="5EC32979"/>
    <w:rsid w:val="5EFC5263"/>
    <w:rsid w:val="5F2B51D9"/>
    <w:rsid w:val="5F2D7709"/>
    <w:rsid w:val="5F37440C"/>
    <w:rsid w:val="5F664202"/>
    <w:rsid w:val="5F686F61"/>
    <w:rsid w:val="5FE41D9C"/>
    <w:rsid w:val="5FFB05B6"/>
    <w:rsid w:val="60273B50"/>
    <w:rsid w:val="608D1EE9"/>
    <w:rsid w:val="609E7926"/>
    <w:rsid w:val="60B6553C"/>
    <w:rsid w:val="60B87041"/>
    <w:rsid w:val="60C14B03"/>
    <w:rsid w:val="60CC4F68"/>
    <w:rsid w:val="60CC769A"/>
    <w:rsid w:val="60D878A9"/>
    <w:rsid w:val="60E16449"/>
    <w:rsid w:val="60F021B3"/>
    <w:rsid w:val="60F3280A"/>
    <w:rsid w:val="610877F7"/>
    <w:rsid w:val="612A3127"/>
    <w:rsid w:val="612A6BDB"/>
    <w:rsid w:val="613570EA"/>
    <w:rsid w:val="61456935"/>
    <w:rsid w:val="614C7EBC"/>
    <w:rsid w:val="61553DB5"/>
    <w:rsid w:val="615A0826"/>
    <w:rsid w:val="6168606B"/>
    <w:rsid w:val="616E5025"/>
    <w:rsid w:val="61A00A91"/>
    <w:rsid w:val="61C34075"/>
    <w:rsid w:val="61D035A1"/>
    <w:rsid w:val="61DE183F"/>
    <w:rsid w:val="620816FB"/>
    <w:rsid w:val="62117B48"/>
    <w:rsid w:val="62233C3B"/>
    <w:rsid w:val="62257304"/>
    <w:rsid w:val="6233066F"/>
    <w:rsid w:val="625714F8"/>
    <w:rsid w:val="626920CC"/>
    <w:rsid w:val="626B311D"/>
    <w:rsid w:val="62973DCD"/>
    <w:rsid w:val="62AF2B34"/>
    <w:rsid w:val="62CA580D"/>
    <w:rsid w:val="62D7081D"/>
    <w:rsid w:val="62F17350"/>
    <w:rsid w:val="631E5B7E"/>
    <w:rsid w:val="632B6F9F"/>
    <w:rsid w:val="633771FC"/>
    <w:rsid w:val="63687194"/>
    <w:rsid w:val="638E50BC"/>
    <w:rsid w:val="63BA4B27"/>
    <w:rsid w:val="63C74092"/>
    <w:rsid w:val="64074746"/>
    <w:rsid w:val="64086D83"/>
    <w:rsid w:val="640C36F3"/>
    <w:rsid w:val="641917E7"/>
    <w:rsid w:val="641D7A27"/>
    <w:rsid w:val="64436DC8"/>
    <w:rsid w:val="64861AD7"/>
    <w:rsid w:val="6499600C"/>
    <w:rsid w:val="64A63C7A"/>
    <w:rsid w:val="64D27A6F"/>
    <w:rsid w:val="64D472BF"/>
    <w:rsid w:val="64DB2CB7"/>
    <w:rsid w:val="64ED1532"/>
    <w:rsid w:val="64F20ED3"/>
    <w:rsid w:val="653E7CEF"/>
    <w:rsid w:val="65745914"/>
    <w:rsid w:val="65765688"/>
    <w:rsid w:val="65885D89"/>
    <w:rsid w:val="659C4A8F"/>
    <w:rsid w:val="65A40D91"/>
    <w:rsid w:val="65A57F64"/>
    <w:rsid w:val="65FB082A"/>
    <w:rsid w:val="665C7A48"/>
    <w:rsid w:val="66A15651"/>
    <w:rsid w:val="66B506F9"/>
    <w:rsid w:val="66D00F1A"/>
    <w:rsid w:val="66D452E5"/>
    <w:rsid w:val="66F55A6B"/>
    <w:rsid w:val="671B0CA9"/>
    <w:rsid w:val="67327F2E"/>
    <w:rsid w:val="674609A7"/>
    <w:rsid w:val="67465B30"/>
    <w:rsid w:val="6752039B"/>
    <w:rsid w:val="67826286"/>
    <w:rsid w:val="67B34BB7"/>
    <w:rsid w:val="67DA4EDE"/>
    <w:rsid w:val="68074B6A"/>
    <w:rsid w:val="68082611"/>
    <w:rsid w:val="68091C49"/>
    <w:rsid w:val="683C58BF"/>
    <w:rsid w:val="684A49E7"/>
    <w:rsid w:val="685830AC"/>
    <w:rsid w:val="68672FC0"/>
    <w:rsid w:val="687B534E"/>
    <w:rsid w:val="688645AD"/>
    <w:rsid w:val="688C533B"/>
    <w:rsid w:val="68CF0EE8"/>
    <w:rsid w:val="68DB26B9"/>
    <w:rsid w:val="68ED75E9"/>
    <w:rsid w:val="68F11B15"/>
    <w:rsid w:val="690152D3"/>
    <w:rsid w:val="690E1083"/>
    <w:rsid w:val="69217058"/>
    <w:rsid w:val="692F0DD2"/>
    <w:rsid w:val="692F6DB1"/>
    <w:rsid w:val="693B0EA9"/>
    <w:rsid w:val="6949019C"/>
    <w:rsid w:val="69575A01"/>
    <w:rsid w:val="696B16A5"/>
    <w:rsid w:val="696E15BF"/>
    <w:rsid w:val="69772905"/>
    <w:rsid w:val="697D3853"/>
    <w:rsid w:val="69862A24"/>
    <w:rsid w:val="698B0F17"/>
    <w:rsid w:val="69964570"/>
    <w:rsid w:val="69971BCD"/>
    <w:rsid w:val="69B72D0E"/>
    <w:rsid w:val="69D94592"/>
    <w:rsid w:val="69E11378"/>
    <w:rsid w:val="6A044C10"/>
    <w:rsid w:val="6A0C68E0"/>
    <w:rsid w:val="6A147236"/>
    <w:rsid w:val="6A29191D"/>
    <w:rsid w:val="6A2D0A53"/>
    <w:rsid w:val="6A360EF4"/>
    <w:rsid w:val="6A736A2C"/>
    <w:rsid w:val="6A854B5B"/>
    <w:rsid w:val="6AA27EB3"/>
    <w:rsid w:val="6AB06501"/>
    <w:rsid w:val="6ABE1956"/>
    <w:rsid w:val="6AC4173D"/>
    <w:rsid w:val="6ACD7E75"/>
    <w:rsid w:val="6B0A5F7A"/>
    <w:rsid w:val="6B1B03F7"/>
    <w:rsid w:val="6B3F6E7C"/>
    <w:rsid w:val="6B4F76A1"/>
    <w:rsid w:val="6B5A1816"/>
    <w:rsid w:val="6BB6746F"/>
    <w:rsid w:val="6BCD2E46"/>
    <w:rsid w:val="6BD1770A"/>
    <w:rsid w:val="6BE77DAF"/>
    <w:rsid w:val="6BFD03AE"/>
    <w:rsid w:val="6BFF6077"/>
    <w:rsid w:val="6C130515"/>
    <w:rsid w:val="6C2308EC"/>
    <w:rsid w:val="6C450CB5"/>
    <w:rsid w:val="6C825FC0"/>
    <w:rsid w:val="6C867767"/>
    <w:rsid w:val="6CA34648"/>
    <w:rsid w:val="6CEF02A5"/>
    <w:rsid w:val="6CF10748"/>
    <w:rsid w:val="6D031FFE"/>
    <w:rsid w:val="6D152451"/>
    <w:rsid w:val="6D2B75E0"/>
    <w:rsid w:val="6D3173D9"/>
    <w:rsid w:val="6D6B117A"/>
    <w:rsid w:val="6D870368"/>
    <w:rsid w:val="6DA15087"/>
    <w:rsid w:val="6DEE77D7"/>
    <w:rsid w:val="6DEF74D5"/>
    <w:rsid w:val="6E0431F6"/>
    <w:rsid w:val="6E3033FC"/>
    <w:rsid w:val="6E677882"/>
    <w:rsid w:val="6E680083"/>
    <w:rsid w:val="6E7145C9"/>
    <w:rsid w:val="6E8B4A4C"/>
    <w:rsid w:val="6E9856D0"/>
    <w:rsid w:val="6EA06B35"/>
    <w:rsid w:val="6EB840FC"/>
    <w:rsid w:val="6EE920DC"/>
    <w:rsid w:val="6F323CF6"/>
    <w:rsid w:val="6F377C99"/>
    <w:rsid w:val="6F4B39B8"/>
    <w:rsid w:val="6F5A1D61"/>
    <w:rsid w:val="6F5D0AE8"/>
    <w:rsid w:val="6F633A0E"/>
    <w:rsid w:val="6F7E7DE2"/>
    <w:rsid w:val="6F9A6D75"/>
    <w:rsid w:val="6FA444CD"/>
    <w:rsid w:val="6FAA433E"/>
    <w:rsid w:val="6FB90F21"/>
    <w:rsid w:val="6FC44ED6"/>
    <w:rsid w:val="6FD36F82"/>
    <w:rsid w:val="70210F57"/>
    <w:rsid w:val="70267217"/>
    <w:rsid w:val="70363280"/>
    <w:rsid w:val="70386BF2"/>
    <w:rsid w:val="704F1D50"/>
    <w:rsid w:val="7062369D"/>
    <w:rsid w:val="70861282"/>
    <w:rsid w:val="7098399A"/>
    <w:rsid w:val="709A6248"/>
    <w:rsid w:val="70B51F99"/>
    <w:rsid w:val="70B7227D"/>
    <w:rsid w:val="70D8666D"/>
    <w:rsid w:val="70EB5A4A"/>
    <w:rsid w:val="70F82977"/>
    <w:rsid w:val="70F9421D"/>
    <w:rsid w:val="711203ED"/>
    <w:rsid w:val="711F5E67"/>
    <w:rsid w:val="7122405C"/>
    <w:rsid w:val="712A76BE"/>
    <w:rsid w:val="713E6CC6"/>
    <w:rsid w:val="7140249F"/>
    <w:rsid w:val="71425D32"/>
    <w:rsid w:val="716D6D00"/>
    <w:rsid w:val="71924228"/>
    <w:rsid w:val="719660F5"/>
    <w:rsid w:val="719901C6"/>
    <w:rsid w:val="71AC73F8"/>
    <w:rsid w:val="71B131C3"/>
    <w:rsid w:val="71B70463"/>
    <w:rsid w:val="71CC5821"/>
    <w:rsid w:val="71D120C0"/>
    <w:rsid w:val="71F26BCA"/>
    <w:rsid w:val="71F331D2"/>
    <w:rsid w:val="720542F1"/>
    <w:rsid w:val="72115FB0"/>
    <w:rsid w:val="72380013"/>
    <w:rsid w:val="723B4A2F"/>
    <w:rsid w:val="72540D30"/>
    <w:rsid w:val="72862B07"/>
    <w:rsid w:val="72A23D4A"/>
    <w:rsid w:val="72E7027C"/>
    <w:rsid w:val="733A2E98"/>
    <w:rsid w:val="73426C39"/>
    <w:rsid w:val="73594771"/>
    <w:rsid w:val="73671E4B"/>
    <w:rsid w:val="739B0465"/>
    <w:rsid w:val="73E323A2"/>
    <w:rsid w:val="740A30B6"/>
    <w:rsid w:val="740F0E4D"/>
    <w:rsid w:val="7412418A"/>
    <w:rsid w:val="745517C5"/>
    <w:rsid w:val="745C1601"/>
    <w:rsid w:val="7469799F"/>
    <w:rsid w:val="7478364F"/>
    <w:rsid w:val="74A66F51"/>
    <w:rsid w:val="74D46468"/>
    <w:rsid w:val="74E24705"/>
    <w:rsid w:val="74E41984"/>
    <w:rsid w:val="74ED1C74"/>
    <w:rsid w:val="750506F3"/>
    <w:rsid w:val="75082EAB"/>
    <w:rsid w:val="754D093E"/>
    <w:rsid w:val="7565118B"/>
    <w:rsid w:val="75653512"/>
    <w:rsid w:val="75856068"/>
    <w:rsid w:val="758944AE"/>
    <w:rsid w:val="758C4507"/>
    <w:rsid w:val="75910EB8"/>
    <w:rsid w:val="75921B66"/>
    <w:rsid w:val="759605E5"/>
    <w:rsid w:val="75AA1A6C"/>
    <w:rsid w:val="75DE006E"/>
    <w:rsid w:val="760074A9"/>
    <w:rsid w:val="76097DCF"/>
    <w:rsid w:val="761F0161"/>
    <w:rsid w:val="764A3D3A"/>
    <w:rsid w:val="76C0735A"/>
    <w:rsid w:val="76DD61DF"/>
    <w:rsid w:val="76DE39EB"/>
    <w:rsid w:val="76F25F68"/>
    <w:rsid w:val="76F31127"/>
    <w:rsid w:val="77011621"/>
    <w:rsid w:val="77147D80"/>
    <w:rsid w:val="774B42DA"/>
    <w:rsid w:val="775D4718"/>
    <w:rsid w:val="77CC2AC5"/>
    <w:rsid w:val="77D568B2"/>
    <w:rsid w:val="77ED149C"/>
    <w:rsid w:val="78060224"/>
    <w:rsid w:val="784A65BA"/>
    <w:rsid w:val="785178EC"/>
    <w:rsid w:val="785D466B"/>
    <w:rsid w:val="786E76D4"/>
    <w:rsid w:val="786F2E21"/>
    <w:rsid w:val="787134E1"/>
    <w:rsid w:val="78762BD7"/>
    <w:rsid w:val="78AC0F28"/>
    <w:rsid w:val="78AD7E4B"/>
    <w:rsid w:val="7922758B"/>
    <w:rsid w:val="79391616"/>
    <w:rsid w:val="79696216"/>
    <w:rsid w:val="79766799"/>
    <w:rsid w:val="799E612A"/>
    <w:rsid w:val="79A44FBB"/>
    <w:rsid w:val="79B255D2"/>
    <w:rsid w:val="79B45BBB"/>
    <w:rsid w:val="79B85721"/>
    <w:rsid w:val="79D0307E"/>
    <w:rsid w:val="79D40DC5"/>
    <w:rsid w:val="79DE121D"/>
    <w:rsid w:val="79E249A2"/>
    <w:rsid w:val="79E9282F"/>
    <w:rsid w:val="7A493378"/>
    <w:rsid w:val="7A5C7B4D"/>
    <w:rsid w:val="7A611F94"/>
    <w:rsid w:val="7A9F7487"/>
    <w:rsid w:val="7ABA1454"/>
    <w:rsid w:val="7AC410ED"/>
    <w:rsid w:val="7AC41A75"/>
    <w:rsid w:val="7AD753E4"/>
    <w:rsid w:val="7ADF1269"/>
    <w:rsid w:val="7AE912E1"/>
    <w:rsid w:val="7AF750B3"/>
    <w:rsid w:val="7B06676B"/>
    <w:rsid w:val="7B1172FB"/>
    <w:rsid w:val="7B1F1C18"/>
    <w:rsid w:val="7B264BE9"/>
    <w:rsid w:val="7B387938"/>
    <w:rsid w:val="7B714BD4"/>
    <w:rsid w:val="7B872E06"/>
    <w:rsid w:val="7BE02BFC"/>
    <w:rsid w:val="7C0A58D4"/>
    <w:rsid w:val="7C16365B"/>
    <w:rsid w:val="7C301648"/>
    <w:rsid w:val="7C341C52"/>
    <w:rsid w:val="7C3A0992"/>
    <w:rsid w:val="7C5F0C5A"/>
    <w:rsid w:val="7C71187A"/>
    <w:rsid w:val="7C9331F6"/>
    <w:rsid w:val="7CB11F84"/>
    <w:rsid w:val="7CBA10BB"/>
    <w:rsid w:val="7CBD77DF"/>
    <w:rsid w:val="7D033238"/>
    <w:rsid w:val="7D1F7DD9"/>
    <w:rsid w:val="7D2754BD"/>
    <w:rsid w:val="7D2F6ABF"/>
    <w:rsid w:val="7D50024E"/>
    <w:rsid w:val="7D637EF4"/>
    <w:rsid w:val="7DF7321A"/>
    <w:rsid w:val="7E1F6175"/>
    <w:rsid w:val="7E341B98"/>
    <w:rsid w:val="7E51328E"/>
    <w:rsid w:val="7E8B60B5"/>
    <w:rsid w:val="7EA640C6"/>
    <w:rsid w:val="7EA66488"/>
    <w:rsid w:val="7EB455C8"/>
    <w:rsid w:val="7F0C0F21"/>
    <w:rsid w:val="7F126F19"/>
    <w:rsid w:val="7F14576E"/>
    <w:rsid w:val="7F3577ED"/>
    <w:rsid w:val="7F944D19"/>
    <w:rsid w:val="7FAF71AC"/>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4920;%20&#22312;%202020&#24180;&#24464;&#27700;&#21306;&#28437;&#27827;&#38215;&#20154;&#27665;&#25919;&#24220;&#37096;&#38376;&#25972;&#20307;&#25903;&#20986;&#32489;&#25928;&#35780;&#20215;&#25253;&#21578;.doc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4920;%20&#22312;%202020&#24180;&#24464;&#27700;&#21306;&#28437;&#27827;&#38215;&#20154;&#27665;&#25919;&#24220;&#37096;&#38376;&#25972;&#20307;&#25903;&#20986;&#32489;&#25928;&#35780;&#20215;&#25253;&#21578;.doc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4920;%20&#22312;%202020&#24180;&#24464;&#27700;&#21306;&#28437;&#27827;&#38215;&#20154;&#27665;&#25919;&#24220;&#37096;&#38376;&#25972;&#20307;&#25903;&#20986;&#32489;&#25928;&#35780;&#20215;&#25253;&#21578;.doc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4920;%20&#22312;%202020&#24180;&#24464;&#27700;&#21306;&#28437;&#27827;&#38215;&#20154;&#27665;&#25919;&#24220;&#37096;&#38376;&#25972;&#20307;&#25903;&#20986;&#32489;&#25928;&#35780;&#20215;&#25253;&#21578;.doc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2021</a:t>
            </a:r>
            <a:r>
              <a:rPr altLang="en-US"/>
              <a:t>年决算收入结构图</a:t>
            </a:r>
            <a:endParaRPr altLang="en-US"/>
          </a:p>
        </c:rich>
      </c:tx>
      <c:layout/>
      <c:overlay val="0"/>
    </c:title>
    <c:autoTitleDeleted val="0"/>
    <c:plotArea>
      <c:layout/>
      <c:pieChart>
        <c:varyColors val="1"/>
        <c:ser>
          <c:idx val="0"/>
          <c:order val="0"/>
          <c:explosion val="0"/>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Pt>
            <c:idx val="6"/>
            <c:bubble3D val="0"/>
            <c:explosion val="0"/>
          </c:dPt>
          <c:dPt>
            <c:idx val="7"/>
            <c:bubble3D val="0"/>
            <c:explosion val="0"/>
          </c:dPt>
          <c:dPt>
            <c:idx val="8"/>
            <c:bubble3D val="0"/>
            <c:explosion val="0"/>
          </c:dPt>
          <c:dPt>
            <c:idx val="9"/>
            <c:bubble3D val="0"/>
            <c:explosion val="0"/>
          </c:dPt>
          <c:dPt>
            <c:idx val="10"/>
            <c:bubble3D val="0"/>
            <c:explosion val="0"/>
          </c:dPt>
          <c:dLbls>
            <c:dLbl>
              <c:idx val="1"/>
              <c:layout>
                <c:manualLayout>
                  <c:x val="0.0378257559885584"/>
                  <c:y val="0.02139404574668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99502982517295"/>
                  <c:y val="0.01648625179814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11007524429267"/>
                  <c:y val="-0.049878752562597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404419217171683"/>
                  <c:y val="-0.01194324362420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772076888900254"/>
                  <c:y val="-0.035032457462976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'[工作表 在 2020年徐水区漕河镇人民政府部门整体支出绩效评价报告.docx]Sheet1'!$A$2:$A$12</c:f>
              <c:strCache>
                <c:ptCount val="11"/>
                <c:pt idx="0">
                  <c:v>一般公共服务支出</c:v>
                </c:pt>
                <c:pt idx="1">
                  <c:v>公共安全支出</c:v>
                </c:pt>
                <c:pt idx="2">
                  <c:v>交通运输支出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'[工作表 在 2020年徐水区漕河镇人民政府部门整体支出绩效评价报告.docx]Sheet1'!$B$2:$B$12</c:f>
              <c:numCache>
                <c:formatCode>0.00%</c:formatCode>
                <c:ptCount val="11"/>
                <c:pt idx="0">
                  <c:v>0.5387</c:v>
                </c:pt>
                <c:pt idx="1">
                  <c:v>0.0048</c:v>
                </c:pt>
                <c:pt idx="2">
                  <c:v>0.006</c:v>
                </c:pt>
                <c:pt idx="3">
                  <c:v>0.0064</c:v>
                </c:pt>
                <c:pt idx="4">
                  <c:v>0.1086</c:v>
                </c:pt>
                <c:pt idx="5">
                  <c:v>0.0246</c:v>
                </c:pt>
                <c:pt idx="6">
                  <c:v>0.0186</c:v>
                </c:pt>
                <c:pt idx="7">
                  <c:v>0.0399</c:v>
                </c:pt>
                <c:pt idx="8">
                  <c:v>0.2102</c:v>
                </c:pt>
                <c:pt idx="9">
                  <c:v>0.041</c:v>
                </c:pt>
                <c:pt idx="10">
                  <c:v>0.0012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56cbdc3-e147-4f7d-ba18-05ad29c49007}"/>
      </c:ext>
    </c:extLst>
  </c:chart>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2021</a:t>
            </a:r>
            <a:r>
              <a:rPr altLang="en-US"/>
              <a:t>年度</a:t>
            </a:r>
            <a:r>
              <a:t>预算收入与决算收入对比图</a:t>
            </a:r>
          </a:p>
        </c:rich>
      </c:tx>
      <c:layout/>
      <c:overlay val="0"/>
    </c:title>
    <c:autoTitleDeleted val="0"/>
    <c:plotArea>
      <c:layout>
        <c:manualLayout>
          <c:layoutTarget val="inner"/>
          <c:xMode val="edge"/>
          <c:yMode val="edge"/>
          <c:x val="0.146812975129854"/>
          <c:y val="0.0904034896401309"/>
          <c:w val="0.580131402428537"/>
          <c:h val="0.683751363140676"/>
        </c:manualLayout>
      </c:layout>
      <c:barChart>
        <c:barDir val="col"/>
        <c:grouping val="clustered"/>
        <c:varyColors val="0"/>
        <c:ser>
          <c:idx val="0"/>
          <c:order val="0"/>
          <c:tx>
            <c:strRef>
              <c:f>'[工作表 在 2020年徐水区漕河镇人民政府部门整体支出绩效评价报告.docx]Sheet1'!$B$42</c:f>
              <c:strCache>
                <c:ptCount val="1"/>
                <c:pt idx="0">
                  <c:v>预算收入(万元)</c:v>
                </c:pt>
              </c:strCache>
            </c:strRef>
          </c:tx>
          <c:invertIfNegative val="0"/>
          <c:dLbls>
            <c:dLbl>
              <c:idx val="1"/>
              <c:layout>
                <c:manualLayout>
                  <c:x val="0"/>
                  <c:y val="-0.05725190839694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61184685769323"/>
                  <c:y val="-0.024536532170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80592342884662"/>
                  <c:y val="-0.029443838604143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61184685769323"/>
                  <c:y val="-0.03435114503816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902961714423308"/>
                  <c:y val="-0.02290076335877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26414640019263"/>
                  <c:y val="-0.04907306434023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'[工作表 在 2020年徐水区漕河镇人民政府部门整体支出绩效评价报告.docx]Sheet1'!$A$43:$A$53</c:f>
              <c:strCache>
                <c:ptCount val="11"/>
                <c:pt idx="0">
                  <c:v>一般公共服务支出</c:v>
                </c:pt>
                <c:pt idx="1">
                  <c:v>公共安全支出</c:v>
                </c:pt>
                <c:pt idx="2">
                  <c:v>交通运输支出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'[工作表 在 2020年徐水区漕河镇人民政府部门整体支出绩效评价报告.docx]Sheet1'!$B$43:$B$53</c:f>
              <c:numCache>
                <c:formatCode>General</c:formatCode>
                <c:ptCount val="11"/>
                <c:pt idx="0">
                  <c:v>1126.37</c:v>
                </c:pt>
                <c:pt idx="1">
                  <c:v>8.55</c:v>
                </c:pt>
                <c:pt idx="2">
                  <c:v>12.42</c:v>
                </c:pt>
                <c:pt idx="3">
                  <c:v>1.5</c:v>
                </c:pt>
                <c:pt idx="4">
                  <c:v>171.41</c:v>
                </c:pt>
                <c:pt idx="5">
                  <c:v>45.73</c:v>
                </c:pt>
                <c:pt idx="6">
                  <c:v>4</c:v>
                </c:pt>
                <c:pt idx="7">
                  <c:v>0</c:v>
                </c:pt>
                <c:pt idx="8">
                  <c:v>229.44</c:v>
                </c:pt>
                <c:pt idx="9">
                  <c:v>65.14</c:v>
                </c:pt>
                <c:pt idx="10">
                  <c:v>2.08</c:v>
                </c:pt>
              </c:numCache>
            </c:numRef>
          </c:val>
        </c:ser>
        <c:ser>
          <c:idx val="1"/>
          <c:order val="1"/>
          <c:tx>
            <c:strRef>
              <c:f>'[工作表 在 2020年徐水区漕河镇人民政府部门整体支出绩效评价报告.docx]Sheet1'!$C$42</c:f>
              <c:strCache>
                <c:ptCount val="1"/>
                <c:pt idx="0">
                  <c:v>决算收入（万元）</c:v>
                </c:pt>
              </c:strCache>
            </c:strRef>
          </c:tx>
          <c:invertIfNegative val="0"/>
          <c:dLbls>
            <c:dLbl>
              <c:idx val="1"/>
              <c:layout>
                <c:manualLayout>
                  <c:x val="0"/>
                  <c:y val="0.001635768811341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41777028653985"/>
                  <c:y val="0.0098146128680479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541777028653985"/>
                  <c:y val="0.0098146128680479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22369371538647"/>
                  <c:y val="0.0098146128680479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08355405730797"/>
                  <c:y val="0.003271537622682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361184685769323"/>
                  <c:y val="0.003271537622682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541777028653985"/>
                  <c:y val="-0.04252998909487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26414640019263"/>
                  <c:y val="-0.02617230098146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'[工作表 在 2020年徐水区漕河镇人民政府部门整体支出绩效评价报告.docx]Sheet1'!$A$43:$A$53</c:f>
              <c:strCache>
                <c:ptCount val="11"/>
                <c:pt idx="0">
                  <c:v>一般公共服务支出</c:v>
                </c:pt>
                <c:pt idx="1">
                  <c:v>公共安全支出</c:v>
                </c:pt>
                <c:pt idx="2">
                  <c:v>交通运输支出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'[工作表 在 2020年徐水区漕河镇人民政府部门整体支出绩效评价报告.docx]Sheet1'!$C$43:$C$53</c:f>
              <c:numCache>
                <c:formatCode>General</c:formatCode>
                <c:ptCount val="11"/>
                <c:pt idx="0">
                  <c:v>964.74</c:v>
                </c:pt>
                <c:pt idx="1">
                  <c:v>8.54</c:v>
                </c:pt>
                <c:pt idx="2">
                  <c:v>10.76</c:v>
                </c:pt>
                <c:pt idx="3">
                  <c:v>11.5</c:v>
                </c:pt>
                <c:pt idx="4">
                  <c:v>194.43</c:v>
                </c:pt>
                <c:pt idx="5">
                  <c:v>44.08</c:v>
                </c:pt>
                <c:pt idx="6">
                  <c:v>33.25</c:v>
                </c:pt>
                <c:pt idx="7">
                  <c:v>71.52</c:v>
                </c:pt>
                <c:pt idx="8">
                  <c:v>376.44</c:v>
                </c:pt>
                <c:pt idx="9">
                  <c:v>73.49</c:v>
                </c:pt>
                <c:pt idx="10">
                  <c:v>2.08</c:v>
                </c:pt>
              </c:numCache>
            </c:numRef>
          </c:val>
        </c:ser>
        <c:dLbls>
          <c:showLegendKey val="0"/>
          <c:showVal val="0"/>
          <c:showCatName val="0"/>
          <c:showSerName val="0"/>
          <c:showPercent val="0"/>
          <c:showBubbleSize val="0"/>
        </c:dLbls>
        <c:gapWidth val="150"/>
        <c:overlap val="0"/>
        <c:axId val="883408741"/>
        <c:axId val="563380177"/>
      </c:barChart>
      <c:catAx>
        <c:axId val="883408741"/>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3380177"/>
        <c:crosses val="autoZero"/>
        <c:auto val="1"/>
        <c:lblAlgn val="ctr"/>
        <c:lblOffset val="100"/>
        <c:noMultiLvlLbl val="0"/>
      </c:catAx>
      <c:valAx>
        <c:axId val="563380177"/>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83408741"/>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6dd6793-8a41-4ca2-ab61-874cfc1ca5d3}"/>
      </c:ext>
    </c:extLst>
  </c:chart>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2021</a:t>
            </a:r>
            <a:r>
              <a:rPr altLang="en-US"/>
              <a:t>年决算支出结构图</a:t>
            </a:r>
            <a:endParaRPr altLang="en-US"/>
          </a:p>
        </c:rich>
      </c:tx>
      <c:layout/>
      <c:overlay val="0"/>
    </c:title>
    <c:autoTitleDeleted val="0"/>
    <c:plotArea>
      <c:layout/>
      <c:pieChart>
        <c:varyColors val="1"/>
        <c:ser>
          <c:idx val="0"/>
          <c:order val="0"/>
          <c:explosion val="0"/>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Pt>
            <c:idx val="6"/>
            <c:bubble3D val="0"/>
            <c:explosion val="0"/>
          </c:dPt>
          <c:dPt>
            <c:idx val="7"/>
            <c:bubble3D val="0"/>
            <c:explosion val="0"/>
          </c:dPt>
          <c:dPt>
            <c:idx val="8"/>
            <c:bubble3D val="0"/>
            <c:explosion val="0"/>
          </c:dPt>
          <c:dPt>
            <c:idx val="9"/>
            <c:bubble3D val="0"/>
            <c:explosion val="0"/>
          </c:dPt>
          <c:dPt>
            <c:idx val="10"/>
            <c:bubble3D val="0"/>
            <c:explosion val="0"/>
          </c:dPt>
          <c:dLbls>
            <c:dLbl>
              <c:idx val="1"/>
              <c:layout>
                <c:manualLayout>
                  <c:x val="-0.00350939552948543"/>
                  <c:y val="0.03028536209838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50760176170688"/>
                  <c:y val="0.01637954022321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71332267587491"/>
                  <c:y val="-0.02978805432753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383698402276701"/>
                  <c:y val="-0.0065845967813325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916900856175104"/>
                  <c:y val="0.0004287782794564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'[工作表 在 2020年徐水区漕河镇人民政府部门整体支出绩效评价报告.docx]Sheet1'!$A$2:$A$12</c:f>
              <c:strCache>
                <c:ptCount val="11"/>
                <c:pt idx="0">
                  <c:v>一般公共服务支出</c:v>
                </c:pt>
                <c:pt idx="1">
                  <c:v>公共安全支出</c:v>
                </c:pt>
                <c:pt idx="2">
                  <c:v>交通运输支出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'[工作表 在 2020年徐水区漕河镇人民政府部门整体支出绩效评价报告.docx]Sheet1'!$B$2:$B$12</c:f>
              <c:numCache>
                <c:formatCode>0.00%</c:formatCode>
                <c:ptCount val="11"/>
                <c:pt idx="0">
                  <c:v>0.5495</c:v>
                </c:pt>
                <c:pt idx="1">
                  <c:v>0.0045</c:v>
                </c:pt>
                <c:pt idx="2">
                  <c:v>0.0056</c:v>
                </c:pt>
                <c:pt idx="3">
                  <c:v>0.0074</c:v>
                </c:pt>
                <c:pt idx="4">
                  <c:v>0.1195</c:v>
                </c:pt>
                <c:pt idx="5">
                  <c:v>0.023</c:v>
                </c:pt>
                <c:pt idx="6">
                  <c:v>0.0174</c:v>
                </c:pt>
                <c:pt idx="7">
                  <c:v>0.0373</c:v>
                </c:pt>
                <c:pt idx="8">
                  <c:v>0.1964</c:v>
                </c:pt>
                <c:pt idx="9">
                  <c:v>0.0384</c:v>
                </c:pt>
                <c:pt idx="10">
                  <c:v>0.0011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55bf758-5a12-466b-b074-d30fc769bdfa}"/>
      </c:ext>
    </c:extLst>
  </c:chart>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2021</a:t>
            </a:r>
            <a:r>
              <a:rPr altLang="en-US"/>
              <a:t>年度预算支出与决算支出对比图</a:t>
            </a:r>
            <a:endParaRPr altLang="en-US"/>
          </a:p>
        </c:rich>
      </c:tx>
      <c:layout/>
      <c:overlay val="0"/>
    </c:title>
    <c:autoTitleDeleted val="0"/>
    <c:plotArea>
      <c:layout/>
      <c:barChart>
        <c:barDir val="col"/>
        <c:grouping val="clustered"/>
        <c:varyColors val="0"/>
        <c:ser>
          <c:idx val="0"/>
          <c:order val="0"/>
          <c:tx>
            <c:strRef>
              <c:f>'[工作表 在 2020年徐水区漕河镇人民政府部门整体支出绩效评价报告.docx]Sheet1'!$B$42</c:f>
              <c:strCache>
                <c:ptCount val="1"/>
                <c:pt idx="0">
                  <c:v>预算收入(万元)</c:v>
                </c:pt>
              </c:strCache>
            </c:strRef>
          </c:tx>
          <c:invertIfNegative val="0"/>
          <c:dLbls>
            <c:dLbl>
              <c:idx val="2"/>
              <c:layout>
                <c:manualLayout>
                  <c:x val="0.00180592342884662"/>
                  <c:y val="-0.03107960741548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902961714423308"/>
                  <c:y val="-0.024536532170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'[工作表 在 2020年徐水区漕河镇人民政府部门整体支出绩效评价报告.docx]Sheet1'!$A$43:$A$53</c:f>
              <c:strCache>
                <c:ptCount val="11"/>
                <c:pt idx="0">
                  <c:v>一般公共服务支出</c:v>
                </c:pt>
                <c:pt idx="1">
                  <c:v>公共安全支出</c:v>
                </c:pt>
                <c:pt idx="2">
                  <c:v>交通运输支出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'[工作表 在 2020年徐水区漕河镇人民政府部门整体支出绩效评价报告.docx]Sheet1'!$B$43:$B$53</c:f>
              <c:numCache>
                <c:formatCode>General</c:formatCode>
                <c:ptCount val="11"/>
                <c:pt idx="0">
                  <c:v>1126.37</c:v>
                </c:pt>
                <c:pt idx="1">
                  <c:v>8.55</c:v>
                </c:pt>
                <c:pt idx="2">
                  <c:v>12.42</c:v>
                </c:pt>
                <c:pt idx="3">
                  <c:v>1.5</c:v>
                </c:pt>
                <c:pt idx="4">
                  <c:v>171.41</c:v>
                </c:pt>
                <c:pt idx="5">
                  <c:v>45.73</c:v>
                </c:pt>
                <c:pt idx="6">
                  <c:v>4</c:v>
                </c:pt>
                <c:pt idx="7">
                  <c:v>0</c:v>
                </c:pt>
                <c:pt idx="8">
                  <c:v>229.44</c:v>
                </c:pt>
                <c:pt idx="9">
                  <c:v>65.14</c:v>
                </c:pt>
                <c:pt idx="10">
                  <c:v>2.08</c:v>
                </c:pt>
              </c:numCache>
            </c:numRef>
          </c:val>
        </c:ser>
        <c:ser>
          <c:idx val="1"/>
          <c:order val="1"/>
          <c:tx>
            <c:strRef>
              <c:f>'[工作表 在 2020年徐水区漕河镇人民政府部门整体支出绩效评价报告.docx]Sheet1'!$C$42</c:f>
              <c:strCache>
                <c:ptCount val="1"/>
                <c:pt idx="0">
                  <c:v>决算收入（万元）</c:v>
                </c:pt>
              </c:strCache>
            </c:strRef>
          </c:tx>
          <c:invertIfNegative val="0"/>
          <c:dLbls>
            <c:dLbl>
              <c:idx val="1"/>
              <c:layout>
                <c:manualLayout>
                  <c:x val="-0.0126414640019263"/>
                  <c:y val="-0.03435114503816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44473874307729"/>
                  <c:y val="0.001635768811341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80592342884662"/>
                  <c:y val="0.004907306434023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2780806979280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0.02617230098146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722369371538647"/>
                  <c:y val="-0.03271537622682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'[工作表 在 2020年徐水区漕河镇人民政府部门整体支出绩效评价报告.docx]Sheet1'!$A$43:$A$53</c:f>
              <c:strCache>
                <c:ptCount val="11"/>
                <c:pt idx="0">
                  <c:v>一般公共服务支出</c:v>
                </c:pt>
                <c:pt idx="1">
                  <c:v>公共安全支出</c:v>
                </c:pt>
                <c:pt idx="2">
                  <c:v>交通运输支出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'[工作表 在 2020年徐水区漕河镇人民政府部门整体支出绩效评价报告.docx]Sheet1'!$C$43:$C$53</c:f>
              <c:numCache>
                <c:formatCode>General</c:formatCode>
                <c:ptCount val="11"/>
                <c:pt idx="0">
                  <c:v>1053.04</c:v>
                </c:pt>
                <c:pt idx="1">
                  <c:v>8.54</c:v>
                </c:pt>
                <c:pt idx="2">
                  <c:v>10.76</c:v>
                </c:pt>
                <c:pt idx="3">
                  <c:v>14.16</c:v>
                </c:pt>
                <c:pt idx="4">
                  <c:v>228.92</c:v>
                </c:pt>
                <c:pt idx="5">
                  <c:v>44.08</c:v>
                </c:pt>
                <c:pt idx="6">
                  <c:v>33.25</c:v>
                </c:pt>
                <c:pt idx="7">
                  <c:v>71.52</c:v>
                </c:pt>
                <c:pt idx="8">
                  <c:v>376.44</c:v>
                </c:pt>
                <c:pt idx="9">
                  <c:v>73.49</c:v>
                </c:pt>
                <c:pt idx="10">
                  <c:v>2.08</c:v>
                </c:pt>
              </c:numCache>
            </c:numRef>
          </c:val>
        </c:ser>
        <c:dLbls>
          <c:showLegendKey val="0"/>
          <c:showVal val="0"/>
          <c:showCatName val="0"/>
          <c:showSerName val="0"/>
          <c:showPercent val="0"/>
          <c:showBubbleSize val="0"/>
        </c:dLbls>
        <c:gapWidth val="150"/>
        <c:overlap val="0"/>
        <c:axId val="883408741"/>
        <c:axId val="563380177"/>
      </c:barChart>
      <c:catAx>
        <c:axId val="883408741"/>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3380177"/>
        <c:crosses val="autoZero"/>
        <c:auto val="1"/>
        <c:lblAlgn val="ctr"/>
        <c:lblOffset val="100"/>
        <c:noMultiLvlLbl val="0"/>
      </c:catAx>
      <c:valAx>
        <c:axId val="563380177"/>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83408741"/>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2215c13-aad6-41bf-8bc9-412036c7faae}"/>
      </c:ext>
    </c:extLst>
  </c:chart>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5950</Words>
  <Characters>6573</Characters>
  <Lines>102</Lines>
  <Paragraphs>28</Paragraphs>
  <TotalTime>28</TotalTime>
  <ScaleCrop>false</ScaleCrop>
  <LinksUpToDate>false</LinksUpToDate>
  <CharactersWithSpaces>6745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Freedom</cp:lastModifiedBy>
  <cp:lastPrinted>2022-11-20T06:38:00Z</cp:lastPrinted>
  <dcterms:modified xsi:type="dcterms:W3CDTF">2025-04-14T07:07:37Z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C5A17C3D5823465D911907C6FF95297A_13</vt:lpwstr>
  </property>
  <property fmtid="{D5CDD505-2E9C-101B-9397-08002B2CF9AE}" pid="4" name="KSOTemplateDocerSaveRecord">
    <vt:lpwstr>eyJoZGlkIjoiNjdlMGY4ZWE2Y2FiM2UyNGIyZDk2OWY3MzNiNzU4Y2EiLCJ1c2VySWQiOiI0OTM1ODUzODkifQ==</vt:lpwstr>
  </property>
</Properties>
</file>