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C01169">
      <w:pPr>
        <w:spacing w:line="360" w:lineRule="auto"/>
        <w:jc w:val="center"/>
        <w:rPr>
          <w:rFonts w:ascii="宋体" w:hAnsi="宋体" w:eastAsia="宋体"/>
          <w:b/>
          <w:sz w:val="44"/>
          <w:szCs w:val="44"/>
        </w:rPr>
      </w:pPr>
      <w:r>
        <w:rPr>
          <w:rFonts w:hint="eastAsia" w:ascii="宋体" w:hAnsi="宋体" w:eastAsia="宋体"/>
          <w:b/>
          <w:sz w:val="44"/>
          <w:szCs w:val="44"/>
        </w:rPr>
        <w:t>保定市徐水区政法委</w:t>
      </w:r>
    </w:p>
    <w:p w14:paraId="46CB9A0B">
      <w:pPr>
        <w:spacing w:line="360" w:lineRule="auto"/>
        <w:jc w:val="center"/>
        <w:rPr>
          <w:rFonts w:ascii="宋体" w:hAnsi="宋体" w:eastAsia="宋体"/>
          <w:b/>
          <w:sz w:val="44"/>
          <w:szCs w:val="44"/>
        </w:rPr>
      </w:pPr>
      <w:r>
        <w:rPr>
          <w:rFonts w:ascii="宋体" w:hAnsi="宋体" w:eastAsia="宋体"/>
          <w:b/>
          <w:sz w:val="44"/>
          <w:szCs w:val="44"/>
        </w:rPr>
        <w:t>2022年</w:t>
      </w:r>
      <w:r>
        <w:rPr>
          <w:rFonts w:hint="eastAsia" w:ascii="宋体" w:hAnsi="宋体" w:eastAsia="宋体"/>
          <w:b/>
          <w:sz w:val="44"/>
          <w:szCs w:val="44"/>
          <w:lang w:eastAsia="zh-CN"/>
        </w:rPr>
        <w:t>部门</w:t>
      </w:r>
      <w:r>
        <w:rPr>
          <w:rFonts w:ascii="宋体" w:hAnsi="宋体" w:eastAsia="宋体"/>
          <w:b/>
          <w:sz w:val="44"/>
          <w:szCs w:val="44"/>
        </w:rPr>
        <w:t>预算公开说明</w:t>
      </w:r>
    </w:p>
    <w:p w14:paraId="5A62D866">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14:paraId="4AD440E6">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eastAsia="zh-CN"/>
        </w:rPr>
        <w:t>中华人民共和国预算法</w:t>
      </w:r>
      <w:r>
        <w:rPr>
          <w:rFonts w:hint="eastAsia" w:ascii="仿宋" w:hAnsi="仿宋" w:eastAsia="仿宋"/>
          <w:sz w:val="32"/>
          <w:szCs w:val="32"/>
        </w:rPr>
        <w:t>》、《地方预决算公开操作规程》等文件规定，现将我</w:t>
      </w:r>
      <w:r>
        <w:rPr>
          <w:rFonts w:hint="eastAsia" w:ascii="仿宋" w:hAnsi="仿宋" w:eastAsia="仿宋"/>
          <w:sz w:val="32"/>
          <w:szCs w:val="32"/>
          <w:lang w:eastAsia="zh-CN"/>
        </w:rPr>
        <w:t>部门</w:t>
      </w:r>
      <w:r>
        <w:rPr>
          <w:rFonts w:hint="eastAsia" w:ascii="仿宋" w:hAnsi="仿宋" w:eastAsia="仿宋"/>
          <w:sz w:val="32"/>
          <w:szCs w:val="32"/>
        </w:rPr>
        <w:t>预算信息公开如下：</w:t>
      </w:r>
    </w:p>
    <w:p w14:paraId="76D3CE1F">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w:t>
      </w:r>
      <w:r>
        <w:rPr>
          <w:rFonts w:hint="eastAsia" w:ascii="方正小标宋_GBK" w:eastAsia="方正小标宋_GBK"/>
          <w:sz w:val="44"/>
          <w:lang w:eastAsia="zh-CN"/>
        </w:rPr>
        <w:t>部门</w:t>
      </w:r>
      <w:r>
        <w:rPr>
          <w:rFonts w:ascii="方正小标宋_GBK" w:eastAsia="方正小标宋_GBK"/>
          <w:sz w:val="44"/>
        </w:rPr>
        <w:t>职责及机构设置情况</w:t>
      </w:r>
    </w:p>
    <w:p w14:paraId="6058D77E">
      <w:pPr>
        <w:spacing w:line="360" w:lineRule="auto"/>
        <w:ind w:firstLine="643" w:firstLineChars="200"/>
        <w:rPr>
          <w:rFonts w:ascii="仿宋" w:hAnsi="仿宋" w:eastAsia="仿宋"/>
          <w:b/>
          <w:sz w:val="32"/>
          <w:szCs w:val="32"/>
        </w:rPr>
      </w:pPr>
      <w:r>
        <w:rPr>
          <w:rFonts w:hint="eastAsia" w:ascii="仿宋" w:hAnsi="仿宋" w:eastAsia="仿宋"/>
          <w:b/>
          <w:sz w:val="32"/>
          <w:szCs w:val="32"/>
        </w:rPr>
        <w:t>一、</w:t>
      </w:r>
      <w:r>
        <w:rPr>
          <w:rFonts w:hint="eastAsia" w:ascii="仿宋" w:hAnsi="仿宋" w:eastAsia="仿宋"/>
          <w:b/>
          <w:sz w:val="32"/>
          <w:szCs w:val="32"/>
          <w:lang w:eastAsia="zh-CN"/>
        </w:rPr>
        <w:t>部门</w:t>
      </w:r>
      <w:r>
        <w:rPr>
          <w:rFonts w:hint="eastAsia" w:ascii="仿宋" w:hAnsi="仿宋" w:eastAsia="仿宋"/>
          <w:b/>
          <w:sz w:val="32"/>
          <w:szCs w:val="32"/>
        </w:rPr>
        <w:t>职责</w:t>
      </w:r>
    </w:p>
    <w:p w14:paraId="4F66E2FF">
      <w:pPr>
        <w:widowControl/>
        <w:spacing w:line="560" w:lineRule="atLeast"/>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主要职责是：</w:t>
      </w:r>
    </w:p>
    <w:p w14:paraId="22D2579C">
      <w:pPr>
        <w:widowControl/>
        <w:spacing w:line="560" w:lineRule="atLeast"/>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（一）深入贯彻习近平新时代中国特色社会主义思想，坚持党对政法工作的绝对领导，坚决执行党的路线方针政策和党中央重大决策部署，推动完善和落实政治轮训和政治督察制度。</w:t>
      </w:r>
    </w:p>
    <w:p w14:paraId="41244A17">
      <w:pPr>
        <w:widowControl/>
        <w:spacing w:line="560" w:lineRule="atLeast"/>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（二）贯彻党中央以及上级党组织决定，研究协调政法</w:t>
      </w:r>
      <w:r>
        <w:rPr>
          <w:rFonts w:hint="eastAsia" w:ascii="仿宋" w:hAnsi="仿宋" w:eastAsia="仿宋" w:cs="宋体"/>
          <w:color w:val="000000"/>
          <w:kern w:val="0"/>
          <w:sz w:val="32"/>
          <w:szCs w:val="32"/>
          <w:lang w:eastAsia="zh-CN"/>
        </w:rPr>
        <w:t>部门</w:t>
      </w:r>
      <w:r>
        <w:rPr>
          <w:rFonts w:hint="eastAsia" w:ascii="仿宋" w:hAnsi="仿宋" w:eastAsia="仿宋" w:cs="宋体"/>
          <w:color w:val="000000"/>
          <w:kern w:val="0"/>
          <w:sz w:val="32"/>
          <w:szCs w:val="32"/>
        </w:rPr>
        <w:t>之间、政法</w:t>
      </w:r>
      <w:r>
        <w:rPr>
          <w:rFonts w:hint="eastAsia" w:ascii="仿宋" w:hAnsi="仿宋" w:eastAsia="仿宋" w:cs="宋体"/>
          <w:color w:val="000000"/>
          <w:kern w:val="0"/>
          <w:sz w:val="32"/>
          <w:szCs w:val="32"/>
          <w:lang w:eastAsia="zh-CN"/>
        </w:rPr>
        <w:t>部门</w:t>
      </w:r>
      <w:r>
        <w:rPr>
          <w:rFonts w:hint="eastAsia" w:ascii="仿宋" w:hAnsi="仿宋" w:eastAsia="仿宋" w:cs="宋体"/>
          <w:color w:val="000000"/>
          <w:kern w:val="0"/>
          <w:sz w:val="32"/>
          <w:szCs w:val="32"/>
        </w:rPr>
        <w:t>和有关</w:t>
      </w:r>
      <w:r>
        <w:rPr>
          <w:rFonts w:hint="eastAsia" w:ascii="仿宋" w:hAnsi="仿宋" w:eastAsia="仿宋" w:cs="宋体"/>
          <w:color w:val="000000"/>
          <w:kern w:val="0"/>
          <w:sz w:val="32"/>
          <w:szCs w:val="32"/>
          <w:lang w:eastAsia="zh-CN"/>
        </w:rPr>
        <w:t>部门</w:t>
      </w:r>
      <w:r>
        <w:rPr>
          <w:rFonts w:hint="eastAsia" w:ascii="仿宋" w:hAnsi="仿宋" w:eastAsia="仿宋" w:cs="宋体"/>
          <w:color w:val="000000"/>
          <w:kern w:val="0"/>
          <w:sz w:val="32"/>
          <w:szCs w:val="32"/>
        </w:rPr>
        <w:t>之间有关重大事项，统一政法</w:t>
      </w:r>
      <w:r>
        <w:rPr>
          <w:rFonts w:hint="eastAsia" w:ascii="仿宋" w:hAnsi="仿宋" w:eastAsia="仿宋" w:cs="宋体"/>
          <w:color w:val="000000"/>
          <w:kern w:val="0"/>
          <w:sz w:val="32"/>
          <w:szCs w:val="32"/>
          <w:lang w:eastAsia="zh-CN"/>
        </w:rPr>
        <w:t>部门</w:t>
      </w:r>
      <w:r>
        <w:rPr>
          <w:rFonts w:hint="eastAsia" w:ascii="仿宋" w:hAnsi="仿宋" w:eastAsia="仿宋" w:cs="宋体"/>
          <w:color w:val="000000"/>
          <w:kern w:val="0"/>
          <w:sz w:val="32"/>
          <w:szCs w:val="32"/>
        </w:rPr>
        <w:t>思想和行动。</w:t>
      </w:r>
    </w:p>
    <w:p w14:paraId="602228C1">
      <w:pPr>
        <w:widowControl/>
        <w:spacing w:line="560" w:lineRule="atLeast"/>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（三）加强对政法领域重大实践和理论问题调查研究，提出重大决策部署和改革措施的意见和建议，协助区委决策和统筹推进政法改革等各项工作。</w:t>
      </w:r>
    </w:p>
    <w:p w14:paraId="6A7CEB84">
      <w:pPr>
        <w:widowControl/>
        <w:spacing w:line="560" w:lineRule="atLeast"/>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（四）了解掌握和分析研判社会稳定形势、政法工作情况动态，创新完善多</w:t>
      </w:r>
      <w:r>
        <w:rPr>
          <w:rFonts w:hint="eastAsia" w:ascii="仿宋" w:hAnsi="仿宋" w:eastAsia="仿宋" w:cs="宋体"/>
          <w:color w:val="000000"/>
          <w:kern w:val="0"/>
          <w:sz w:val="32"/>
          <w:szCs w:val="32"/>
          <w:lang w:eastAsia="zh-CN"/>
        </w:rPr>
        <w:t>部门</w:t>
      </w:r>
      <w:r>
        <w:rPr>
          <w:rFonts w:hint="eastAsia" w:ascii="仿宋" w:hAnsi="仿宋" w:eastAsia="仿宋" w:cs="宋体"/>
          <w:color w:val="000000"/>
          <w:kern w:val="0"/>
          <w:sz w:val="32"/>
          <w:szCs w:val="32"/>
        </w:rPr>
        <w:t>参与的平安建设工作协调机制，协调推动预防、化解影响稳定的社会矛盾和风险，协调应对和妥善处置重大突发事件，协调指导政法</w:t>
      </w:r>
      <w:r>
        <w:rPr>
          <w:rFonts w:hint="eastAsia" w:ascii="仿宋" w:hAnsi="仿宋" w:eastAsia="仿宋" w:cs="宋体"/>
          <w:color w:val="000000"/>
          <w:kern w:val="0"/>
          <w:sz w:val="32"/>
          <w:szCs w:val="32"/>
          <w:lang w:eastAsia="zh-CN"/>
        </w:rPr>
        <w:t>部门</w:t>
      </w:r>
      <w:r>
        <w:rPr>
          <w:rFonts w:hint="eastAsia" w:ascii="仿宋" w:hAnsi="仿宋" w:eastAsia="仿宋" w:cs="宋体"/>
          <w:color w:val="000000"/>
          <w:kern w:val="0"/>
          <w:sz w:val="32"/>
          <w:szCs w:val="32"/>
        </w:rPr>
        <w:t>和相关</w:t>
      </w:r>
      <w:r>
        <w:rPr>
          <w:rFonts w:hint="eastAsia" w:ascii="仿宋" w:hAnsi="仿宋" w:eastAsia="仿宋" w:cs="宋体"/>
          <w:color w:val="000000"/>
          <w:kern w:val="0"/>
          <w:sz w:val="32"/>
          <w:szCs w:val="32"/>
          <w:lang w:eastAsia="zh-CN"/>
        </w:rPr>
        <w:t>部门</w:t>
      </w:r>
      <w:r>
        <w:rPr>
          <w:rFonts w:hint="eastAsia" w:ascii="仿宋" w:hAnsi="仿宋" w:eastAsia="仿宋" w:cs="宋体"/>
          <w:color w:val="000000"/>
          <w:kern w:val="0"/>
          <w:sz w:val="32"/>
          <w:szCs w:val="32"/>
        </w:rPr>
        <w:t>做好反邪教工作。</w:t>
      </w:r>
    </w:p>
    <w:p w14:paraId="364DF49B">
      <w:pPr>
        <w:widowControl/>
        <w:spacing w:line="560" w:lineRule="atLeast"/>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（五）加强对政法工作的督查，统筹协调社会治安综合治理、维护社会稳定等有关国家法律法规和政策的实施工作。</w:t>
      </w:r>
    </w:p>
    <w:p w14:paraId="57F3722F">
      <w:pPr>
        <w:widowControl/>
        <w:spacing w:line="560" w:lineRule="atLeast"/>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（六）支持和监督政法</w:t>
      </w:r>
      <w:r>
        <w:rPr>
          <w:rFonts w:hint="eastAsia" w:ascii="仿宋" w:hAnsi="仿宋" w:eastAsia="仿宋" w:cs="宋体"/>
          <w:color w:val="000000"/>
          <w:kern w:val="0"/>
          <w:sz w:val="32"/>
          <w:szCs w:val="32"/>
          <w:lang w:eastAsia="zh-CN"/>
        </w:rPr>
        <w:t>部门</w:t>
      </w:r>
      <w:r>
        <w:rPr>
          <w:rFonts w:hint="eastAsia" w:ascii="仿宋" w:hAnsi="仿宋" w:eastAsia="仿宋" w:cs="宋体"/>
          <w:color w:val="000000"/>
          <w:kern w:val="0"/>
          <w:sz w:val="32"/>
          <w:szCs w:val="32"/>
        </w:rPr>
        <w:t>依法行使职权，检查政法</w:t>
      </w:r>
      <w:r>
        <w:rPr>
          <w:rFonts w:hint="eastAsia" w:ascii="仿宋" w:hAnsi="仿宋" w:eastAsia="仿宋" w:cs="宋体"/>
          <w:color w:val="000000"/>
          <w:kern w:val="0"/>
          <w:sz w:val="32"/>
          <w:szCs w:val="32"/>
          <w:lang w:eastAsia="zh-CN"/>
        </w:rPr>
        <w:t>部门</w:t>
      </w:r>
      <w:r>
        <w:rPr>
          <w:rFonts w:hint="eastAsia" w:ascii="仿宋" w:hAnsi="仿宋" w:eastAsia="仿宋" w:cs="宋体"/>
          <w:color w:val="000000"/>
          <w:kern w:val="0"/>
          <w:sz w:val="32"/>
          <w:szCs w:val="32"/>
        </w:rPr>
        <w:t>执行党的路线方针政策、党中央重大决策部署和国家法律法规的情况，指导和协调政法</w:t>
      </w:r>
      <w:r>
        <w:rPr>
          <w:rFonts w:hint="eastAsia" w:ascii="仿宋" w:hAnsi="仿宋" w:eastAsia="仿宋" w:cs="宋体"/>
          <w:color w:val="000000"/>
          <w:kern w:val="0"/>
          <w:sz w:val="32"/>
          <w:szCs w:val="32"/>
          <w:lang w:eastAsia="zh-CN"/>
        </w:rPr>
        <w:t>部门</w:t>
      </w:r>
      <w:r>
        <w:rPr>
          <w:rFonts w:hint="eastAsia" w:ascii="仿宋" w:hAnsi="仿宋" w:eastAsia="仿宋" w:cs="宋体"/>
          <w:color w:val="000000"/>
          <w:kern w:val="0"/>
          <w:sz w:val="32"/>
          <w:szCs w:val="32"/>
        </w:rPr>
        <w:t>密切配合，完善与纪检监察机关工作衔接和协作配合机制，推进严格执法、公正司法。</w:t>
      </w:r>
    </w:p>
    <w:p w14:paraId="0D5E1873">
      <w:pPr>
        <w:widowControl/>
        <w:spacing w:line="560" w:lineRule="atLeast"/>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（七）指导和推动政法</w:t>
      </w:r>
      <w:r>
        <w:rPr>
          <w:rFonts w:hint="eastAsia" w:ascii="仿宋" w:hAnsi="仿宋" w:eastAsia="仿宋" w:cs="宋体"/>
          <w:color w:val="000000"/>
          <w:kern w:val="0"/>
          <w:sz w:val="32"/>
          <w:szCs w:val="32"/>
          <w:lang w:eastAsia="zh-CN"/>
        </w:rPr>
        <w:t>部门</w:t>
      </w:r>
      <w:r>
        <w:rPr>
          <w:rFonts w:hint="eastAsia" w:ascii="仿宋" w:hAnsi="仿宋" w:eastAsia="仿宋" w:cs="宋体"/>
          <w:color w:val="000000"/>
          <w:kern w:val="0"/>
          <w:sz w:val="32"/>
          <w:szCs w:val="32"/>
        </w:rPr>
        <w:t>党的建设和政法队伍建设，协助区委及其组织</w:t>
      </w:r>
      <w:r>
        <w:rPr>
          <w:rFonts w:hint="eastAsia" w:ascii="仿宋" w:hAnsi="仿宋" w:eastAsia="仿宋" w:cs="宋体"/>
          <w:color w:val="000000"/>
          <w:kern w:val="0"/>
          <w:sz w:val="32"/>
          <w:szCs w:val="32"/>
          <w:lang w:eastAsia="zh-CN"/>
        </w:rPr>
        <w:t>部门</w:t>
      </w:r>
      <w:r>
        <w:rPr>
          <w:rFonts w:hint="eastAsia" w:ascii="仿宋" w:hAnsi="仿宋" w:eastAsia="仿宋" w:cs="宋体"/>
          <w:color w:val="000000"/>
          <w:kern w:val="0"/>
          <w:sz w:val="32"/>
          <w:szCs w:val="32"/>
        </w:rPr>
        <w:t>加强政法</w:t>
      </w:r>
      <w:r>
        <w:rPr>
          <w:rFonts w:hint="eastAsia" w:ascii="仿宋" w:hAnsi="仿宋" w:eastAsia="仿宋" w:cs="宋体"/>
          <w:color w:val="000000"/>
          <w:kern w:val="0"/>
          <w:sz w:val="32"/>
          <w:szCs w:val="32"/>
          <w:lang w:eastAsia="zh-CN"/>
        </w:rPr>
        <w:t>部门</w:t>
      </w:r>
      <w:r>
        <w:rPr>
          <w:rFonts w:hint="eastAsia" w:ascii="仿宋" w:hAnsi="仿宋" w:eastAsia="仿宋" w:cs="宋体"/>
          <w:color w:val="000000"/>
          <w:kern w:val="0"/>
          <w:sz w:val="32"/>
          <w:szCs w:val="32"/>
        </w:rPr>
        <w:t>领导班子和干部队伍建设，协助区委和纪检监察机关做好监督检查、审查调查工作，派员列席同级政法</w:t>
      </w:r>
      <w:r>
        <w:rPr>
          <w:rFonts w:hint="eastAsia" w:ascii="仿宋" w:hAnsi="仿宋" w:eastAsia="仿宋" w:cs="宋体"/>
          <w:color w:val="000000"/>
          <w:kern w:val="0"/>
          <w:sz w:val="32"/>
          <w:szCs w:val="32"/>
          <w:lang w:eastAsia="zh-CN"/>
        </w:rPr>
        <w:t>部门</w:t>
      </w:r>
      <w:r>
        <w:rPr>
          <w:rFonts w:hint="eastAsia" w:ascii="仿宋" w:hAnsi="仿宋" w:eastAsia="仿宋" w:cs="宋体"/>
          <w:color w:val="000000"/>
          <w:kern w:val="0"/>
          <w:sz w:val="32"/>
          <w:szCs w:val="32"/>
        </w:rPr>
        <w:t>党组（党委）民主生活会。</w:t>
      </w:r>
    </w:p>
    <w:p w14:paraId="6B899647">
      <w:pPr>
        <w:widowControl/>
        <w:spacing w:line="560" w:lineRule="atLeast"/>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（八）落实中央和地方各级全面依法治国领导机构的决策部署，支持配合其办事机构工作；指导政法</w:t>
      </w:r>
      <w:r>
        <w:rPr>
          <w:rFonts w:hint="eastAsia" w:ascii="仿宋" w:hAnsi="仿宋" w:eastAsia="仿宋" w:cs="宋体"/>
          <w:color w:val="000000"/>
          <w:kern w:val="0"/>
          <w:sz w:val="32"/>
          <w:szCs w:val="32"/>
          <w:lang w:eastAsia="zh-CN"/>
        </w:rPr>
        <w:t>部门</w:t>
      </w:r>
      <w:r>
        <w:rPr>
          <w:rFonts w:hint="eastAsia" w:ascii="仿宋" w:hAnsi="仿宋" w:eastAsia="仿宋" w:cs="宋体"/>
          <w:color w:val="000000"/>
          <w:kern w:val="0"/>
          <w:sz w:val="32"/>
          <w:szCs w:val="32"/>
        </w:rPr>
        <w:t>加强国家政治安全战略研究、法治中国建设重大问题研究，提出建议和工作意见，指导和协调政法</w:t>
      </w:r>
      <w:r>
        <w:rPr>
          <w:rFonts w:hint="eastAsia" w:ascii="仿宋" w:hAnsi="仿宋" w:eastAsia="仿宋" w:cs="宋体"/>
          <w:color w:val="000000"/>
          <w:kern w:val="0"/>
          <w:sz w:val="32"/>
          <w:szCs w:val="32"/>
          <w:lang w:eastAsia="zh-CN"/>
        </w:rPr>
        <w:t>部门</w:t>
      </w:r>
      <w:r>
        <w:rPr>
          <w:rFonts w:hint="eastAsia" w:ascii="仿宋" w:hAnsi="仿宋" w:eastAsia="仿宋" w:cs="宋体"/>
          <w:color w:val="000000"/>
          <w:kern w:val="0"/>
          <w:sz w:val="32"/>
          <w:szCs w:val="32"/>
        </w:rPr>
        <w:t>维护政治安全工作和执法司法相关工作。</w:t>
      </w:r>
    </w:p>
    <w:p w14:paraId="07E2D830">
      <w:pPr>
        <w:widowControl/>
        <w:spacing w:line="560" w:lineRule="atLeast"/>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（九）掌握分析政法舆情动态，指导和协调政法</w:t>
      </w:r>
      <w:r>
        <w:rPr>
          <w:rFonts w:hint="eastAsia" w:ascii="仿宋" w:hAnsi="仿宋" w:eastAsia="仿宋" w:cs="宋体"/>
          <w:color w:val="000000"/>
          <w:kern w:val="0"/>
          <w:sz w:val="32"/>
          <w:szCs w:val="32"/>
          <w:lang w:eastAsia="zh-CN"/>
        </w:rPr>
        <w:t>部门</w:t>
      </w:r>
      <w:r>
        <w:rPr>
          <w:rFonts w:hint="eastAsia" w:ascii="仿宋" w:hAnsi="仿宋" w:eastAsia="仿宋" w:cs="宋体"/>
          <w:color w:val="000000"/>
          <w:kern w:val="0"/>
          <w:sz w:val="32"/>
          <w:szCs w:val="32"/>
        </w:rPr>
        <w:t>和有关</w:t>
      </w:r>
      <w:r>
        <w:rPr>
          <w:rFonts w:hint="eastAsia" w:ascii="仿宋" w:hAnsi="仿宋" w:eastAsia="仿宋" w:cs="宋体"/>
          <w:color w:val="000000"/>
          <w:kern w:val="0"/>
          <w:sz w:val="32"/>
          <w:szCs w:val="32"/>
          <w:lang w:eastAsia="zh-CN"/>
        </w:rPr>
        <w:t>部门</w:t>
      </w:r>
      <w:r>
        <w:rPr>
          <w:rFonts w:hint="eastAsia" w:ascii="仿宋" w:hAnsi="仿宋" w:eastAsia="仿宋" w:cs="宋体"/>
          <w:color w:val="000000"/>
          <w:kern w:val="0"/>
          <w:sz w:val="32"/>
          <w:szCs w:val="32"/>
        </w:rPr>
        <w:t>做好依法办理、宣传报道和舆论引导等相关工作。</w:t>
      </w:r>
    </w:p>
    <w:p w14:paraId="0FCEB2D4">
      <w:pPr>
        <w:widowControl/>
        <w:spacing w:line="560" w:lineRule="atLeast"/>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（十）组织研究政法改革中带有方向性、倾向性和普遍性的重大问题，深化政法改革，联系区委全面依法治区委员会办公室。</w:t>
      </w:r>
    </w:p>
    <w:p w14:paraId="087B55A3">
      <w:pPr>
        <w:widowControl/>
        <w:spacing w:line="560" w:lineRule="atLeast"/>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（十一）统筹推动全区政法系统信息化工作，指导政法智能化建设。</w:t>
      </w:r>
    </w:p>
    <w:p w14:paraId="77AFFB8F">
      <w:pPr>
        <w:widowControl/>
        <w:spacing w:line="560" w:lineRule="atLeast"/>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（十二）完成区委和上级党委政法委员会交办的其他任务。</w:t>
      </w:r>
      <w:r>
        <w:rPr>
          <w:rFonts w:ascii="Calibri" w:hAnsi="Calibri" w:eastAsia="仿宋" w:cs="Calibri"/>
          <w:color w:val="000000"/>
          <w:kern w:val="0"/>
          <w:sz w:val="32"/>
          <w:szCs w:val="32"/>
        </w:rPr>
        <w:t>  </w:t>
      </w:r>
    </w:p>
    <w:p w14:paraId="6DCD84E4">
      <w:pPr>
        <w:spacing w:line="360" w:lineRule="auto"/>
        <w:ind w:firstLine="640" w:firstLineChars="200"/>
        <w:rPr>
          <w:rFonts w:ascii="仿宋" w:hAnsi="仿宋" w:eastAsia="仿宋"/>
          <w:sz w:val="32"/>
          <w:szCs w:val="32"/>
        </w:rPr>
      </w:pPr>
    </w:p>
    <w:p w14:paraId="02A855B2">
      <w:pPr>
        <w:spacing w:line="360" w:lineRule="auto"/>
        <w:ind w:firstLine="643" w:firstLineChars="200"/>
        <w:rPr>
          <w:rFonts w:ascii="仿宋" w:hAnsi="仿宋" w:eastAsia="仿宋"/>
          <w:b/>
          <w:sz w:val="32"/>
          <w:szCs w:val="32"/>
        </w:rPr>
      </w:pPr>
    </w:p>
    <w:p w14:paraId="59CD7086">
      <w:pPr>
        <w:spacing w:line="360" w:lineRule="auto"/>
        <w:ind w:firstLine="643" w:firstLineChars="200"/>
        <w:rPr>
          <w:rFonts w:ascii="仿宋" w:hAnsi="仿宋" w:eastAsia="仿宋"/>
          <w:b/>
          <w:sz w:val="32"/>
          <w:szCs w:val="32"/>
        </w:rPr>
      </w:pPr>
    </w:p>
    <w:p w14:paraId="0362D372">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14:paraId="7537D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14:paraId="674163A8">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14:paraId="3F1BD8EF">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lang w:eastAsia="zh-CN"/>
              </w:rPr>
              <w:t>部门</w:t>
            </w:r>
            <w:r>
              <w:rPr>
                <w:rFonts w:hint="eastAsia" w:ascii="仿宋_GB2312" w:hAnsi="仿宋" w:eastAsia="仿宋_GB2312" w:cs="宋体"/>
                <w:kern w:val="0"/>
                <w:sz w:val="24"/>
                <w:szCs w:val="24"/>
              </w:rPr>
              <w:t>名称</w:t>
            </w:r>
          </w:p>
        </w:tc>
        <w:tc>
          <w:tcPr>
            <w:tcW w:w="1701" w:type="dxa"/>
            <w:tcBorders>
              <w:bottom w:val="single" w:color="000000" w:sz="6" w:space="0"/>
            </w:tcBorders>
            <w:vAlign w:val="center"/>
          </w:tcPr>
          <w:p w14:paraId="033FE605">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lang w:eastAsia="zh-CN"/>
              </w:rPr>
              <w:t>部门</w:t>
            </w:r>
            <w:r>
              <w:rPr>
                <w:rFonts w:hint="eastAsia" w:ascii="仿宋_GB2312" w:hAnsi="仿宋" w:eastAsia="仿宋_GB2312" w:cs="宋体"/>
                <w:kern w:val="0"/>
                <w:sz w:val="24"/>
                <w:szCs w:val="24"/>
              </w:rPr>
              <w:t>性质</w:t>
            </w:r>
          </w:p>
        </w:tc>
        <w:tc>
          <w:tcPr>
            <w:tcW w:w="1418" w:type="dxa"/>
            <w:tcBorders>
              <w:bottom w:val="single" w:color="000000" w:sz="6" w:space="0"/>
            </w:tcBorders>
            <w:vAlign w:val="center"/>
          </w:tcPr>
          <w:p w14:paraId="39AB179E">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lang w:eastAsia="zh-CN"/>
              </w:rPr>
              <w:t>部门</w:t>
            </w:r>
            <w:r>
              <w:rPr>
                <w:rFonts w:hint="eastAsia" w:ascii="仿宋_GB2312" w:hAnsi="仿宋" w:eastAsia="仿宋_GB2312" w:cs="宋体"/>
                <w:kern w:val="0"/>
                <w:sz w:val="24"/>
                <w:szCs w:val="24"/>
              </w:rPr>
              <w:t>规格</w:t>
            </w:r>
          </w:p>
        </w:tc>
        <w:tc>
          <w:tcPr>
            <w:tcW w:w="3260" w:type="dxa"/>
            <w:tcBorders>
              <w:bottom w:val="single" w:color="000000" w:sz="6" w:space="0"/>
            </w:tcBorders>
            <w:vAlign w:val="center"/>
          </w:tcPr>
          <w:p w14:paraId="1E7F2D64">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14:paraId="18A2C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14:paraId="515217F6">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14:paraId="53AD2250">
            <w:pPr>
              <w:jc w:val="center"/>
              <w:rPr>
                <w:rFonts w:ascii="仿宋_GB2312" w:hAnsi="仿宋" w:eastAsia="仿宋_GB2312"/>
                <w:bCs/>
                <w:sz w:val="24"/>
                <w:szCs w:val="24"/>
              </w:rPr>
            </w:pPr>
            <w:r>
              <w:rPr>
                <w:rFonts w:hint="eastAsia" w:ascii="仿宋_GB2312" w:hAnsi="仿宋" w:eastAsia="仿宋_GB2312"/>
                <w:bCs/>
                <w:sz w:val="24"/>
                <w:szCs w:val="24"/>
              </w:rPr>
              <w:t>中共</w:t>
            </w:r>
            <w:r>
              <w:rPr>
                <w:rFonts w:ascii="仿宋_GB2312" w:hAnsi="仿宋" w:eastAsia="仿宋_GB2312"/>
                <w:bCs/>
                <w:sz w:val="24"/>
                <w:szCs w:val="24"/>
              </w:rPr>
              <w:t>保定市徐水区委政法委员会</w:t>
            </w:r>
          </w:p>
        </w:tc>
        <w:tc>
          <w:tcPr>
            <w:tcW w:w="1701" w:type="dxa"/>
            <w:vAlign w:val="center"/>
          </w:tcPr>
          <w:p w14:paraId="3F757F19">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14:paraId="65D9875F">
            <w:pPr>
              <w:jc w:val="center"/>
              <w:rPr>
                <w:rFonts w:ascii="仿宋_GB2312" w:hAnsi="仿宋" w:eastAsia="仿宋_GB2312"/>
                <w:bCs/>
                <w:sz w:val="24"/>
                <w:szCs w:val="24"/>
              </w:rPr>
            </w:pPr>
            <w:r>
              <w:rPr>
                <w:rFonts w:hint="eastAsia" w:ascii="仿宋_GB2312" w:hAnsi="仿宋" w:eastAsia="仿宋_GB2312"/>
                <w:bCs/>
                <w:sz w:val="24"/>
                <w:szCs w:val="24"/>
              </w:rPr>
              <w:t>正科</w:t>
            </w:r>
          </w:p>
        </w:tc>
        <w:tc>
          <w:tcPr>
            <w:tcW w:w="3260" w:type="dxa"/>
            <w:vAlign w:val="center"/>
          </w:tcPr>
          <w:p w14:paraId="7E8A814D">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bl>
    <w:p w14:paraId="07C22357">
      <w:pPr>
        <w:spacing w:line="360" w:lineRule="auto"/>
        <w:rPr>
          <w:rFonts w:ascii="仿宋" w:hAnsi="仿宋" w:eastAsia="仿宋"/>
          <w:b/>
          <w:sz w:val="32"/>
          <w:szCs w:val="32"/>
        </w:rPr>
      </w:pPr>
    </w:p>
    <w:p w14:paraId="1B7CF914">
      <w:pPr>
        <w:jc w:val="center"/>
        <w:outlineLvl w:val="0"/>
        <w:rPr>
          <w:rFonts w:ascii="方正小标宋_GBK" w:eastAsia="方正小标宋_GBK"/>
          <w:sz w:val="44"/>
        </w:rPr>
      </w:pPr>
      <w:r>
        <w:rPr>
          <w:rFonts w:hint="eastAsia" w:ascii="方正小标宋_GBK" w:eastAsia="方正小标宋_GBK"/>
          <w:sz w:val="44"/>
        </w:rPr>
        <w:t>第二部分：</w:t>
      </w:r>
      <w:r>
        <w:rPr>
          <w:rFonts w:hint="eastAsia" w:ascii="方正小标宋_GBK" w:eastAsia="方正小标宋_GBK"/>
          <w:sz w:val="44"/>
          <w:lang w:eastAsia="zh-CN"/>
        </w:rPr>
        <w:t>部门</w:t>
      </w:r>
      <w:r>
        <w:rPr>
          <w:rFonts w:hint="eastAsia" w:ascii="方正小标宋_GBK" w:eastAsia="方正小标宋_GBK"/>
          <w:sz w:val="44"/>
        </w:rPr>
        <w:t>预算安排的总体情况</w:t>
      </w:r>
      <w:r>
        <w:rPr>
          <w:rFonts w:ascii="方正小标宋_GBK" w:eastAsia="方正小标宋_GBK"/>
          <w:sz w:val="44"/>
        </w:rPr>
        <w:t xml:space="preserve"> </w:t>
      </w:r>
    </w:p>
    <w:p w14:paraId="78EDECA3">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w:t>
      </w:r>
      <w:r>
        <w:rPr>
          <w:rFonts w:hint="eastAsia" w:ascii="仿宋" w:hAnsi="仿宋" w:eastAsia="仿宋"/>
          <w:sz w:val="32"/>
          <w:szCs w:val="32"/>
          <w:lang w:eastAsia="zh-CN"/>
        </w:rPr>
        <w:t>部门</w:t>
      </w:r>
      <w:r>
        <w:rPr>
          <w:rFonts w:hint="eastAsia" w:ascii="仿宋" w:hAnsi="仿宋" w:eastAsia="仿宋"/>
          <w:sz w:val="32"/>
          <w:szCs w:val="32"/>
        </w:rPr>
        <w:t>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w:t>
      </w:r>
      <w:r>
        <w:rPr>
          <w:rFonts w:hint="eastAsia" w:ascii="仿宋" w:hAnsi="仿宋" w:eastAsia="仿宋"/>
          <w:sz w:val="32"/>
          <w:szCs w:val="32"/>
          <w:lang w:eastAsia="zh-CN"/>
        </w:rPr>
        <w:t>部门</w:t>
      </w:r>
      <w:r>
        <w:rPr>
          <w:rFonts w:hint="eastAsia" w:ascii="仿宋" w:hAnsi="仿宋" w:eastAsia="仿宋"/>
          <w:sz w:val="32"/>
          <w:szCs w:val="32"/>
        </w:rPr>
        <w:t>及所属事业</w:t>
      </w:r>
      <w:r>
        <w:rPr>
          <w:rFonts w:hint="eastAsia" w:ascii="仿宋" w:hAnsi="仿宋" w:eastAsia="仿宋"/>
          <w:sz w:val="32"/>
          <w:szCs w:val="32"/>
          <w:lang w:eastAsia="zh-CN"/>
        </w:rPr>
        <w:t>部门</w:t>
      </w:r>
      <w:r>
        <w:rPr>
          <w:rFonts w:hint="eastAsia" w:ascii="仿宋" w:hAnsi="仿宋" w:eastAsia="仿宋"/>
          <w:sz w:val="32"/>
          <w:szCs w:val="32"/>
        </w:rPr>
        <w:t>的收支包含在</w:t>
      </w:r>
      <w:r>
        <w:rPr>
          <w:rFonts w:hint="eastAsia" w:ascii="仿宋" w:hAnsi="仿宋" w:eastAsia="仿宋"/>
          <w:sz w:val="32"/>
          <w:szCs w:val="32"/>
          <w:lang w:eastAsia="zh-CN"/>
        </w:rPr>
        <w:t>部门</w:t>
      </w:r>
      <w:r>
        <w:rPr>
          <w:rFonts w:hint="eastAsia" w:ascii="仿宋" w:hAnsi="仿宋" w:eastAsia="仿宋"/>
          <w:sz w:val="32"/>
          <w:szCs w:val="32"/>
        </w:rPr>
        <w:t>预算中。</w:t>
      </w:r>
    </w:p>
    <w:p w14:paraId="2E858591">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14:paraId="285A52E1">
      <w:pPr>
        <w:spacing w:line="360" w:lineRule="auto"/>
        <w:ind w:firstLine="640" w:firstLineChars="200"/>
        <w:rPr>
          <w:rFonts w:ascii="仿宋" w:hAnsi="仿宋" w:eastAsia="仿宋"/>
          <w:sz w:val="32"/>
          <w:szCs w:val="32"/>
        </w:rPr>
      </w:pPr>
      <w:r>
        <w:rPr>
          <w:rFonts w:ascii="仿宋" w:hAnsi="仿宋" w:eastAsia="仿宋"/>
          <w:sz w:val="32"/>
          <w:szCs w:val="32"/>
        </w:rPr>
        <w:t>2022年预算收入为963.46万元,其中：一般公共预算收入963.46万元，基金预算收入0万元，财政专户收入0万元，其他来源收入6.34万元。</w:t>
      </w:r>
    </w:p>
    <w:p w14:paraId="610A7B55">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14:paraId="31B7F777">
      <w:pPr>
        <w:spacing w:line="360" w:lineRule="auto"/>
        <w:ind w:firstLine="640" w:firstLineChars="200"/>
        <w:rPr>
          <w:rFonts w:ascii="仿宋" w:hAnsi="仿宋" w:eastAsia="仿宋"/>
          <w:sz w:val="32"/>
          <w:szCs w:val="32"/>
        </w:rPr>
      </w:pPr>
      <w:r>
        <w:rPr>
          <w:rFonts w:ascii="仿宋" w:hAnsi="仿宋" w:eastAsia="仿宋"/>
          <w:sz w:val="32"/>
          <w:szCs w:val="32"/>
        </w:rPr>
        <w:t>2022年</w:t>
      </w:r>
      <w:r>
        <w:rPr>
          <w:rFonts w:hint="eastAsia" w:ascii="仿宋" w:hAnsi="仿宋" w:eastAsia="仿宋"/>
          <w:sz w:val="32"/>
          <w:szCs w:val="32"/>
          <w:lang w:eastAsia="zh-CN"/>
        </w:rPr>
        <w:t>部门</w:t>
      </w:r>
      <w:r>
        <w:rPr>
          <w:rFonts w:ascii="仿宋" w:hAnsi="仿宋" w:eastAsia="仿宋"/>
          <w:sz w:val="32"/>
          <w:szCs w:val="32"/>
        </w:rPr>
        <w:t>支出预算：</w:t>
      </w:r>
      <w:r>
        <w:rPr>
          <w:rFonts w:hint="eastAsia" w:ascii="仿宋" w:hAnsi="仿宋" w:eastAsia="仿宋"/>
          <w:sz w:val="32"/>
          <w:szCs w:val="32"/>
          <w:lang w:val="en-US" w:eastAsia="zh-CN"/>
        </w:rPr>
        <w:t>999.8</w:t>
      </w:r>
      <w:r>
        <w:rPr>
          <w:rFonts w:ascii="仿宋" w:hAnsi="仿宋" w:eastAsia="仿宋"/>
          <w:sz w:val="32"/>
          <w:szCs w:val="32"/>
        </w:rPr>
        <w:t>万元</w:t>
      </w:r>
    </w:p>
    <w:p w14:paraId="6677A0B0">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w:t>
      </w:r>
      <w:r>
        <w:rPr>
          <w:rFonts w:hint="eastAsia" w:ascii="仿宋" w:hAnsi="仿宋" w:eastAsia="仿宋"/>
          <w:sz w:val="32"/>
          <w:szCs w:val="32"/>
          <w:lang w:val="en-US" w:eastAsia="zh-CN"/>
        </w:rPr>
        <w:t>479.95</w:t>
      </w:r>
      <w:r>
        <w:rPr>
          <w:rFonts w:hint="eastAsia" w:ascii="仿宋" w:hAnsi="仿宋" w:eastAsia="仿宋"/>
          <w:sz w:val="32"/>
          <w:szCs w:val="32"/>
        </w:rPr>
        <w:t>万元</w:t>
      </w:r>
    </w:p>
    <w:p w14:paraId="68E00244">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其中：人员经费376.5万元</w:t>
      </w:r>
    </w:p>
    <w:p w14:paraId="72494D0B">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eastAsia" w:ascii="仿宋" w:hAnsi="仿宋" w:eastAsia="仿宋"/>
          <w:sz w:val="32"/>
          <w:szCs w:val="32"/>
          <w:lang w:val="en-US" w:eastAsia="zh-CN"/>
        </w:rPr>
        <w:t>103.45</w:t>
      </w:r>
      <w:r>
        <w:rPr>
          <w:rFonts w:ascii="仿宋" w:hAnsi="仿宋" w:eastAsia="仿宋"/>
          <w:sz w:val="32"/>
          <w:szCs w:val="32"/>
        </w:rPr>
        <w:t>万元</w:t>
      </w:r>
    </w:p>
    <w:p w14:paraId="25DCE23B">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519.85万元</w:t>
      </w:r>
    </w:p>
    <w:p w14:paraId="598CDF83">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其中：本级支出519.85万元</w:t>
      </w:r>
    </w:p>
    <w:p w14:paraId="3C6F5875">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14:paraId="5DD62A5A">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w:t>
      </w:r>
      <w:r>
        <w:rPr>
          <w:rFonts w:hint="eastAsia" w:ascii="仿宋" w:hAnsi="仿宋" w:eastAsia="仿宋"/>
          <w:sz w:val="32"/>
          <w:szCs w:val="32"/>
          <w:lang w:val="en-US" w:eastAsia="zh-CN"/>
        </w:rPr>
        <w:t>999.8</w:t>
      </w:r>
      <w:r>
        <w:rPr>
          <w:rFonts w:hint="eastAsia" w:ascii="仿宋" w:hAnsi="仿宋" w:eastAsia="仿宋"/>
          <w:sz w:val="32"/>
          <w:szCs w:val="32"/>
        </w:rPr>
        <w:t>万元，较上年</w:t>
      </w:r>
      <w:r>
        <w:rPr>
          <w:rFonts w:ascii="仿宋" w:hAnsi="仿宋" w:eastAsia="仿宋"/>
          <w:sz w:val="32"/>
          <w:szCs w:val="32"/>
        </w:rPr>
        <w:t>减少</w:t>
      </w:r>
      <w:r>
        <w:rPr>
          <w:rFonts w:hint="eastAsia" w:ascii="仿宋" w:hAnsi="仿宋" w:eastAsia="仿宋"/>
          <w:sz w:val="32"/>
          <w:szCs w:val="32"/>
          <w:lang w:val="en-US" w:eastAsia="zh-CN"/>
        </w:rPr>
        <w:t>346.22</w:t>
      </w:r>
      <w:r>
        <w:rPr>
          <w:rFonts w:ascii="仿宋" w:hAnsi="仿宋" w:eastAsia="仿宋"/>
          <w:sz w:val="32"/>
          <w:szCs w:val="32"/>
        </w:rPr>
        <w:t>万元。其中:基本支出</w:t>
      </w:r>
      <w:r>
        <w:rPr>
          <w:rFonts w:hint="eastAsia" w:ascii="仿宋" w:hAnsi="仿宋" w:eastAsia="仿宋"/>
          <w:sz w:val="32"/>
          <w:szCs w:val="32"/>
        </w:rPr>
        <w:t>增加</w:t>
      </w:r>
      <w:r>
        <w:rPr>
          <w:rFonts w:hint="eastAsia" w:ascii="仿宋" w:hAnsi="仿宋" w:eastAsia="仿宋"/>
          <w:sz w:val="32"/>
          <w:szCs w:val="32"/>
          <w:lang w:val="en-US" w:eastAsia="zh-CN"/>
        </w:rPr>
        <w:t>221.23</w:t>
      </w:r>
      <w:r>
        <w:rPr>
          <w:rFonts w:ascii="仿宋" w:hAnsi="仿宋" w:eastAsia="仿宋"/>
          <w:sz w:val="32"/>
          <w:szCs w:val="32"/>
        </w:rPr>
        <w:t>万元，主要原因</w:t>
      </w:r>
      <w:r>
        <w:rPr>
          <w:rFonts w:hint="eastAsia" w:ascii="仿宋" w:hAnsi="仿宋" w:eastAsia="仿宋"/>
          <w:sz w:val="32"/>
          <w:szCs w:val="32"/>
        </w:rPr>
        <w:t>：人员</w:t>
      </w:r>
      <w:r>
        <w:rPr>
          <w:rFonts w:ascii="仿宋" w:hAnsi="仿宋" w:eastAsia="仿宋"/>
          <w:sz w:val="32"/>
          <w:szCs w:val="32"/>
        </w:rPr>
        <w:t>增加和人员工资调标等；项目支出减少537.55万元，主要原因</w:t>
      </w:r>
      <w:r>
        <w:rPr>
          <w:rFonts w:hint="eastAsia" w:ascii="仿宋" w:hAnsi="仿宋" w:eastAsia="仿宋"/>
          <w:sz w:val="32"/>
          <w:szCs w:val="32"/>
        </w:rPr>
        <w:t>：“雪亮工程”集成</w:t>
      </w:r>
      <w:r>
        <w:rPr>
          <w:rFonts w:ascii="仿宋" w:hAnsi="仿宋" w:eastAsia="仿宋"/>
          <w:sz w:val="32"/>
          <w:szCs w:val="32"/>
        </w:rPr>
        <w:t>项目未列入预算范围之内。</w:t>
      </w:r>
    </w:p>
    <w:p w14:paraId="2B2A42F0">
      <w:pPr>
        <w:spacing w:line="360" w:lineRule="auto"/>
        <w:ind w:firstLine="640" w:firstLineChars="200"/>
        <w:rPr>
          <w:rFonts w:ascii="仿宋" w:hAnsi="仿宋" w:eastAsia="仿宋"/>
          <w:sz w:val="32"/>
          <w:szCs w:val="32"/>
        </w:rPr>
      </w:pPr>
    </w:p>
    <w:p w14:paraId="6EEDFFF9">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14:paraId="777AA6DE">
      <w:pPr>
        <w:spacing w:line="360" w:lineRule="auto"/>
        <w:ind w:firstLine="640" w:firstLineChars="200"/>
        <w:rPr>
          <w:rFonts w:ascii="仿宋" w:hAnsi="仿宋" w:eastAsia="仿宋"/>
          <w:b/>
          <w:sz w:val="32"/>
          <w:szCs w:val="32"/>
        </w:rPr>
      </w:pPr>
      <w:r>
        <w:rPr>
          <w:rFonts w:ascii="仿宋" w:hAnsi="仿宋" w:eastAsia="仿宋"/>
          <w:sz w:val="32"/>
          <w:szCs w:val="32"/>
        </w:rPr>
        <w:t>2022年我</w:t>
      </w:r>
      <w:r>
        <w:rPr>
          <w:rFonts w:hint="eastAsia" w:ascii="仿宋" w:hAnsi="仿宋" w:eastAsia="仿宋"/>
          <w:sz w:val="32"/>
          <w:szCs w:val="32"/>
          <w:lang w:eastAsia="zh-CN"/>
        </w:rPr>
        <w:t>部门</w:t>
      </w:r>
      <w:r>
        <w:rPr>
          <w:rFonts w:ascii="仿宋" w:hAnsi="仿宋" w:eastAsia="仿宋"/>
          <w:sz w:val="32"/>
          <w:szCs w:val="32"/>
        </w:rPr>
        <w:t>机关运行经费安排97.11万元，其中办公费64.64万元，邮电费7.44万元，</w:t>
      </w:r>
      <w:r>
        <w:rPr>
          <w:rFonts w:hint="eastAsia" w:ascii="仿宋" w:hAnsi="仿宋" w:eastAsia="仿宋"/>
          <w:sz w:val="32"/>
          <w:szCs w:val="32"/>
          <w:lang w:eastAsia="zh-CN"/>
        </w:rPr>
        <w:t>会议费</w:t>
      </w:r>
      <w:r>
        <w:rPr>
          <w:rFonts w:hint="eastAsia" w:ascii="仿宋" w:hAnsi="仿宋" w:eastAsia="仿宋"/>
          <w:sz w:val="32"/>
          <w:szCs w:val="32"/>
          <w:lang w:val="en-US" w:eastAsia="zh-CN"/>
        </w:rPr>
        <w:t>0.36万元，会务接待费0.48万元，</w:t>
      </w:r>
      <w:r>
        <w:rPr>
          <w:rFonts w:ascii="仿宋" w:hAnsi="仿宋" w:eastAsia="仿宋"/>
          <w:sz w:val="32"/>
          <w:szCs w:val="32"/>
        </w:rPr>
        <w:t>工会经费、福利费</w:t>
      </w:r>
      <w:r>
        <w:rPr>
          <w:rFonts w:hint="eastAsia" w:ascii="仿宋" w:hAnsi="仿宋" w:eastAsia="仿宋"/>
          <w:sz w:val="32"/>
          <w:szCs w:val="32"/>
        </w:rPr>
        <w:t>3.93</w:t>
      </w:r>
      <w:r>
        <w:rPr>
          <w:rFonts w:ascii="仿宋" w:hAnsi="仿宋" w:eastAsia="仿宋"/>
          <w:sz w:val="32"/>
          <w:szCs w:val="32"/>
        </w:rPr>
        <w:t>万元，公务用车运行维护费4.86万元</w:t>
      </w:r>
      <w:r>
        <w:rPr>
          <w:rFonts w:hint="eastAsia" w:ascii="仿宋" w:hAnsi="仿宋" w:eastAsia="仿宋"/>
          <w:sz w:val="32"/>
          <w:szCs w:val="32"/>
        </w:rPr>
        <w:t>，</w:t>
      </w:r>
      <w:r>
        <w:rPr>
          <w:rFonts w:ascii="仿宋" w:hAnsi="仿宋" w:eastAsia="仿宋"/>
          <w:sz w:val="32"/>
          <w:szCs w:val="32"/>
        </w:rPr>
        <w:t>其他支出</w:t>
      </w:r>
      <w:r>
        <w:rPr>
          <w:rFonts w:hint="eastAsia" w:ascii="仿宋" w:hAnsi="仿宋" w:eastAsia="仿宋"/>
          <w:sz w:val="32"/>
          <w:szCs w:val="32"/>
        </w:rPr>
        <w:t>16.24</w:t>
      </w:r>
      <w:r>
        <w:rPr>
          <w:rFonts w:ascii="仿宋" w:hAnsi="仿宋" w:eastAsia="仿宋"/>
          <w:sz w:val="32"/>
          <w:szCs w:val="32"/>
        </w:rPr>
        <w:t>万元。</w:t>
      </w:r>
    </w:p>
    <w:p w14:paraId="7481B7BB">
      <w:pPr>
        <w:spacing w:line="360" w:lineRule="auto"/>
        <w:jc w:val="center"/>
        <w:rPr>
          <w:rFonts w:ascii="黑体" w:hAnsi="黑体" w:eastAsia="黑体" w:cs="Times New Roman"/>
          <w:sz w:val="32"/>
          <w:szCs w:val="32"/>
        </w:rPr>
      </w:pPr>
    </w:p>
    <w:p w14:paraId="024F22D9">
      <w:pPr>
        <w:spacing w:line="360" w:lineRule="auto"/>
        <w:jc w:val="center"/>
        <w:rPr>
          <w:rFonts w:ascii="黑体" w:hAnsi="黑体" w:eastAsia="黑体" w:cs="Times New Roman"/>
          <w:sz w:val="32"/>
          <w:szCs w:val="32"/>
        </w:rPr>
      </w:pPr>
    </w:p>
    <w:p w14:paraId="3908066C">
      <w:pPr>
        <w:jc w:val="center"/>
        <w:outlineLvl w:val="0"/>
        <w:rPr>
          <w:rFonts w:ascii="方正小标宋_GBK" w:eastAsia="方正小标宋_GBK"/>
          <w:sz w:val="44"/>
        </w:rPr>
      </w:pPr>
    </w:p>
    <w:p w14:paraId="7A8EE22B">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08"/>
      </w:tblGrid>
      <w:tr w14:paraId="52459122">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1056"/>
              <w:gridCol w:w="2397"/>
            </w:tblGrid>
            <w:tr w14:paraId="7F3F0F30">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14:paraId="386D8816">
                  <w:pPr>
                    <w:spacing w:line="360" w:lineRule="auto"/>
                    <w:rPr>
                      <w:rFonts w:ascii="黑体" w:hAnsi="黑体" w:eastAsia="黑体" w:cs="宋体"/>
                      <w:kern w:val="0"/>
                      <w:sz w:val="32"/>
                      <w:szCs w:val="32"/>
                    </w:rPr>
                  </w:pPr>
                </w:p>
              </w:tc>
            </w:tr>
            <w:tr w14:paraId="19060C2A">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14:paraId="2D9384C2">
                  <w:pPr>
                    <w:widowControl/>
                    <w:jc w:val="left"/>
                    <w:rPr>
                      <w:rFonts w:ascii="宋体" w:hAnsi="宋体" w:cs="宋体"/>
                      <w:kern w:val="0"/>
                      <w:sz w:val="24"/>
                      <w:szCs w:val="24"/>
                    </w:rPr>
                  </w:pPr>
                </w:p>
              </w:tc>
              <w:tc>
                <w:tcPr>
                  <w:tcW w:w="1276" w:type="dxa"/>
                  <w:tcBorders>
                    <w:top w:val="nil"/>
                    <w:left w:val="nil"/>
                    <w:bottom w:val="nil"/>
                    <w:right w:val="nil"/>
                  </w:tcBorders>
                  <w:vAlign w:val="center"/>
                </w:tcPr>
                <w:p w14:paraId="5584CCA3">
                  <w:pPr>
                    <w:widowControl/>
                    <w:jc w:val="left"/>
                    <w:rPr>
                      <w:rFonts w:ascii="宋体" w:hAnsi="宋体" w:cs="宋体"/>
                      <w:kern w:val="0"/>
                      <w:sz w:val="24"/>
                      <w:szCs w:val="24"/>
                    </w:rPr>
                  </w:pPr>
                </w:p>
              </w:tc>
              <w:tc>
                <w:tcPr>
                  <w:tcW w:w="1418" w:type="dxa"/>
                  <w:tcBorders>
                    <w:top w:val="nil"/>
                    <w:left w:val="nil"/>
                    <w:bottom w:val="nil"/>
                    <w:right w:val="nil"/>
                  </w:tcBorders>
                  <w:vAlign w:val="center"/>
                </w:tcPr>
                <w:p w14:paraId="447112A7">
                  <w:pPr>
                    <w:widowControl/>
                    <w:jc w:val="left"/>
                    <w:rPr>
                      <w:rFonts w:ascii="宋体" w:hAnsi="宋体" w:cs="宋体"/>
                      <w:kern w:val="0"/>
                      <w:sz w:val="24"/>
                      <w:szCs w:val="24"/>
                    </w:rPr>
                  </w:pPr>
                </w:p>
              </w:tc>
              <w:tc>
                <w:tcPr>
                  <w:tcW w:w="836" w:type="dxa"/>
                  <w:tcBorders>
                    <w:top w:val="nil"/>
                    <w:left w:val="nil"/>
                    <w:bottom w:val="nil"/>
                    <w:right w:val="nil"/>
                  </w:tcBorders>
                  <w:vAlign w:val="center"/>
                </w:tcPr>
                <w:p w14:paraId="5766639E">
                  <w:pPr>
                    <w:widowControl/>
                    <w:jc w:val="left"/>
                    <w:rPr>
                      <w:rFonts w:ascii="宋体" w:hAnsi="宋体" w:cs="宋体"/>
                      <w:kern w:val="0"/>
                      <w:sz w:val="24"/>
                      <w:szCs w:val="24"/>
                    </w:rPr>
                  </w:pPr>
                </w:p>
              </w:tc>
              <w:tc>
                <w:tcPr>
                  <w:tcW w:w="2397" w:type="dxa"/>
                  <w:tcBorders>
                    <w:top w:val="nil"/>
                    <w:left w:val="nil"/>
                    <w:bottom w:val="nil"/>
                    <w:right w:val="nil"/>
                  </w:tcBorders>
                  <w:vAlign w:val="center"/>
                </w:tcPr>
                <w:p w14:paraId="2A6C4485">
                  <w:pPr>
                    <w:widowControl/>
                    <w:jc w:val="right"/>
                    <w:rPr>
                      <w:rFonts w:ascii="宋体" w:hAnsi="宋体" w:cs="宋体"/>
                      <w:kern w:val="0"/>
                      <w:sz w:val="24"/>
                      <w:szCs w:val="24"/>
                    </w:rPr>
                  </w:pPr>
                  <w:r>
                    <w:rPr>
                      <w:rFonts w:hint="eastAsia" w:ascii="宋体" w:hAnsi="宋体" w:cs="宋体"/>
                      <w:kern w:val="0"/>
                      <w:sz w:val="24"/>
                      <w:szCs w:val="24"/>
                      <w:lang w:eastAsia="zh-CN"/>
                    </w:rPr>
                    <w:t>部门</w:t>
                  </w:r>
                  <w:r>
                    <w:rPr>
                      <w:rFonts w:hint="eastAsia" w:ascii="宋体" w:hAnsi="宋体" w:cs="宋体"/>
                      <w:kern w:val="0"/>
                      <w:sz w:val="24"/>
                      <w:szCs w:val="24"/>
                    </w:rPr>
                    <w:t>：万元</w:t>
                  </w:r>
                </w:p>
              </w:tc>
            </w:tr>
            <w:tr w14:paraId="0E768B6A">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14:paraId="3CCA9BB7">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14:paraId="1AE7DE8B">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14:paraId="065BC1E9">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2022</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14:paraId="199FC61A">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14:paraId="771002CD">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14:paraId="0EA59BDB">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14:paraId="62757CAA">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14:paraId="3D78BDB6">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14:paraId="4F637E0B">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14:paraId="738E854C">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14:paraId="20D6253C">
                  <w:pPr>
                    <w:widowControl/>
                    <w:jc w:val="left"/>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eastAsia="zh-CN"/>
                    </w:rPr>
                    <w:t>无增减变化</w:t>
                  </w:r>
                </w:p>
              </w:tc>
            </w:tr>
            <w:tr w14:paraId="1476FC25">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14:paraId="4E5C6384">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14:paraId="01B5BD7D">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14:paraId="112666CF">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14:paraId="346E38A1">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14:paraId="1A5C2DE2">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lang w:eastAsia="zh-CN"/>
                    </w:rPr>
                    <w:t>无增减变化</w:t>
                  </w:r>
                </w:p>
              </w:tc>
            </w:tr>
            <w:tr w14:paraId="77986456">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14:paraId="4FDCA87E">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14:paraId="629AE0DD">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6.6467</w:t>
                  </w:r>
                </w:p>
              </w:tc>
              <w:tc>
                <w:tcPr>
                  <w:tcW w:w="1418" w:type="dxa"/>
                  <w:tcBorders>
                    <w:top w:val="nil"/>
                    <w:left w:val="nil"/>
                    <w:bottom w:val="single" w:color="auto" w:sz="4" w:space="0"/>
                    <w:right w:val="single" w:color="auto" w:sz="4" w:space="0"/>
                  </w:tcBorders>
                  <w:vAlign w:val="center"/>
                </w:tcPr>
                <w:p w14:paraId="53D3C885">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4.86</w:t>
                  </w:r>
                </w:p>
              </w:tc>
              <w:tc>
                <w:tcPr>
                  <w:tcW w:w="836" w:type="dxa"/>
                  <w:tcBorders>
                    <w:top w:val="nil"/>
                    <w:left w:val="nil"/>
                    <w:bottom w:val="single" w:color="auto" w:sz="4" w:space="0"/>
                    <w:right w:val="single" w:color="auto" w:sz="4" w:space="0"/>
                  </w:tcBorders>
                  <w:vAlign w:val="center"/>
                </w:tcPr>
                <w:p w14:paraId="0D289E19">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-1.7867</w:t>
                  </w:r>
                </w:p>
              </w:tc>
              <w:tc>
                <w:tcPr>
                  <w:tcW w:w="2397" w:type="dxa"/>
                  <w:tcBorders>
                    <w:top w:val="nil"/>
                    <w:left w:val="nil"/>
                    <w:bottom w:val="single" w:color="auto" w:sz="4" w:space="0"/>
                    <w:right w:val="single" w:color="auto" w:sz="4" w:space="0"/>
                  </w:tcBorders>
                  <w:vAlign w:val="center"/>
                </w:tcPr>
                <w:p w14:paraId="387EB9B8">
                  <w:pPr>
                    <w:widowControl/>
                    <w:jc w:val="left"/>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eastAsia="zh-CN"/>
                    </w:rPr>
                    <w:t>积极响应上级政策要求压减支出</w:t>
                  </w:r>
                </w:p>
              </w:tc>
            </w:tr>
            <w:tr w14:paraId="3B03C571">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14:paraId="7CC1EE16">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14:paraId="73D37C83">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0.54</w:t>
                  </w:r>
                </w:p>
              </w:tc>
              <w:tc>
                <w:tcPr>
                  <w:tcW w:w="1418" w:type="dxa"/>
                  <w:tcBorders>
                    <w:top w:val="nil"/>
                    <w:left w:val="nil"/>
                    <w:bottom w:val="single" w:color="auto" w:sz="4" w:space="0"/>
                    <w:right w:val="single" w:color="auto" w:sz="4" w:space="0"/>
                  </w:tcBorders>
                  <w:vAlign w:val="center"/>
                </w:tcPr>
                <w:p w14:paraId="2B34ABAF">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0.48</w:t>
                  </w:r>
                </w:p>
              </w:tc>
              <w:tc>
                <w:tcPr>
                  <w:tcW w:w="836" w:type="dxa"/>
                  <w:tcBorders>
                    <w:top w:val="nil"/>
                    <w:left w:val="nil"/>
                    <w:bottom w:val="single" w:color="auto" w:sz="4" w:space="0"/>
                    <w:right w:val="single" w:color="auto" w:sz="4" w:space="0"/>
                  </w:tcBorders>
                  <w:vAlign w:val="center"/>
                </w:tcPr>
                <w:p w14:paraId="528B4970">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-0.06</w:t>
                  </w:r>
                </w:p>
              </w:tc>
              <w:tc>
                <w:tcPr>
                  <w:tcW w:w="2397" w:type="dxa"/>
                  <w:tcBorders>
                    <w:top w:val="nil"/>
                    <w:left w:val="nil"/>
                    <w:bottom w:val="single" w:color="auto" w:sz="4" w:space="0"/>
                    <w:right w:val="single" w:color="auto" w:sz="4" w:space="0"/>
                  </w:tcBorders>
                  <w:vAlign w:val="center"/>
                </w:tcPr>
                <w:p w14:paraId="6B5A595C">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lang w:eastAsia="zh-CN"/>
                    </w:rPr>
                    <w:t>积极响应上级政策要求压减支出</w:t>
                  </w:r>
                </w:p>
              </w:tc>
            </w:tr>
            <w:tr w14:paraId="2297A3AC">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14:paraId="3253B5D0">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14:paraId="1645D976">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7.1867</w:t>
                  </w:r>
                </w:p>
              </w:tc>
              <w:tc>
                <w:tcPr>
                  <w:tcW w:w="1418" w:type="dxa"/>
                  <w:tcBorders>
                    <w:top w:val="nil"/>
                    <w:left w:val="nil"/>
                    <w:bottom w:val="single" w:color="auto" w:sz="4" w:space="0"/>
                    <w:right w:val="single" w:color="auto" w:sz="4" w:space="0"/>
                  </w:tcBorders>
                  <w:vAlign w:val="center"/>
                </w:tcPr>
                <w:p w14:paraId="412854FA">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5.34</w:t>
                  </w:r>
                </w:p>
              </w:tc>
              <w:tc>
                <w:tcPr>
                  <w:tcW w:w="836" w:type="dxa"/>
                  <w:tcBorders>
                    <w:top w:val="nil"/>
                    <w:left w:val="nil"/>
                    <w:bottom w:val="single" w:color="auto" w:sz="4" w:space="0"/>
                    <w:right w:val="single" w:color="auto" w:sz="4" w:space="0"/>
                  </w:tcBorders>
                  <w:vAlign w:val="center"/>
                </w:tcPr>
                <w:p w14:paraId="0A7FDC39">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-1.8467</w:t>
                  </w:r>
                </w:p>
              </w:tc>
              <w:tc>
                <w:tcPr>
                  <w:tcW w:w="2397" w:type="dxa"/>
                  <w:tcBorders>
                    <w:top w:val="nil"/>
                    <w:left w:val="nil"/>
                    <w:bottom w:val="single" w:color="auto" w:sz="4" w:space="0"/>
                    <w:right w:val="single" w:color="auto" w:sz="4" w:space="0"/>
                  </w:tcBorders>
                  <w:vAlign w:val="center"/>
                </w:tcPr>
                <w:p w14:paraId="2A072FB6">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lang w:eastAsia="zh-CN"/>
                    </w:rPr>
                    <w:t>积极响应上级政策要求压减支出</w:t>
                  </w:r>
                </w:p>
              </w:tc>
            </w:tr>
            <w:tr w14:paraId="0C934FDD">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14:paraId="001C1E61">
                  <w:pPr>
                    <w:widowControl/>
                    <w:jc w:val="left"/>
                    <w:rPr>
                      <w:rFonts w:ascii="宋体" w:hAnsi="宋体" w:cs="宋体"/>
                      <w:kern w:val="0"/>
                      <w:sz w:val="24"/>
                      <w:szCs w:val="24"/>
                    </w:rPr>
                  </w:pPr>
                </w:p>
              </w:tc>
              <w:tc>
                <w:tcPr>
                  <w:tcW w:w="1276" w:type="dxa"/>
                  <w:tcBorders>
                    <w:top w:val="nil"/>
                    <w:left w:val="nil"/>
                    <w:bottom w:val="nil"/>
                    <w:right w:val="nil"/>
                  </w:tcBorders>
                  <w:vAlign w:val="center"/>
                </w:tcPr>
                <w:p w14:paraId="2363DC95">
                  <w:pPr>
                    <w:widowControl/>
                    <w:jc w:val="left"/>
                    <w:rPr>
                      <w:rFonts w:ascii="宋体" w:hAnsi="宋体" w:cs="宋体"/>
                      <w:kern w:val="0"/>
                      <w:sz w:val="24"/>
                      <w:szCs w:val="24"/>
                    </w:rPr>
                  </w:pPr>
                </w:p>
              </w:tc>
              <w:tc>
                <w:tcPr>
                  <w:tcW w:w="1418" w:type="dxa"/>
                  <w:tcBorders>
                    <w:top w:val="nil"/>
                    <w:left w:val="nil"/>
                    <w:bottom w:val="nil"/>
                    <w:right w:val="nil"/>
                  </w:tcBorders>
                  <w:vAlign w:val="center"/>
                </w:tcPr>
                <w:p w14:paraId="193D8BBA">
                  <w:pPr>
                    <w:widowControl/>
                    <w:jc w:val="left"/>
                    <w:rPr>
                      <w:rFonts w:ascii="宋体" w:hAnsi="宋体" w:cs="宋体"/>
                      <w:kern w:val="0"/>
                      <w:sz w:val="24"/>
                      <w:szCs w:val="24"/>
                    </w:rPr>
                  </w:pPr>
                </w:p>
              </w:tc>
              <w:tc>
                <w:tcPr>
                  <w:tcW w:w="836" w:type="dxa"/>
                  <w:tcBorders>
                    <w:top w:val="nil"/>
                    <w:left w:val="nil"/>
                    <w:bottom w:val="nil"/>
                    <w:right w:val="nil"/>
                  </w:tcBorders>
                  <w:vAlign w:val="center"/>
                </w:tcPr>
                <w:p w14:paraId="333A2828">
                  <w:pPr>
                    <w:widowControl/>
                    <w:jc w:val="left"/>
                    <w:rPr>
                      <w:rFonts w:ascii="宋体" w:hAnsi="宋体" w:cs="宋体"/>
                      <w:kern w:val="0"/>
                      <w:sz w:val="24"/>
                      <w:szCs w:val="24"/>
                    </w:rPr>
                  </w:pPr>
                </w:p>
              </w:tc>
              <w:tc>
                <w:tcPr>
                  <w:tcW w:w="2397" w:type="dxa"/>
                  <w:tcBorders>
                    <w:top w:val="nil"/>
                    <w:left w:val="nil"/>
                    <w:bottom w:val="nil"/>
                    <w:right w:val="nil"/>
                  </w:tcBorders>
                  <w:vAlign w:val="center"/>
                </w:tcPr>
                <w:p w14:paraId="509BD084">
                  <w:pPr>
                    <w:widowControl/>
                    <w:jc w:val="left"/>
                    <w:rPr>
                      <w:rFonts w:ascii="宋体" w:hAnsi="宋体" w:cs="宋体"/>
                      <w:kern w:val="0"/>
                      <w:sz w:val="24"/>
                      <w:szCs w:val="24"/>
                    </w:rPr>
                  </w:pPr>
                </w:p>
              </w:tc>
            </w:tr>
          </w:tbl>
          <w:p w14:paraId="37E96DCE">
            <w:pPr>
              <w:widowControl/>
              <w:spacing w:line="520" w:lineRule="exact"/>
              <w:ind w:right="480"/>
              <w:rPr>
                <w:rFonts w:ascii="仿宋" w:hAnsi="仿宋" w:eastAsia="仿宋" w:cs="宋体"/>
                <w:kern w:val="0"/>
                <w:sz w:val="24"/>
                <w:szCs w:val="24"/>
              </w:rPr>
            </w:pPr>
          </w:p>
        </w:tc>
      </w:tr>
    </w:tbl>
    <w:p w14:paraId="7E02A221">
      <w:pPr>
        <w:spacing w:line="360" w:lineRule="auto"/>
        <w:rPr>
          <w:rFonts w:ascii="黑体" w:hAnsi="黑体" w:eastAsia="黑体" w:cs="Times New Roman"/>
          <w:sz w:val="32"/>
          <w:szCs w:val="32"/>
        </w:rPr>
      </w:pPr>
    </w:p>
    <w:p w14:paraId="102F913B">
      <w:pPr>
        <w:spacing w:line="360" w:lineRule="auto"/>
        <w:rPr>
          <w:rFonts w:ascii="黑体" w:hAnsi="黑体" w:eastAsia="黑体" w:cs="Times New Roman"/>
          <w:sz w:val="32"/>
          <w:szCs w:val="32"/>
        </w:rPr>
      </w:pPr>
    </w:p>
    <w:p w14:paraId="00D4A627">
      <w:pPr>
        <w:jc w:val="center"/>
        <w:outlineLvl w:val="0"/>
        <w:rPr>
          <w:rFonts w:ascii="方正小标宋_GBK" w:eastAsia="方正小标宋_GBK"/>
          <w:sz w:val="44"/>
        </w:rPr>
      </w:pPr>
      <w:r>
        <w:rPr>
          <w:rFonts w:hint="eastAsia" w:ascii="方正小标宋_GBK" w:eastAsia="方正小标宋_GBK"/>
          <w:sz w:val="44"/>
        </w:rPr>
        <w:t>第五部分：预算绩效信息</w:t>
      </w:r>
    </w:p>
    <w:p w14:paraId="67D70870">
      <w:pPr>
        <w:spacing w:line="360" w:lineRule="auto"/>
        <w:jc w:val="center"/>
        <w:rPr>
          <w:rFonts w:ascii="黑体" w:hAnsi="黑体" w:eastAsia="黑体" w:cs="Times New Roman"/>
          <w:sz w:val="32"/>
          <w:szCs w:val="32"/>
        </w:rPr>
      </w:pPr>
    </w:p>
    <w:p w14:paraId="5D0FCFD5">
      <w:pPr>
        <w:jc w:val="center"/>
        <w:outlineLvl w:val="0"/>
        <w:rPr>
          <w:rFonts w:ascii="方正小标宋_GBK" w:eastAsia="方正小标宋_GBK"/>
          <w:sz w:val="44"/>
        </w:rPr>
      </w:pPr>
      <w:r>
        <w:rPr>
          <w:rFonts w:hint="eastAsia" w:ascii="方正小标宋_GBK" w:eastAsia="方正小标宋_GBK"/>
          <w:sz w:val="44"/>
          <w:lang w:eastAsia="zh-CN"/>
        </w:rPr>
        <w:t>部门</w:t>
      </w:r>
      <w:r>
        <w:rPr>
          <w:rFonts w:hint="eastAsia" w:ascii="方正小标宋_GBK" w:eastAsia="方正小标宋_GBK"/>
          <w:sz w:val="44"/>
        </w:rPr>
        <w:t>整体</w:t>
      </w:r>
      <w:r>
        <w:rPr>
          <w:rFonts w:ascii="方正小标宋_GBK" w:eastAsia="方正小标宋_GBK"/>
          <w:sz w:val="44"/>
        </w:rPr>
        <w:t>绩效目标</w:t>
      </w:r>
    </w:p>
    <w:p w14:paraId="7A6D0C93">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总体绩效目标 </w:t>
      </w:r>
    </w:p>
    <w:p w14:paraId="7DE40132">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2022年，区委政法委将进一步围绕全区中心工作和市委政法委工作部署，贯彻落实党的路线、方针、政策，继续深入贯彻中央、省、市政法工作会议和区委全会精神，以全区政法工作位居全市先进行列为目标、以平安建设为统揽，深入抓好扫黑除恶工作、坚持服务大局稳定，服务经济发展，服务人民群众，努力建设和谐稳定的社会环境。为实现</w:t>
      </w:r>
      <w:r>
        <w:rPr>
          <w:rFonts w:hint="eastAsia" w:ascii="仿宋" w:hAnsi="仿宋" w:eastAsia="仿宋" w:cs="仿宋"/>
          <w:sz w:val="32"/>
          <w:szCs w:val="32"/>
          <w:lang w:eastAsia="zh-CN"/>
        </w:rPr>
        <w:t>部门</w:t>
      </w:r>
      <w:r>
        <w:rPr>
          <w:rFonts w:hint="eastAsia" w:ascii="仿宋" w:hAnsi="仿宋" w:eastAsia="仿宋" w:cs="仿宋"/>
          <w:sz w:val="32"/>
          <w:szCs w:val="32"/>
        </w:rPr>
        <w:t>总体目标确定</w:t>
      </w:r>
      <w:r>
        <w:rPr>
          <w:rFonts w:hint="eastAsia" w:ascii="仿宋" w:hAnsi="仿宋" w:eastAsia="仿宋" w:cs="仿宋"/>
          <w:sz w:val="32"/>
          <w:szCs w:val="32"/>
          <w:lang w:eastAsia="zh-CN"/>
        </w:rPr>
        <w:t>部门</w:t>
      </w:r>
      <w:r>
        <w:rPr>
          <w:rFonts w:hint="eastAsia" w:ascii="仿宋" w:hAnsi="仿宋" w:eastAsia="仿宋" w:cs="仿宋"/>
          <w:sz w:val="32"/>
          <w:szCs w:val="32"/>
        </w:rPr>
        <w:t>预算项目和预算额度，清晰描述预算项目开支范围和内容，确定预算项目的绩效目标、绩效指标和评价标准，为预算绩效控制、绩效分析、绩效评价打下好的基础。</w:t>
      </w:r>
    </w:p>
    <w:p w14:paraId="2795FC57">
      <w:pPr>
        <w:spacing w:line="360" w:lineRule="auto"/>
        <w:ind w:firstLine="640" w:firstLineChars="200"/>
        <w:jc w:val="left"/>
        <w:outlineLvl w:val="1"/>
        <w:rPr>
          <w:rFonts w:ascii="仿宋" w:hAnsi="仿宋" w:eastAsia="仿宋" w:cs="仿宋"/>
          <w:sz w:val="32"/>
          <w:szCs w:val="32"/>
        </w:rPr>
      </w:pPr>
      <w:r>
        <w:rPr>
          <w:rFonts w:hint="eastAsia" w:ascii="仿宋" w:hAnsi="仿宋" w:eastAsia="仿宋" w:cs="仿宋"/>
          <w:sz w:val="32"/>
          <w:szCs w:val="32"/>
        </w:rPr>
        <w:t>二、分项绩效目标</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TC </w:instrText>
      </w:r>
      <w:bookmarkStart w:id="0" w:name="_Toc31297795"/>
      <w:r>
        <w:rPr>
          <w:rFonts w:hint="eastAsia" w:ascii="仿宋" w:hAnsi="仿宋" w:eastAsia="仿宋" w:cs="仿宋"/>
          <w:sz w:val="32"/>
          <w:szCs w:val="32"/>
        </w:rPr>
        <w:instrText xml:space="preserve">分项绩效目标</w:instrText>
      </w:r>
      <w:bookmarkEnd w:id="0"/>
      <w:r>
        <w:rPr>
          <w:rFonts w:hint="eastAsia" w:ascii="仿宋" w:hAnsi="仿宋" w:eastAsia="仿宋" w:cs="仿宋"/>
          <w:sz w:val="32"/>
          <w:szCs w:val="32"/>
        </w:rPr>
        <w:instrText xml:space="preserve"> \f A \l 1 </w:instrText>
      </w:r>
      <w:r>
        <w:rPr>
          <w:rFonts w:hint="eastAsia" w:ascii="仿宋" w:hAnsi="仿宋" w:eastAsia="仿宋" w:cs="仿宋"/>
          <w:sz w:val="32"/>
          <w:szCs w:val="32"/>
        </w:rPr>
        <w:fldChar w:fldCharType="end"/>
      </w:r>
    </w:p>
    <w:p w14:paraId="10CA152B">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（一）防控各类社会风险，确保社会安全稳定</w:t>
      </w:r>
    </w:p>
    <w:p w14:paraId="2E5A9EE8">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绩效目标：通过指导、协调和督导各级各</w:t>
      </w:r>
      <w:r>
        <w:rPr>
          <w:rFonts w:hint="eastAsia" w:ascii="仿宋" w:hAnsi="仿宋" w:eastAsia="仿宋" w:cs="仿宋"/>
          <w:sz w:val="32"/>
          <w:szCs w:val="32"/>
          <w:lang w:eastAsia="zh-CN"/>
        </w:rPr>
        <w:t>部门</w:t>
      </w:r>
      <w:r>
        <w:rPr>
          <w:rFonts w:hint="eastAsia" w:ascii="仿宋" w:hAnsi="仿宋" w:eastAsia="仿宋" w:cs="仿宋"/>
          <w:sz w:val="32"/>
          <w:szCs w:val="32"/>
        </w:rPr>
        <w:t>，预防减少不稳定因素的发生，有效化解不稳定隐患、群体性事件和突发事件，全力做好区内各种重大活动安保工作，确保实会稳定。</w:t>
      </w:r>
    </w:p>
    <w:p w14:paraId="37A6B562">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绩效指标：重大安保任务完成率占总任务数的95%及以上；涉稳舆情处置数达到95%及以上；重大活动突发事件发生后能够完全控制；群众对社会稳定及处理上访案事件满意度达到90%及以上。</w:t>
      </w:r>
    </w:p>
    <w:p w14:paraId="1E693E4E">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（二）实现“全域覆盖、全网共享、全时可用、全程可控”。</w:t>
      </w:r>
    </w:p>
    <w:p w14:paraId="259BDEAA">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绩效目标：充分发挥“雪亮工程”作用，实现“全域覆盖、全网共享、全时可用、全程可控”，提高全区安全系数；视频监控网络畅通，能够顺利开展工作。</w:t>
      </w:r>
    </w:p>
    <w:p w14:paraId="1E9DCA20">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绩效指标：每月对线路、信号传输设备进行检查不少于3次；通过视频监控达到某事件预定效果数达到90%及以上；全年使用过程中发生故障次数少于20次；群众对“雪亮工程”应用效果的整体满意度达到95%及以上。</w:t>
      </w:r>
    </w:p>
    <w:p w14:paraId="4A2A90CC">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（三）确保全区铁路畅通</w:t>
      </w:r>
    </w:p>
    <w:p w14:paraId="4E75905F">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绩效目标：做好全区铁路护路日常防护工作，确保全国</w:t>
      </w:r>
      <w:bookmarkStart w:id="9" w:name="_GoBack"/>
      <w:r>
        <w:rPr>
          <w:rFonts w:hint="eastAsia" w:ascii="仿宋" w:hAnsi="仿宋" w:eastAsia="仿宋" w:cs="仿宋"/>
          <w:sz w:val="32"/>
          <w:szCs w:val="32"/>
        </w:rPr>
        <w:t>两会</w:t>
      </w:r>
      <w:bookmarkEnd w:id="9"/>
      <w:r>
        <w:rPr>
          <w:rFonts w:hint="eastAsia" w:ascii="仿宋" w:hAnsi="仿宋" w:eastAsia="仿宋" w:cs="仿宋"/>
          <w:sz w:val="32"/>
          <w:szCs w:val="32"/>
        </w:rPr>
        <w:t>及其他重要节点的铁路顺利畅通；确保护路队员劳务费按月及时支付。</w:t>
      </w:r>
    </w:p>
    <w:p w14:paraId="3B6881ED">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绩效指标：每年对铁路进行维护巡逻次数不少于70次；护路队员劳务费能够按照相关规定及时落实到位。铁路畅通动行天数达到95%及以上；全区铁路运行范围内未发生安全事故；铁路周边居民对护路工作非常满意，无其他意见。</w:t>
      </w:r>
    </w:p>
    <w:p w14:paraId="46C6972E">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（四）做好对邪教人员的教育转化</w:t>
      </w:r>
    </w:p>
    <w:p w14:paraId="2437EB1B">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绩效目标：做好反邪教工作的防范控制、宣传教育、深挖打击等工作，维护社会安定、政治稳定；做好对邪教人员的教育转化工作。</w:t>
      </w:r>
    </w:p>
    <w:p w14:paraId="68ED1790">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绩效指标：全年制作发放反邪教宣传册或宣传单不少于20000张；对发现的邪教组织人员进行教育转化人数达到100%；人民群众对于反邪教宣传及人员转化教育工作满意度达到95%及以上。</w:t>
      </w:r>
    </w:p>
    <w:p w14:paraId="2C6C392B">
      <w:pPr>
        <w:spacing w:line="360" w:lineRule="auto"/>
        <w:ind w:firstLine="640" w:firstLineChars="200"/>
        <w:jc w:val="left"/>
        <w:outlineLvl w:val="1"/>
        <w:rPr>
          <w:rFonts w:ascii="仿宋" w:hAnsi="仿宋" w:eastAsia="仿宋" w:cs="仿宋"/>
          <w:sz w:val="32"/>
          <w:szCs w:val="32"/>
        </w:rPr>
      </w:pPr>
      <w:r>
        <w:rPr>
          <w:rFonts w:hint="eastAsia" w:ascii="仿宋" w:hAnsi="仿宋" w:eastAsia="仿宋" w:cs="仿宋"/>
          <w:sz w:val="32"/>
          <w:szCs w:val="32"/>
        </w:rPr>
        <w:t>三、工作保障措施</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TC </w:instrText>
      </w:r>
      <w:bookmarkStart w:id="1" w:name="_Toc31297796"/>
      <w:r>
        <w:rPr>
          <w:rFonts w:hint="eastAsia" w:ascii="仿宋" w:hAnsi="仿宋" w:eastAsia="仿宋" w:cs="仿宋"/>
          <w:sz w:val="32"/>
          <w:szCs w:val="32"/>
        </w:rPr>
        <w:instrText xml:space="preserve">工作保障措施</w:instrText>
      </w:r>
      <w:bookmarkEnd w:id="1"/>
      <w:r>
        <w:rPr>
          <w:rFonts w:hint="eastAsia" w:ascii="仿宋" w:hAnsi="仿宋" w:eastAsia="仿宋" w:cs="仿宋"/>
          <w:sz w:val="32"/>
          <w:szCs w:val="32"/>
        </w:rPr>
        <w:instrText xml:space="preserve"> \f A \l 1 </w:instrText>
      </w:r>
      <w:r>
        <w:rPr>
          <w:rFonts w:hint="eastAsia" w:ascii="仿宋" w:hAnsi="仿宋" w:eastAsia="仿宋" w:cs="仿宋"/>
          <w:sz w:val="32"/>
          <w:szCs w:val="32"/>
        </w:rPr>
        <w:fldChar w:fldCharType="end"/>
      </w:r>
    </w:p>
    <w:p w14:paraId="2A712395">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（一）为充分履行我</w:t>
      </w:r>
      <w:r>
        <w:rPr>
          <w:rFonts w:hint="eastAsia" w:ascii="仿宋" w:hAnsi="仿宋" w:eastAsia="仿宋" w:cs="仿宋"/>
          <w:sz w:val="32"/>
          <w:szCs w:val="32"/>
          <w:lang w:eastAsia="zh-CN"/>
        </w:rPr>
        <w:t>部门</w:t>
      </w:r>
      <w:r>
        <w:rPr>
          <w:rFonts w:hint="eastAsia" w:ascii="仿宋" w:hAnsi="仿宋" w:eastAsia="仿宋" w:cs="仿宋"/>
          <w:sz w:val="32"/>
          <w:szCs w:val="32"/>
        </w:rPr>
        <w:t>职责，达到上述绩效目标要求，并保证年度发展规划目标的顺利实现，采取下列几项措施：</w:t>
      </w:r>
    </w:p>
    <w:p w14:paraId="0D8CBCD0">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完善制度建设：通过不断完善支付制度，保证预算绩效目标顺利完成。</w:t>
      </w:r>
    </w:p>
    <w:p w14:paraId="5FC04646">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加强支出管理：通过优化支出结构、编细编实预算、加快履行政府采购手续、尽快启动项目、尽快支付资金等多项措施保证达到支出进度。</w:t>
      </w:r>
    </w:p>
    <w:p w14:paraId="4EE1F089">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（二）加强绩效运行监控:按要求开展绩效运行监控，发现问题及时采取措施，确保绩效目标保质如期实现。</w:t>
      </w:r>
    </w:p>
    <w:p w14:paraId="5C2F1FAF">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（三）做好绩效自评：按要求开展上一年度预算绩效自评和重点评价工作，对评价中发现的问题及时整改，调整优化支出结构，提高财政资金使用效益。</w:t>
      </w:r>
    </w:p>
    <w:p w14:paraId="76E14751">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（四）规范财务资产管理：完善财务管理制度，严格审批程序，加强固定资产登记、使用管理和报废处理管理，做到支出合理，物尽其用。</w:t>
      </w:r>
    </w:p>
    <w:p w14:paraId="29291113">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五）加强内部监督：加强内部监督制度建设，对绩效运行情况、重大支出决策、资产处置及其他重大经济业务决策和执行进行监督，对会计资料进行内部审计，并配合做好审计、财政监督等外部监督工作，确保财政资金安全有效。</w:t>
      </w:r>
    </w:p>
    <w:p w14:paraId="1709E4D2">
      <w:pPr>
        <w:spacing w:line="360" w:lineRule="auto"/>
        <w:jc w:val="left"/>
        <w:outlineLvl w:val="0"/>
        <w:rPr>
          <w:rFonts w:ascii="仿宋" w:hAnsi="仿宋" w:eastAsia="仿宋" w:cs="仿宋"/>
          <w:sz w:val="32"/>
          <w:szCs w:val="32"/>
        </w:rPr>
      </w:pPr>
      <w:r>
        <w:rPr>
          <w:rFonts w:hint="eastAsia" w:ascii="仿宋" w:hAnsi="仿宋" w:eastAsia="仿宋" w:cs="仿宋"/>
          <w:sz w:val="32"/>
          <w:szCs w:val="32"/>
        </w:rPr>
        <w:t xml:space="preserve">    （六）加强宣传培训调研等：加强人员培训，提高本</w:t>
      </w:r>
      <w:r>
        <w:rPr>
          <w:rFonts w:hint="eastAsia" w:ascii="仿宋" w:hAnsi="仿宋" w:eastAsia="仿宋" w:cs="仿宋"/>
          <w:sz w:val="32"/>
          <w:szCs w:val="32"/>
          <w:lang w:eastAsia="zh-CN"/>
        </w:rPr>
        <w:t>部门</w:t>
      </w:r>
      <w:r>
        <w:rPr>
          <w:rFonts w:hint="eastAsia" w:ascii="仿宋" w:hAnsi="仿宋" w:eastAsia="仿宋" w:cs="仿宋"/>
          <w:sz w:val="32"/>
          <w:szCs w:val="32"/>
        </w:rPr>
        <w:t>职工业务素质；加强调研，提出优化财政资金配置、提高资金使用效益的建议；加大宣传力度，强化预算绩效管理意识，促进预算绩效管理水平进一步提高。</w:t>
      </w:r>
    </w:p>
    <w:p w14:paraId="2E319EBB">
      <w:pPr>
        <w:widowControl/>
        <w:spacing w:line="500" w:lineRule="atLeast"/>
        <w:ind w:firstLine="560"/>
        <w:jc w:val="left"/>
        <w:rPr>
          <w:rFonts w:ascii="Times New Roman" w:hAnsi="Times New Roman" w:eastAsia="宋体" w:cs="Times New Roman"/>
          <w:color w:val="000000"/>
          <w:kern w:val="0"/>
          <w:sz w:val="28"/>
          <w:szCs w:val="28"/>
        </w:rPr>
      </w:pPr>
    </w:p>
    <w:p w14:paraId="55934A3F">
      <w:pPr>
        <w:widowControl/>
        <w:ind w:firstLine="1155"/>
        <w:rPr>
          <w:rFonts w:ascii="等线" w:hAnsi="等线" w:eastAsia="等线" w:cs="宋体"/>
          <w:color w:val="000000"/>
          <w:kern w:val="0"/>
          <w:sz w:val="22"/>
        </w:rPr>
      </w:pPr>
      <w:r>
        <w:rPr>
          <w:rFonts w:hint="eastAsia" w:ascii="等线" w:hAnsi="等线" w:eastAsia="等线" w:cs="宋体"/>
          <w:color w:val="000000"/>
          <w:kern w:val="0"/>
          <w:sz w:val="22"/>
        </w:rPr>
        <w:t> </w:t>
      </w:r>
    </w:p>
    <w:p w14:paraId="5EC34064">
      <w:pPr>
        <w:spacing w:line="360" w:lineRule="auto"/>
        <w:ind w:firstLine="640" w:firstLineChars="200"/>
        <w:rPr>
          <w:rFonts w:ascii="仿宋" w:hAnsi="仿宋" w:eastAsia="仿宋"/>
          <w:sz w:val="32"/>
          <w:szCs w:val="32"/>
        </w:rPr>
      </w:pPr>
    </w:p>
    <w:p w14:paraId="4A836D16">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14:paraId="6CE8D21B">
      <w:pPr>
        <w:spacing w:line="360" w:lineRule="auto"/>
        <w:ind w:firstLine="640" w:firstLineChars="200"/>
        <w:rPr>
          <w:rFonts w:ascii="仿宋" w:hAnsi="仿宋" w:eastAsia="仿宋"/>
          <w:sz w:val="32"/>
          <w:szCs w:val="32"/>
        </w:rPr>
      </w:pPr>
    </w:p>
    <w:p w14:paraId="1B35F3EA">
      <w:pPr>
        <w:ind w:firstLine="560"/>
        <w:outlineLvl w:val="3"/>
      </w:pPr>
      <w:bookmarkStart w:id="2" w:name="_Toc_4_4_0000000004"/>
      <w:r>
        <w:rPr>
          <w:rFonts w:ascii="方正仿宋_GBK" w:hAnsi="方正仿宋_GBK" w:eastAsia="方正仿宋_GBK" w:cs="方正仿宋_GBK"/>
          <w:color w:val="000000"/>
          <w:sz w:val="28"/>
        </w:rPr>
        <w:t>1.雪亮工程网络传输租赁费绩效目标表</w:t>
      </w:r>
      <w:bookmarkEnd w:id="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4BA82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B317D24">
            <w:pPr>
              <w:pStyle w:val="11"/>
            </w:pPr>
            <w:r>
              <w:t>216001中共保定市徐水区委政法委员会本级</w:t>
            </w:r>
          </w:p>
        </w:tc>
        <w:tc>
          <w:tcPr>
            <w:tcW w:w="1843" w:type="dxa"/>
            <w:tcBorders>
              <w:top w:val="single" w:color="FFFFFF" w:sz="6" w:space="0"/>
              <w:left w:val="single" w:color="FFFFFF" w:sz="6" w:space="0"/>
              <w:right w:val="single" w:color="FFFFFF" w:sz="6" w:space="0"/>
            </w:tcBorders>
            <w:vAlign w:val="center"/>
          </w:tcPr>
          <w:p w14:paraId="3A4CE5F9">
            <w:pPr>
              <w:pStyle w:val="10"/>
            </w:pPr>
            <w:r>
              <w:rPr>
                <w:rFonts w:hint="eastAsia"/>
                <w:lang w:eastAsia="zh-CN"/>
              </w:rPr>
              <w:t>部门</w:t>
            </w:r>
            <w:r>
              <w:t>：万元</w:t>
            </w:r>
          </w:p>
        </w:tc>
      </w:tr>
      <w:tr w14:paraId="06518B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EEA1C8">
            <w:pPr>
              <w:pStyle w:val="13"/>
            </w:pPr>
            <w:r>
              <w:t>项目编码</w:t>
            </w:r>
          </w:p>
        </w:tc>
        <w:tc>
          <w:tcPr>
            <w:tcW w:w="2608" w:type="dxa"/>
            <w:gridSpan w:val="2"/>
            <w:vAlign w:val="center"/>
          </w:tcPr>
          <w:p w14:paraId="59BC30B7">
            <w:pPr>
              <w:pStyle w:val="12"/>
            </w:pPr>
            <w:r>
              <w:t>13062522P004565101636</w:t>
            </w:r>
          </w:p>
        </w:tc>
        <w:tc>
          <w:tcPr>
            <w:tcW w:w="1587" w:type="dxa"/>
            <w:vAlign w:val="center"/>
          </w:tcPr>
          <w:p w14:paraId="39461E0C">
            <w:pPr>
              <w:pStyle w:val="13"/>
            </w:pPr>
            <w:r>
              <w:t>项目名称</w:t>
            </w:r>
          </w:p>
        </w:tc>
        <w:tc>
          <w:tcPr>
            <w:tcW w:w="4422" w:type="dxa"/>
            <w:gridSpan w:val="3"/>
            <w:vAlign w:val="center"/>
          </w:tcPr>
          <w:p w14:paraId="717ADC9B">
            <w:pPr>
              <w:pStyle w:val="12"/>
            </w:pPr>
            <w:r>
              <w:t>雪亮工程网络传输租赁费</w:t>
            </w:r>
          </w:p>
        </w:tc>
      </w:tr>
      <w:tr w14:paraId="10C4FF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582D34">
            <w:pPr>
              <w:pStyle w:val="13"/>
            </w:pPr>
            <w:r>
              <w:t>预算规模及资金用途</w:t>
            </w:r>
          </w:p>
        </w:tc>
        <w:tc>
          <w:tcPr>
            <w:tcW w:w="1276" w:type="dxa"/>
            <w:vAlign w:val="center"/>
          </w:tcPr>
          <w:p w14:paraId="5E24EA3D">
            <w:pPr>
              <w:pStyle w:val="13"/>
            </w:pPr>
            <w:r>
              <w:t>预算数</w:t>
            </w:r>
          </w:p>
        </w:tc>
        <w:tc>
          <w:tcPr>
            <w:tcW w:w="1332" w:type="dxa"/>
            <w:vAlign w:val="center"/>
          </w:tcPr>
          <w:p w14:paraId="4426759E">
            <w:pPr>
              <w:pStyle w:val="12"/>
            </w:pPr>
            <w:r>
              <w:t>137.52</w:t>
            </w:r>
          </w:p>
        </w:tc>
        <w:tc>
          <w:tcPr>
            <w:tcW w:w="1587" w:type="dxa"/>
            <w:vAlign w:val="center"/>
          </w:tcPr>
          <w:p w14:paraId="45C73257">
            <w:pPr>
              <w:pStyle w:val="13"/>
            </w:pPr>
            <w:r>
              <w:t>其中：财政    资金</w:t>
            </w:r>
          </w:p>
        </w:tc>
        <w:tc>
          <w:tcPr>
            <w:tcW w:w="1304" w:type="dxa"/>
            <w:vAlign w:val="center"/>
          </w:tcPr>
          <w:p w14:paraId="67A22B54">
            <w:pPr>
              <w:pStyle w:val="12"/>
            </w:pPr>
            <w:r>
              <w:t>137.52</w:t>
            </w:r>
          </w:p>
        </w:tc>
        <w:tc>
          <w:tcPr>
            <w:tcW w:w="1276" w:type="dxa"/>
            <w:vAlign w:val="center"/>
          </w:tcPr>
          <w:p w14:paraId="323F3BFC">
            <w:pPr>
              <w:pStyle w:val="13"/>
            </w:pPr>
            <w:r>
              <w:t>其他资金</w:t>
            </w:r>
          </w:p>
        </w:tc>
        <w:tc>
          <w:tcPr>
            <w:tcW w:w="1843" w:type="dxa"/>
            <w:vAlign w:val="center"/>
          </w:tcPr>
          <w:p w14:paraId="3F027474">
            <w:pPr>
              <w:pStyle w:val="12"/>
            </w:pPr>
            <w:r>
              <w:t xml:space="preserve"> </w:t>
            </w:r>
          </w:p>
        </w:tc>
      </w:tr>
      <w:tr w14:paraId="50E90F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EFC493"/>
        </w:tc>
        <w:tc>
          <w:tcPr>
            <w:tcW w:w="8617" w:type="dxa"/>
            <w:gridSpan w:val="6"/>
            <w:vAlign w:val="center"/>
          </w:tcPr>
          <w:p w14:paraId="26D78748">
            <w:pPr>
              <w:pStyle w:val="12"/>
            </w:pPr>
            <w:r>
              <w:t>用于“雪亮工程”一期暨公共安全视频监控建设联网应用工程中网络传输租赁费用，确保各监控点及综治网路平台正常运转。</w:t>
            </w:r>
          </w:p>
        </w:tc>
      </w:tr>
      <w:tr w14:paraId="5B8E73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57816C">
            <w:pPr>
              <w:pStyle w:val="13"/>
            </w:pPr>
            <w:r>
              <w:t>资金支出计划（%）</w:t>
            </w:r>
          </w:p>
        </w:tc>
        <w:tc>
          <w:tcPr>
            <w:tcW w:w="2608" w:type="dxa"/>
            <w:gridSpan w:val="2"/>
            <w:vAlign w:val="center"/>
          </w:tcPr>
          <w:p w14:paraId="3A64F49E">
            <w:pPr>
              <w:pStyle w:val="13"/>
            </w:pPr>
            <w:r>
              <w:t>3月底</w:t>
            </w:r>
          </w:p>
        </w:tc>
        <w:tc>
          <w:tcPr>
            <w:tcW w:w="1587" w:type="dxa"/>
            <w:vAlign w:val="center"/>
          </w:tcPr>
          <w:p w14:paraId="39DF45FD">
            <w:pPr>
              <w:pStyle w:val="13"/>
            </w:pPr>
            <w:r>
              <w:t>6月底</w:t>
            </w:r>
          </w:p>
        </w:tc>
        <w:tc>
          <w:tcPr>
            <w:tcW w:w="1304" w:type="dxa"/>
            <w:vAlign w:val="center"/>
          </w:tcPr>
          <w:p w14:paraId="69538270">
            <w:pPr>
              <w:pStyle w:val="13"/>
            </w:pPr>
            <w:r>
              <w:t>10月底</w:t>
            </w:r>
          </w:p>
        </w:tc>
        <w:tc>
          <w:tcPr>
            <w:tcW w:w="3118" w:type="dxa"/>
            <w:gridSpan w:val="2"/>
            <w:vAlign w:val="center"/>
          </w:tcPr>
          <w:p w14:paraId="16A85DA2">
            <w:pPr>
              <w:pStyle w:val="13"/>
            </w:pPr>
            <w:r>
              <w:t>12月底</w:t>
            </w:r>
          </w:p>
        </w:tc>
      </w:tr>
      <w:tr w14:paraId="1DD0EE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22B91D"/>
        </w:tc>
        <w:tc>
          <w:tcPr>
            <w:tcW w:w="2608" w:type="dxa"/>
            <w:gridSpan w:val="2"/>
            <w:vAlign w:val="center"/>
          </w:tcPr>
          <w:p w14:paraId="2657EBAA">
            <w:pPr>
              <w:pStyle w:val="14"/>
            </w:pPr>
            <w:r>
              <w:t xml:space="preserve"> </w:t>
            </w:r>
          </w:p>
        </w:tc>
        <w:tc>
          <w:tcPr>
            <w:tcW w:w="1587" w:type="dxa"/>
            <w:vAlign w:val="center"/>
          </w:tcPr>
          <w:p w14:paraId="563C0B85">
            <w:pPr>
              <w:pStyle w:val="14"/>
            </w:pPr>
            <w:r>
              <w:t xml:space="preserve"> </w:t>
            </w:r>
          </w:p>
        </w:tc>
        <w:tc>
          <w:tcPr>
            <w:tcW w:w="1304" w:type="dxa"/>
            <w:vAlign w:val="center"/>
          </w:tcPr>
          <w:p w14:paraId="2DC93C32">
            <w:pPr>
              <w:pStyle w:val="14"/>
            </w:pPr>
            <w:r>
              <w:t>100%</w:t>
            </w:r>
          </w:p>
        </w:tc>
        <w:tc>
          <w:tcPr>
            <w:tcW w:w="3118" w:type="dxa"/>
            <w:gridSpan w:val="2"/>
            <w:vAlign w:val="center"/>
          </w:tcPr>
          <w:p w14:paraId="7FC5CC99">
            <w:pPr>
              <w:pStyle w:val="14"/>
            </w:pPr>
            <w:r>
              <w:t>100%</w:t>
            </w:r>
          </w:p>
        </w:tc>
      </w:tr>
      <w:tr w14:paraId="081C8F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F696B0">
            <w:pPr>
              <w:pStyle w:val="13"/>
            </w:pPr>
            <w:r>
              <w:t>绩效目标</w:t>
            </w:r>
          </w:p>
        </w:tc>
        <w:tc>
          <w:tcPr>
            <w:tcW w:w="8617" w:type="dxa"/>
            <w:gridSpan w:val="6"/>
            <w:vAlign w:val="center"/>
          </w:tcPr>
          <w:p w14:paraId="251A0061">
            <w:pPr>
              <w:pStyle w:val="12"/>
            </w:pPr>
            <w:r>
              <w:t>1.“实现全域覆盖、全网共享、全时可用、全程可控”，提高全区安全系数“视频监控网络畅通，能够顺利开展工作”</w:t>
            </w:r>
          </w:p>
          <w:p w14:paraId="343D737C">
            <w:pPr>
              <w:pStyle w:val="12"/>
            </w:pPr>
            <w:r>
              <w:t>2.资金支付进度六月前百分比支付到位2023年按期支付</w:t>
            </w:r>
          </w:p>
        </w:tc>
      </w:tr>
    </w:tbl>
    <w:p w14:paraId="07677B5D">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026B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C9B1DD">
            <w:pPr>
              <w:pStyle w:val="13"/>
            </w:pPr>
            <w:r>
              <w:t>一级指标</w:t>
            </w:r>
          </w:p>
        </w:tc>
        <w:tc>
          <w:tcPr>
            <w:tcW w:w="1276" w:type="dxa"/>
            <w:vAlign w:val="center"/>
          </w:tcPr>
          <w:p w14:paraId="38D188AD">
            <w:pPr>
              <w:pStyle w:val="13"/>
            </w:pPr>
            <w:r>
              <w:t>二级指标</w:t>
            </w:r>
          </w:p>
        </w:tc>
        <w:tc>
          <w:tcPr>
            <w:tcW w:w="1332" w:type="dxa"/>
            <w:vAlign w:val="center"/>
          </w:tcPr>
          <w:p w14:paraId="3C74F2BD">
            <w:pPr>
              <w:pStyle w:val="13"/>
            </w:pPr>
            <w:r>
              <w:t>三级指标</w:t>
            </w:r>
          </w:p>
        </w:tc>
        <w:tc>
          <w:tcPr>
            <w:tcW w:w="2891" w:type="dxa"/>
            <w:vAlign w:val="center"/>
          </w:tcPr>
          <w:p w14:paraId="210D9103">
            <w:pPr>
              <w:pStyle w:val="13"/>
            </w:pPr>
            <w:r>
              <w:t>绩效指标描述</w:t>
            </w:r>
          </w:p>
        </w:tc>
        <w:tc>
          <w:tcPr>
            <w:tcW w:w="1276" w:type="dxa"/>
            <w:vAlign w:val="center"/>
          </w:tcPr>
          <w:p w14:paraId="69B30FF3">
            <w:pPr>
              <w:pStyle w:val="13"/>
            </w:pPr>
            <w:r>
              <w:t>指标值</w:t>
            </w:r>
          </w:p>
        </w:tc>
        <w:tc>
          <w:tcPr>
            <w:tcW w:w="1843" w:type="dxa"/>
            <w:vAlign w:val="center"/>
          </w:tcPr>
          <w:p w14:paraId="1DBAFF7F">
            <w:pPr>
              <w:pStyle w:val="13"/>
            </w:pPr>
            <w:r>
              <w:t>指标值确定依据</w:t>
            </w:r>
          </w:p>
        </w:tc>
      </w:tr>
      <w:tr w14:paraId="2EB87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08706C">
            <w:pPr>
              <w:pStyle w:val="14"/>
            </w:pPr>
            <w:r>
              <w:t>产出指标</w:t>
            </w:r>
          </w:p>
        </w:tc>
        <w:tc>
          <w:tcPr>
            <w:tcW w:w="1276" w:type="dxa"/>
            <w:vAlign w:val="center"/>
          </w:tcPr>
          <w:p w14:paraId="11863402">
            <w:pPr>
              <w:pStyle w:val="12"/>
            </w:pPr>
            <w:r>
              <w:t>数量指标</w:t>
            </w:r>
          </w:p>
        </w:tc>
        <w:tc>
          <w:tcPr>
            <w:tcW w:w="1332" w:type="dxa"/>
            <w:vAlign w:val="center"/>
          </w:tcPr>
          <w:p w14:paraId="5A27D9C6">
            <w:pPr>
              <w:pStyle w:val="12"/>
            </w:pPr>
            <w:r>
              <w:t>检查维护次数</w:t>
            </w:r>
          </w:p>
        </w:tc>
        <w:tc>
          <w:tcPr>
            <w:tcW w:w="2891" w:type="dxa"/>
            <w:vAlign w:val="center"/>
          </w:tcPr>
          <w:p w14:paraId="7C7A0D81">
            <w:pPr>
              <w:pStyle w:val="12"/>
            </w:pPr>
            <w:r>
              <w:t>每月对线路、信号传输设备等进行检查</w:t>
            </w:r>
          </w:p>
        </w:tc>
        <w:tc>
          <w:tcPr>
            <w:tcW w:w="1276" w:type="dxa"/>
            <w:vAlign w:val="center"/>
          </w:tcPr>
          <w:p w14:paraId="3E080655">
            <w:pPr>
              <w:pStyle w:val="12"/>
            </w:pPr>
            <w:r>
              <w:t>≥30次</w:t>
            </w:r>
          </w:p>
        </w:tc>
        <w:tc>
          <w:tcPr>
            <w:tcW w:w="1843" w:type="dxa"/>
            <w:vAlign w:val="center"/>
          </w:tcPr>
          <w:p w14:paraId="6646CF97">
            <w:pPr>
              <w:pStyle w:val="12"/>
            </w:pPr>
            <w:r>
              <w:t>依据工作方案</w:t>
            </w:r>
          </w:p>
        </w:tc>
      </w:tr>
      <w:tr w14:paraId="74F23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402371"/>
        </w:tc>
        <w:tc>
          <w:tcPr>
            <w:tcW w:w="1276" w:type="dxa"/>
            <w:vAlign w:val="center"/>
          </w:tcPr>
          <w:p w14:paraId="5BFAED74">
            <w:pPr>
              <w:pStyle w:val="12"/>
            </w:pPr>
            <w:r>
              <w:t>质量指标</w:t>
            </w:r>
          </w:p>
        </w:tc>
        <w:tc>
          <w:tcPr>
            <w:tcW w:w="1332" w:type="dxa"/>
            <w:vAlign w:val="center"/>
          </w:tcPr>
          <w:p w14:paraId="313556C7">
            <w:pPr>
              <w:pStyle w:val="12"/>
            </w:pPr>
            <w:r>
              <w:t>网络畅通率</w:t>
            </w:r>
          </w:p>
        </w:tc>
        <w:tc>
          <w:tcPr>
            <w:tcW w:w="2891" w:type="dxa"/>
            <w:vAlign w:val="center"/>
          </w:tcPr>
          <w:p w14:paraId="733D7A50">
            <w:pPr>
              <w:pStyle w:val="12"/>
            </w:pPr>
            <w:r>
              <w:t>网络通畅天数与实际天数之比</w:t>
            </w:r>
          </w:p>
        </w:tc>
        <w:tc>
          <w:tcPr>
            <w:tcW w:w="1276" w:type="dxa"/>
            <w:vAlign w:val="center"/>
          </w:tcPr>
          <w:p w14:paraId="7AEE1604">
            <w:pPr>
              <w:pStyle w:val="12"/>
            </w:pPr>
            <w:r>
              <w:t>≥98百分比</w:t>
            </w:r>
          </w:p>
        </w:tc>
        <w:tc>
          <w:tcPr>
            <w:tcW w:w="1843" w:type="dxa"/>
            <w:vAlign w:val="center"/>
          </w:tcPr>
          <w:p w14:paraId="41649EA8">
            <w:pPr>
              <w:pStyle w:val="12"/>
            </w:pPr>
            <w:r>
              <w:t>依据工作方案</w:t>
            </w:r>
          </w:p>
        </w:tc>
      </w:tr>
      <w:tr w14:paraId="2FCCC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DE8544"/>
        </w:tc>
        <w:tc>
          <w:tcPr>
            <w:tcW w:w="1276" w:type="dxa"/>
            <w:vAlign w:val="center"/>
          </w:tcPr>
          <w:p w14:paraId="6ED816F2">
            <w:pPr>
              <w:pStyle w:val="12"/>
            </w:pPr>
            <w:r>
              <w:t>时效指标</w:t>
            </w:r>
          </w:p>
        </w:tc>
        <w:tc>
          <w:tcPr>
            <w:tcW w:w="1332" w:type="dxa"/>
            <w:vAlign w:val="center"/>
          </w:tcPr>
          <w:p w14:paraId="40FAACEB">
            <w:pPr>
              <w:pStyle w:val="12"/>
            </w:pPr>
            <w:r>
              <w:t>维护及时率</w:t>
            </w:r>
          </w:p>
        </w:tc>
        <w:tc>
          <w:tcPr>
            <w:tcW w:w="2891" w:type="dxa"/>
            <w:vAlign w:val="center"/>
          </w:tcPr>
          <w:p w14:paraId="75A3ADB3">
            <w:pPr>
              <w:pStyle w:val="12"/>
            </w:pPr>
            <w:r>
              <w:t>各项任务完成及时率</w:t>
            </w:r>
          </w:p>
        </w:tc>
        <w:tc>
          <w:tcPr>
            <w:tcW w:w="1276" w:type="dxa"/>
            <w:vAlign w:val="center"/>
          </w:tcPr>
          <w:p w14:paraId="61DEB3A1">
            <w:pPr>
              <w:pStyle w:val="12"/>
            </w:pPr>
            <w:r>
              <w:t>≥95百分比</w:t>
            </w:r>
          </w:p>
        </w:tc>
        <w:tc>
          <w:tcPr>
            <w:tcW w:w="1843" w:type="dxa"/>
            <w:vAlign w:val="center"/>
          </w:tcPr>
          <w:p w14:paraId="1D90D395">
            <w:pPr>
              <w:pStyle w:val="12"/>
            </w:pPr>
            <w:r>
              <w:t>依据工作方案</w:t>
            </w:r>
          </w:p>
        </w:tc>
      </w:tr>
      <w:tr w14:paraId="47BEF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602FB7"/>
        </w:tc>
        <w:tc>
          <w:tcPr>
            <w:tcW w:w="1276" w:type="dxa"/>
            <w:vAlign w:val="center"/>
          </w:tcPr>
          <w:p w14:paraId="50DABFD0">
            <w:pPr>
              <w:pStyle w:val="12"/>
            </w:pPr>
            <w:r>
              <w:t>成本指标</w:t>
            </w:r>
          </w:p>
        </w:tc>
        <w:tc>
          <w:tcPr>
            <w:tcW w:w="1332" w:type="dxa"/>
            <w:vAlign w:val="center"/>
          </w:tcPr>
          <w:p w14:paraId="6964FDC1">
            <w:pPr>
              <w:pStyle w:val="12"/>
            </w:pPr>
            <w:r>
              <w:t>资金成本</w:t>
            </w:r>
          </w:p>
        </w:tc>
        <w:tc>
          <w:tcPr>
            <w:tcW w:w="2891" w:type="dxa"/>
            <w:vAlign w:val="center"/>
          </w:tcPr>
          <w:p w14:paraId="4439E8BF">
            <w:pPr>
              <w:pStyle w:val="12"/>
            </w:pPr>
            <w:r>
              <w:t>资金成本</w:t>
            </w:r>
          </w:p>
        </w:tc>
        <w:tc>
          <w:tcPr>
            <w:tcW w:w="1276" w:type="dxa"/>
            <w:vAlign w:val="center"/>
          </w:tcPr>
          <w:p w14:paraId="693092A5">
            <w:pPr>
              <w:pStyle w:val="12"/>
            </w:pPr>
            <w:r>
              <w:t>≤137.52万元</w:t>
            </w:r>
          </w:p>
        </w:tc>
        <w:tc>
          <w:tcPr>
            <w:tcW w:w="1843" w:type="dxa"/>
            <w:vAlign w:val="center"/>
          </w:tcPr>
          <w:p w14:paraId="1607C11D">
            <w:pPr>
              <w:pStyle w:val="12"/>
            </w:pPr>
            <w:r>
              <w:t>依据工作方案</w:t>
            </w:r>
          </w:p>
        </w:tc>
      </w:tr>
      <w:tr w14:paraId="1E383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E39F27">
            <w:pPr>
              <w:pStyle w:val="14"/>
            </w:pPr>
            <w:r>
              <w:t>效益指标</w:t>
            </w:r>
          </w:p>
        </w:tc>
        <w:tc>
          <w:tcPr>
            <w:tcW w:w="1276" w:type="dxa"/>
            <w:vAlign w:val="center"/>
          </w:tcPr>
          <w:p w14:paraId="03730573">
            <w:pPr>
              <w:pStyle w:val="12"/>
            </w:pPr>
            <w:r>
              <w:t>社会效益指标</w:t>
            </w:r>
          </w:p>
        </w:tc>
        <w:tc>
          <w:tcPr>
            <w:tcW w:w="1332" w:type="dxa"/>
            <w:vAlign w:val="center"/>
          </w:tcPr>
          <w:p w14:paraId="18609CAE">
            <w:pPr>
              <w:pStyle w:val="12"/>
            </w:pPr>
            <w:r>
              <w:t>公共安全感</w:t>
            </w:r>
          </w:p>
        </w:tc>
        <w:tc>
          <w:tcPr>
            <w:tcW w:w="2891" w:type="dxa"/>
            <w:vAlign w:val="center"/>
          </w:tcPr>
          <w:p w14:paraId="2CD1BA8F">
            <w:pPr>
              <w:pStyle w:val="12"/>
            </w:pPr>
            <w:r>
              <w:rPr>
                <w:rFonts w:hint="eastAsia"/>
                <w:lang w:eastAsia="zh-CN"/>
              </w:rPr>
              <w:t>人民群众</w:t>
            </w:r>
            <w:r>
              <w:t>幸福指数</w:t>
            </w:r>
          </w:p>
        </w:tc>
        <w:tc>
          <w:tcPr>
            <w:tcW w:w="1276" w:type="dxa"/>
            <w:vAlign w:val="center"/>
          </w:tcPr>
          <w:p w14:paraId="3AC7E450">
            <w:pPr>
              <w:pStyle w:val="12"/>
            </w:pPr>
            <w:r>
              <w:t>≥90百分比</w:t>
            </w:r>
          </w:p>
        </w:tc>
        <w:tc>
          <w:tcPr>
            <w:tcW w:w="1843" w:type="dxa"/>
            <w:vAlign w:val="center"/>
          </w:tcPr>
          <w:p w14:paraId="59CAF551">
            <w:pPr>
              <w:pStyle w:val="12"/>
            </w:pPr>
            <w:r>
              <w:t>依据工作方案</w:t>
            </w:r>
          </w:p>
        </w:tc>
      </w:tr>
      <w:tr w14:paraId="647A8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A4CD54">
            <w:pPr>
              <w:pStyle w:val="14"/>
            </w:pPr>
            <w:r>
              <w:t>满意度指标</w:t>
            </w:r>
          </w:p>
        </w:tc>
        <w:tc>
          <w:tcPr>
            <w:tcW w:w="1276" w:type="dxa"/>
            <w:vAlign w:val="center"/>
          </w:tcPr>
          <w:p w14:paraId="6DEBFE91">
            <w:pPr>
              <w:pStyle w:val="12"/>
            </w:pPr>
            <w:r>
              <w:t>服务对象满意度指标</w:t>
            </w:r>
          </w:p>
        </w:tc>
        <w:tc>
          <w:tcPr>
            <w:tcW w:w="1332" w:type="dxa"/>
            <w:vAlign w:val="center"/>
          </w:tcPr>
          <w:p w14:paraId="4D897C11">
            <w:pPr>
              <w:pStyle w:val="12"/>
            </w:pPr>
            <w:r>
              <w:t>群众满意度</w:t>
            </w:r>
          </w:p>
        </w:tc>
        <w:tc>
          <w:tcPr>
            <w:tcW w:w="2891" w:type="dxa"/>
            <w:vAlign w:val="center"/>
          </w:tcPr>
          <w:p w14:paraId="098E6C4E">
            <w:pPr>
              <w:pStyle w:val="12"/>
            </w:pPr>
            <w:r>
              <w:t>群众对“雪亮工程”应用效果的整体满意度</w:t>
            </w:r>
          </w:p>
        </w:tc>
        <w:tc>
          <w:tcPr>
            <w:tcW w:w="1276" w:type="dxa"/>
            <w:vAlign w:val="center"/>
          </w:tcPr>
          <w:p w14:paraId="031374A9">
            <w:pPr>
              <w:pStyle w:val="12"/>
            </w:pPr>
            <w:r>
              <w:t>≥95百分比</w:t>
            </w:r>
          </w:p>
        </w:tc>
        <w:tc>
          <w:tcPr>
            <w:tcW w:w="1843" w:type="dxa"/>
            <w:vAlign w:val="center"/>
          </w:tcPr>
          <w:p w14:paraId="71C8FA47">
            <w:pPr>
              <w:pStyle w:val="12"/>
            </w:pPr>
            <w:r>
              <w:t>依据工作方案</w:t>
            </w:r>
          </w:p>
        </w:tc>
      </w:tr>
    </w:tbl>
    <w:p w14:paraId="4BE9C60E">
      <w:pPr>
        <w:sectPr>
          <w:pgSz w:w="11900" w:h="16840"/>
          <w:pgMar w:top="1984" w:right="1304" w:bottom="1134" w:left="1304" w:header="720" w:footer="720" w:gutter="0"/>
          <w:cols w:space="720" w:num="1"/>
        </w:sectPr>
      </w:pPr>
    </w:p>
    <w:p w14:paraId="41DED0C1">
      <w:pPr>
        <w:jc w:val="center"/>
      </w:pPr>
      <w:r>
        <w:rPr>
          <w:rFonts w:ascii="方正仿宋_GBK" w:hAnsi="方正仿宋_GBK" w:eastAsia="方正仿宋_GBK" w:cs="方正仿宋_GBK"/>
          <w:color w:val="000000"/>
          <w:sz w:val="28"/>
        </w:rPr>
        <w:t xml:space="preserve"> </w:t>
      </w:r>
    </w:p>
    <w:p w14:paraId="3AB9DEF2">
      <w:pPr>
        <w:ind w:firstLine="560"/>
        <w:outlineLvl w:val="3"/>
      </w:pPr>
      <w:bookmarkStart w:id="3" w:name="_Toc_4_4_0000000005"/>
      <w:r>
        <w:rPr>
          <w:rFonts w:ascii="方正仿宋_GBK" w:hAnsi="方正仿宋_GBK" w:eastAsia="方正仿宋_GBK" w:cs="方正仿宋_GBK"/>
          <w:color w:val="000000"/>
          <w:sz w:val="28"/>
        </w:rPr>
        <w:t>2.政法网络租赁经费（运转保障）绩效目标表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BDF68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5E10D1A">
            <w:pPr>
              <w:pStyle w:val="11"/>
            </w:pPr>
            <w:r>
              <w:t>216001中共保定市徐水区委政法委员会本级</w:t>
            </w:r>
          </w:p>
        </w:tc>
        <w:tc>
          <w:tcPr>
            <w:tcW w:w="1843" w:type="dxa"/>
            <w:tcBorders>
              <w:top w:val="single" w:color="FFFFFF" w:sz="6" w:space="0"/>
              <w:left w:val="single" w:color="FFFFFF" w:sz="6" w:space="0"/>
              <w:right w:val="single" w:color="FFFFFF" w:sz="6" w:space="0"/>
            </w:tcBorders>
            <w:vAlign w:val="center"/>
          </w:tcPr>
          <w:p w14:paraId="6513CB25">
            <w:pPr>
              <w:pStyle w:val="10"/>
            </w:pPr>
            <w:r>
              <w:rPr>
                <w:rFonts w:hint="eastAsia"/>
                <w:lang w:eastAsia="zh-CN"/>
              </w:rPr>
              <w:t>部门</w:t>
            </w:r>
            <w:r>
              <w:t>：万元</w:t>
            </w:r>
          </w:p>
        </w:tc>
      </w:tr>
      <w:tr w14:paraId="27F421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B891F9">
            <w:pPr>
              <w:pStyle w:val="13"/>
            </w:pPr>
            <w:r>
              <w:t>项目编码</w:t>
            </w:r>
          </w:p>
        </w:tc>
        <w:tc>
          <w:tcPr>
            <w:tcW w:w="2608" w:type="dxa"/>
            <w:gridSpan w:val="2"/>
            <w:vAlign w:val="center"/>
          </w:tcPr>
          <w:p w14:paraId="3CD6481F">
            <w:pPr>
              <w:pStyle w:val="12"/>
            </w:pPr>
            <w:r>
              <w:t>13062522P00456510135R</w:t>
            </w:r>
          </w:p>
        </w:tc>
        <w:tc>
          <w:tcPr>
            <w:tcW w:w="1587" w:type="dxa"/>
            <w:vAlign w:val="center"/>
          </w:tcPr>
          <w:p w14:paraId="18F2FE68">
            <w:pPr>
              <w:pStyle w:val="13"/>
            </w:pPr>
            <w:r>
              <w:t>项目名称</w:t>
            </w:r>
          </w:p>
        </w:tc>
        <w:tc>
          <w:tcPr>
            <w:tcW w:w="4422" w:type="dxa"/>
            <w:gridSpan w:val="3"/>
            <w:vAlign w:val="center"/>
          </w:tcPr>
          <w:p w14:paraId="21E0158B">
            <w:pPr>
              <w:pStyle w:val="12"/>
            </w:pPr>
            <w:r>
              <w:t>政法网络租赁经费（运转保障）</w:t>
            </w:r>
          </w:p>
        </w:tc>
      </w:tr>
      <w:tr w14:paraId="168BE0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EF08F1">
            <w:pPr>
              <w:pStyle w:val="13"/>
            </w:pPr>
            <w:r>
              <w:t>预算规模及资金用途</w:t>
            </w:r>
          </w:p>
        </w:tc>
        <w:tc>
          <w:tcPr>
            <w:tcW w:w="1276" w:type="dxa"/>
            <w:vAlign w:val="center"/>
          </w:tcPr>
          <w:p w14:paraId="53298D60">
            <w:pPr>
              <w:pStyle w:val="13"/>
            </w:pPr>
            <w:r>
              <w:t>预算数</w:t>
            </w:r>
          </w:p>
        </w:tc>
        <w:tc>
          <w:tcPr>
            <w:tcW w:w="1332" w:type="dxa"/>
            <w:vAlign w:val="center"/>
          </w:tcPr>
          <w:p w14:paraId="63863975">
            <w:pPr>
              <w:pStyle w:val="12"/>
            </w:pPr>
            <w:r>
              <w:t>20.00</w:t>
            </w:r>
          </w:p>
        </w:tc>
        <w:tc>
          <w:tcPr>
            <w:tcW w:w="1587" w:type="dxa"/>
            <w:vAlign w:val="center"/>
          </w:tcPr>
          <w:p w14:paraId="75481CF1">
            <w:pPr>
              <w:pStyle w:val="13"/>
            </w:pPr>
            <w:r>
              <w:t>其中：财政    资金</w:t>
            </w:r>
          </w:p>
        </w:tc>
        <w:tc>
          <w:tcPr>
            <w:tcW w:w="1304" w:type="dxa"/>
            <w:vAlign w:val="center"/>
          </w:tcPr>
          <w:p w14:paraId="41929657">
            <w:pPr>
              <w:pStyle w:val="12"/>
            </w:pPr>
            <w:r>
              <w:t>20.00</w:t>
            </w:r>
          </w:p>
        </w:tc>
        <w:tc>
          <w:tcPr>
            <w:tcW w:w="1276" w:type="dxa"/>
            <w:vAlign w:val="center"/>
          </w:tcPr>
          <w:p w14:paraId="54CF82C4">
            <w:pPr>
              <w:pStyle w:val="13"/>
            </w:pPr>
            <w:r>
              <w:t>其他资金</w:t>
            </w:r>
          </w:p>
        </w:tc>
        <w:tc>
          <w:tcPr>
            <w:tcW w:w="1843" w:type="dxa"/>
            <w:vAlign w:val="center"/>
          </w:tcPr>
          <w:p w14:paraId="308A5212">
            <w:pPr>
              <w:pStyle w:val="12"/>
            </w:pPr>
            <w:r>
              <w:t xml:space="preserve"> </w:t>
            </w:r>
          </w:p>
        </w:tc>
      </w:tr>
      <w:tr w14:paraId="346626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677BF3"/>
        </w:tc>
        <w:tc>
          <w:tcPr>
            <w:tcW w:w="8617" w:type="dxa"/>
            <w:gridSpan w:val="6"/>
            <w:vAlign w:val="center"/>
          </w:tcPr>
          <w:p w14:paraId="288BC6E4">
            <w:pPr>
              <w:pStyle w:val="12"/>
            </w:pPr>
            <w:r>
              <w:t>确保全区政法网络正常运行</w:t>
            </w:r>
          </w:p>
        </w:tc>
      </w:tr>
      <w:tr w14:paraId="5D3CF1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E6A3C6">
            <w:pPr>
              <w:pStyle w:val="13"/>
            </w:pPr>
            <w:r>
              <w:t>资金支出计划（%）</w:t>
            </w:r>
          </w:p>
        </w:tc>
        <w:tc>
          <w:tcPr>
            <w:tcW w:w="2608" w:type="dxa"/>
            <w:gridSpan w:val="2"/>
            <w:vAlign w:val="center"/>
          </w:tcPr>
          <w:p w14:paraId="2AC6344E">
            <w:pPr>
              <w:pStyle w:val="13"/>
            </w:pPr>
            <w:r>
              <w:t>3月底</w:t>
            </w:r>
          </w:p>
        </w:tc>
        <w:tc>
          <w:tcPr>
            <w:tcW w:w="1587" w:type="dxa"/>
            <w:vAlign w:val="center"/>
          </w:tcPr>
          <w:p w14:paraId="7E0A4FD9">
            <w:pPr>
              <w:pStyle w:val="13"/>
            </w:pPr>
            <w:r>
              <w:t>6月底</w:t>
            </w:r>
          </w:p>
        </w:tc>
        <w:tc>
          <w:tcPr>
            <w:tcW w:w="1304" w:type="dxa"/>
            <w:vAlign w:val="center"/>
          </w:tcPr>
          <w:p w14:paraId="724778D6">
            <w:pPr>
              <w:pStyle w:val="13"/>
            </w:pPr>
            <w:r>
              <w:t>10月底</w:t>
            </w:r>
          </w:p>
        </w:tc>
        <w:tc>
          <w:tcPr>
            <w:tcW w:w="3118" w:type="dxa"/>
            <w:gridSpan w:val="2"/>
            <w:vAlign w:val="center"/>
          </w:tcPr>
          <w:p w14:paraId="05A63D31">
            <w:pPr>
              <w:pStyle w:val="13"/>
            </w:pPr>
            <w:r>
              <w:t>12月底</w:t>
            </w:r>
          </w:p>
        </w:tc>
      </w:tr>
      <w:tr w14:paraId="7A851A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CA4C6C"/>
        </w:tc>
        <w:tc>
          <w:tcPr>
            <w:tcW w:w="2608" w:type="dxa"/>
            <w:gridSpan w:val="2"/>
            <w:vAlign w:val="center"/>
          </w:tcPr>
          <w:p w14:paraId="4FE8C612">
            <w:pPr>
              <w:pStyle w:val="14"/>
            </w:pPr>
            <w:r>
              <w:t xml:space="preserve"> </w:t>
            </w:r>
          </w:p>
        </w:tc>
        <w:tc>
          <w:tcPr>
            <w:tcW w:w="1587" w:type="dxa"/>
            <w:vAlign w:val="center"/>
          </w:tcPr>
          <w:p w14:paraId="4FF2CB6D">
            <w:pPr>
              <w:pStyle w:val="14"/>
            </w:pPr>
            <w:r>
              <w:t>100%</w:t>
            </w:r>
          </w:p>
        </w:tc>
        <w:tc>
          <w:tcPr>
            <w:tcW w:w="1304" w:type="dxa"/>
            <w:vAlign w:val="center"/>
          </w:tcPr>
          <w:p w14:paraId="63AE178A">
            <w:pPr>
              <w:pStyle w:val="14"/>
            </w:pPr>
            <w:r>
              <w:t>100%</w:t>
            </w:r>
          </w:p>
        </w:tc>
        <w:tc>
          <w:tcPr>
            <w:tcW w:w="3118" w:type="dxa"/>
            <w:gridSpan w:val="2"/>
            <w:vAlign w:val="center"/>
          </w:tcPr>
          <w:p w14:paraId="09CE66D9">
            <w:pPr>
              <w:pStyle w:val="14"/>
            </w:pPr>
            <w:r>
              <w:t>100%</w:t>
            </w:r>
          </w:p>
        </w:tc>
      </w:tr>
      <w:tr w14:paraId="46E487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911D61">
            <w:pPr>
              <w:pStyle w:val="13"/>
            </w:pPr>
            <w:r>
              <w:t>绩效目标</w:t>
            </w:r>
          </w:p>
        </w:tc>
        <w:tc>
          <w:tcPr>
            <w:tcW w:w="8617" w:type="dxa"/>
            <w:gridSpan w:val="6"/>
            <w:vAlign w:val="center"/>
          </w:tcPr>
          <w:p w14:paraId="0871A0FF">
            <w:pPr>
              <w:pStyle w:val="12"/>
            </w:pPr>
            <w:r>
              <w:t>1.资金按照进度支出6月份前100%支出</w:t>
            </w:r>
          </w:p>
          <w:p w14:paraId="675C6675">
            <w:pPr>
              <w:pStyle w:val="12"/>
            </w:pPr>
            <w:r>
              <w:t>2.保障政法网络正常运转</w:t>
            </w:r>
          </w:p>
        </w:tc>
      </w:tr>
    </w:tbl>
    <w:p w14:paraId="081BB7B0">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6B42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5D361F">
            <w:pPr>
              <w:pStyle w:val="13"/>
            </w:pPr>
            <w:r>
              <w:t>一级指标</w:t>
            </w:r>
          </w:p>
        </w:tc>
        <w:tc>
          <w:tcPr>
            <w:tcW w:w="1276" w:type="dxa"/>
            <w:vAlign w:val="center"/>
          </w:tcPr>
          <w:p w14:paraId="0EA58C83">
            <w:pPr>
              <w:pStyle w:val="13"/>
            </w:pPr>
            <w:r>
              <w:t>二级指标</w:t>
            </w:r>
          </w:p>
        </w:tc>
        <w:tc>
          <w:tcPr>
            <w:tcW w:w="1332" w:type="dxa"/>
            <w:vAlign w:val="center"/>
          </w:tcPr>
          <w:p w14:paraId="6E7003A2">
            <w:pPr>
              <w:pStyle w:val="13"/>
            </w:pPr>
            <w:r>
              <w:t>三级指标</w:t>
            </w:r>
          </w:p>
        </w:tc>
        <w:tc>
          <w:tcPr>
            <w:tcW w:w="2891" w:type="dxa"/>
            <w:vAlign w:val="center"/>
          </w:tcPr>
          <w:p w14:paraId="01EF74C5">
            <w:pPr>
              <w:pStyle w:val="13"/>
            </w:pPr>
            <w:r>
              <w:t>绩效指标描述</w:t>
            </w:r>
          </w:p>
        </w:tc>
        <w:tc>
          <w:tcPr>
            <w:tcW w:w="1276" w:type="dxa"/>
            <w:vAlign w:val="center"/>
          </w:tcPr>
          <w:p w14:paraId="51F27A96">
            <w:pPr>
              <w:pStyle w:val="13"/>
            </w:pPr>
            <w:r>
              <w:t>指标值</w:t>
            </w:r>
          </w:p>
        </w:tc>
        <w:tc>
          <w:tcPr>
            <w:tcW w:w="1843" w:type="dxa"/>
            <w:vAlign w:val="center"/>
          </w:tcPr>
          <w:p w14:paraId="1793F7BA">
            <w:pPr>
              <w:pStyle w:val="13"/>
            </w:pPr>
            <w:r>
              <w:t>指标值确定依据</w:t>
            </w:r>
          </w:p>
        </w:tc>
      </w:tr>
      <w:tr w14:paraId="7ADE6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816B21">
            <w:pPr>
              <w:pStyle w:val="14"/>
            </w:pPr>
            <w:r>
              <w:t>产出指标</w:t>
            </w:r>
          </w:p>
        </w:tc>
        <w:tc>
          <w:tcPr>
            <w:tcW w:w="1276" w:type="dxa"/>
            <w:vAlign w:val="center"/>
          </w:tcPr>
          <w:p w14:paraId="6C8D2DCD">
            <w:pPr>
              <w:pStyle w:val="12"/>
            </w:pPr>
            <w:r>
              <w:t>数量指标</w:t>
            </w:r>
          </w:p>
        </w:tc>
        <w:tc>
          <w:tcPr>
            <w:tcW w:w="1332" w:type="dxa"/>
            <w:vAlign w:val="center"/>
          </w:tcPr>
          <w:p w14:paraId="556414B0">
            <w:pPr>
              <w:pStyle w:val="12"/>
            </w:pPr>
            <w:r>
              <w:t>检查维护次数</w:t>
            </w:r>
          </w:p>
        </w:tc>
        <w:tc>
          <w:tcPr>
            <w:tcW w:w="2891" w:type="dxa"/>
            <w:vAlign w:val="center"/>
          </w:tcPr>
          <w:p w14:paraId="612645BC">
            <w:pPr>
              <w:pStyle w:val="12"/>
            </w:pPr>
            <w:r>
              <w:t>每月对线路、信号传输设备等进行检查</w:t>
            </w:r>
          </w:p>
        </w:tc>
        <w:tc>
          <w:tcPr>
            <w:tcW w:w="1276" w:type="dxa"/>
            <w:vAlign w:val="center"/>
          </w:tcPr>
          <w:p w14:paraId="61F222FE">
            <w:pPr>
              <w:pStyle w:val="12"/>
            </w:pPr>
            <w:r>
              <w:t>≥3次</w:t>
            </w:r>
          </w:p>
        </w:tc>
        <w:tc>
          <w:tcPr>
            <w:tcW w:w="1843" w:type="dxa"/>
            <w:vAlign w:val="center"/>
          </w:tcPr>
          <w:p w14:paraId="36B0D434">
            <w:pPr>
              <w:pStyle w:val="12"/>
            </w:pPr>
            <w:r>
              <w:t>依据工作方案</w:t>
            </w:r>
          </w:p>
        </w:tc>
      </w:tr>
      <w:tr w14:paraId="20F72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F452FC"/>
        </w:tc>
        <w:tc>
          <w:tcPr>
            <w:tcW w:w="1276" w:type="dxa"/>
            <w:vAlign w:val="center"/>
          </w:tcPr>
          <w:p w14:paraId="647CBC47">
            <w:pPr>
              <w:pStyle w:val="12"/>
            </w:pPr>
            <w:r>
              <w:t>质量指标</w:t>
            </w:r>
          </w:p>
        </w:tc>
        <w:tc>
          <w:tcPr>
            <w:tcW w:w="1332" w:type="dxa"/>
            <w:vAlign w:val="center"/>
          </w:tcPr>
          <w:p w14:paraId="182ED407">
            <w:pPr>
              <w:pStyle w:val="12"/>
            </w:pPr>
            <w:r>
              <w:t>发生故障次数</w:t>
            </w:r>
          </w:p>
        </w:tc>
        <w:tc>
          <w:tcPr>
            <w:tcW w:w="2891" w:type="dxa"/>
            <w:vAlign w:val="center"/>
          </w:tcPr>
          <w:p w14:paraId="2B2E0AB0">
            <w:pPr>
              <w:pStyle w:val="12"/>
            </w:pPr>
            <w:r>
              <w:t>全年内，在会议进行中发生信号中断或信号不稳定现象。</w:t>
            </w:r>
          </w:p>
        </w:tc>
        <w:tc>
          <w:tcPr>
            <w:tcW w:w="1276" w:type="dxa"/>
            <w:vAlign w:val="center"/>
          </w:tcPr>
          <w:p w14:paraId="09EE624F">
            <w:pPr>
              <w:pStyle w:val="12"/>
            </w:pPr>
            <w:r>
              <w:t>≤3次</w:t>
            </w:r>
          </w:p>
        </w:tc>
        <w:tc>
          <w:tcPr>
            <w:tcW w:w="1843" w:type="dxa"/>
            <w:vAlign w:val="center"/>
          </w:tcPr>
          <w:p w14:paraId="37EEFEA3">
            <w:pPr>
              <w:pStyle w:val="12"/>
            </w:pPr>
            <w:r>
              <w:t>依据工作方案</w:t>
            </w:r>
          </w:p>
        </w:tc>
      </w:tr>
      <w:tr w14:paraId="12F34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CAFF45"/>
        </w:tc>
        <w:tc>
          <w:tcPr>
            <w:tcW w:w="1276" w:type="dxa"/>
            <w:vAlign w:val="center"/>
          </w:tcPr>
          <w:p w14:paraId="674E26F9">
            <w:pPr>
              <w:pStyle w:val="12"/>
            </w:pPr>
            <w:r>
              <w:t>时效指标</w:t>
            </w:r>
          </w:p>
        </w:tc>
        <w:tc>
          <w:tcPr>
            <w:tcW w:w="1332" w:type="dxa"/>
            <w:vAlign w:val="center"/>
          </w:tcPr>
          <w:p w14:paraId="0EB34421">
            <w:pPr>
              <w:pStyle w:val="12"/>
            </w:pPr>
            <w:r>
              <w:t>顺畅运行天数</w:t>
            </w:r>
          </w:p>
        </w:tc>
        <w:tc>
          <w:tcPr>
            <w:tcW w:w="2891" w:type="dxa"/>
            <w:vAlign w:val="center"/>
          </w:tcPr>
          <w:p w14:paraId="542A7EDE">
            <w:pPr>
              <w:pStyle w:val="12"/>
            </w:pPr>
            <w:r>
              <w:t>全年网络顺畅运行天数</w:t>
            </w:r>
          </w:p>
        </w:tc>
        <w:tc>
          <w:tcPr>
            <w:tcW w:w="1276" w:type="dxa"/>
            <w:vAlign w:val="center"/>
          </w:tcPr>
          <w:p w14:paraId="64F22AD5">
            <w:pPr>
              <w:pStyle w:val="12"/>
            </w:pPr>
            <w:r>
              <w:t>≥350天</w:t>
            </w:r>
          </w:p>
        </w:tc>
        <w:tc>
          <w:tcPr>
            <w:tcW w:w="1843" w:type="dxa"/>
            <w:vAlign w:val="center"/>
          </w:tcPr>
          <w:p w14:paraId="30DEC7D7">
            <w:pPr>
              <w:pStyle w:val="12"/>
            </w:pPr>
            <w:r>
              <w:t>依据工作方案</w:t>
            </w:r>
          </w:p>
        </w:tc>
      </w:tr>
      <w:tr w14:paraId="5F057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267D94"/>
        </w:tc>
        <w:tc>
          <w:tcPr>
            <w:tcW w:w="1276" w:type="dxa"/>
            <w:vAlign w:val="center"/>
          </w:tcPr>
          <w:p w14:paraId="7654EF2E">
            <w:pPr>
              <w:pStyle w:val="12"/>
            </w:pPr>
            <w:r>
              <w:t>成本指标</w:t>
            </w:r>
          </w:p>
        </w:tc>
        <w:tc>
          <w:tcPr>
            <w:tcW w:w="1332" w:type="dxa"/>
            <w:vAlign w:val="center"/>
          </w:tcPr>
          <w:p w14:paraId="0DB70217">
            <w:pPr>
              <w:pStyle w:val="12"/>
            </w:pPr>
            <w:r>
              <w:t>资金成本</w:t>
            </w:r>
          </w:p>
        </w:tc>
        <w:tc>
          <w:tcPr>
            <w:tcW w:w="2891" w:type="dxa"/>
            <w:vAlign w:val="center"/>
          </w:tcPr>
          <w:p w14:paraId="2C28BFC0">
            <w:pPr>
              <w:pStyle w:val="12"/>
            </w:pPr>
            <w:r>
              <w:t>运行安全</w:t>
            </w:r>
          </w:p>
        </w:tc>
        <w:tc>
          <w:tcPr>
            <w:tcW w:w="1276" w:type="dxa"/>
            <w:vAlign w:val="center"/>
          </w:tcPr>
          <w:p w14:paraId="41B709DA">
            <w:pPr>
              <w:pStyle w:val="12"/>
            </w:pPr>
            <w:r>
              <w:t>≤20万元</w:t>
            </w:r>
          </w:p>
        </w:tc>
        <w:tc>
          <w:tcPr>
            <w:tcW w:w="1843" w:type="dxa"/>
            <w:vAlign w:val="center"/>
          </w:tcPr>
          <w:p w14:paraId="32C69561">
            <w:pPr>
              <w:pStyle w:val="12"/>
            </w:pPr>
            <w:r>
              <w:t>依据工作方案</w:t>
            </w:r>
          </w:p>
        </w:tc>
      </w:tr>
      <w:tr w14:paraId="6E0D7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6F1D49">
            <w:pPr>
              <w:pStyle w:val="14"/>
            </w:pPr>
            <w:r>
              <w:t>效益指标</w:t>
            </w:r>
          </w:p>
        </w:tc>
        <w:tc>
          <w:tcPr>
            <w:tcW w:w="1276" w:type="dxa"/>
            <w:vAlign w:val="center"/>
          </w:tcPr>
          <w:p w14:paraId="78E8E0AA">
            <w:pPr>
              <w:pStyle w:val="12"/>
            </w:pPr>
            <w:r>
              <w:t>社会效益指标</w:t>
            </w:r>
          </w:p>
        </w:tc>
        <w:tc>
          <w:tcPr>
            <w:tcW w:w="1332" w:type="dxa"/>
            <w:vAlign w:val="center"/>
          </w:tcPr>
          <w:p w14:paraId="4AE0B147">
            <w:pPr>
              <w:pStyle w:val="12"/>
            </w:pPr>
            <w:r>
              <w:t>故障排除率</w:t>
            </w:r>
          </w:p>
        </w:tc>
        <w:tc>
          <w:tcPr>
            <w:tcW w:w="2891" w:type="dxa"/>
            <w:vAlign w:val="center"/>
          </w:tcPr>
          <w:p w14:paraId="5ED83CDC">
            <w:pPr>
              <w:pStyle w:val="12"/>
            </w:pPr>
            <w:r>
              <w:t>排除故障次数占故障发生次数的比率</w:t>
            </w:r>
          </w:p>
        </w:tc>
        <w:tc>
          <w:tcPr>
            <w:tcW w:w="1276" w:type="dxa"/>
            <w:vAlign w:val="center"/>
          </w:tcPr>
          <w:p w14:paraId="6C0842D7">
            <w:pPr>
              <w:pStyle w:val="12"/>
            </w:pPr>
            <w:r>
              <w:t>≥90百分比</w:t>
            </w:r>
          </w:p>
        </w:tc>
        <w:tc>
          <w:tcPr>
            <w:tcW w:w="1843" w:type="dxa"/>
            <w:vAlign w:val="center"/>
          </w:tcPr>
          <w:p w14:paraId="3A93481B">
            <w:pPr>
              <w:pStyle w:val="12"/>
            </w:pPr>
            <w:r>
              <w:t>依据工作方案</w:t>
            </w:r>
          </w:p>
        </w:tc>
      </w:tr>
      <w:tr w14:paraId="21E82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EC2064">
            <w:pPr>
              <w:pStyle w:val="14"/>
            </w:pPr>
            <w:r>
              <w:t>满意度指标</w:t>
            </w:r>
          </w:p>
        </w:tc>
        <w:tc>
          <w:tcPr>
            <w:tcW w:w="1276" w:type="dxa"/>
            <w:vAlign w:val="center"/>
          </w:tcPr>
          <w:p w14:paraId="5F5824CE">
            <w:pPr>
              <w:pStyle w:val="12"/>
            </w:pPr>
            <w:r>
              <w:t>服务对象满意度指标</w:t>
            </w:r>
          </w:p>
        </w:tc>
        <w:tc>
          <w:tcPr>
            <w:tcW w:w="1332" w:type="dxa"/>
            <w:vAlign w:val="center"/>
          </w:tcPr>
          <w:p w14:paraId="2F98AE1D">
            <w:pPr>
              <w:pStyle w:val="12"/>
            </w:pPr>
            <w:r>
              <w:t>用户使用满意率</w:t>
            </w:r>
          </w:p>
        </w:tc>
        <w:tc>
          <w:tcPr>
            <w:tcW w:w="2891" w:type="dxa"/>
            <w:vAlign w:val="center"/>
          </w:tcPr>
          <w:p w14:paraId="6835FA1E">
            <w:pPr>
              <w:pStyle w:val="12"/>
            </w:pPr>
            <w:r>
              <w:t>调查使用</w:t>
            </w:r>
            <w:r>
              <w:rPr>
                <w:rFonts w:hint="eastAsia"/>
                <w:lang w:eastAsia="zh-CN"/>
              </w:rPr>
              <w:t>部门</w:t>
            </w:r>
            <w:r>
              <w:t>反馈满意和较满意的数量占调查使用</w:t>
            </w:r>
            <w:r>
              <w:rPr>
                <w:rFonts w:hint="eastAsia"/>
                <w:lang w:eastAsia="zh-CN"/>
              </w:rPr>
              <w:t>部门</w:t>
            </w:r>
            <w:r>
              <w:t>总数量的比率</w:t>
            </w:r>
          </w:p>
        </w:tc>
        <w:tc>
          <w:tcPr>
            <w:tcW w:w="1276" w:type="dxa"/>
            <w:vAlign w:val="center"/>
          </w:tcPr>
          <w:p w14:paraId="3EB3C11E">
            <w:pPr>
              <w:pStyle w:val="12"/>
            </w:pPr>
            <w:r>
              <w:t>≥90百分比</w:t>
            </w:r>
          </w:p>
        </w:tc>
        <w:tc>
          <w:tcPr>
            <w:tcW w:w="1843" w:type="dxa"/>
            <w:vAlign w:val="center"/>
          </w:tcPr>
          <w:p w14:paraId="14EF476A">
            <w:pPr>
              <w:pStyle w:val="12"/>
            </w:pPr>
            <w:r>
              <w:t>依据工作方案</w:t>
            </w:r>
          </w:p>
        </w:tc>
      </w:tr>
    </w:tbl>
    <w:p w14:paraId="2CDFFFDB">
      <w:pPr>
        <w:sectPr>
          <w:pgSz w:w="11900" w:h="16840"/>
          <w:pgMar w:top="1984" w:right="1304" w:bottom="1134" w:left="1304" w:header="720" w:footer="720" w:gutter="0"/>
          <w:cols w:space="720" w:num="1"/>
        </w:sectPr>
      </w:pPr>
    </w:p>
    <w:p w14:paraId="4096BBE3">
      <w:pPr>
        <w:jc w:val="center"/>
      </w:pPr>
      <w:r>
        <w:rPr>
          <w:rFonts w:ascii="方正仿宋_GBK" w:hAnsi="方正仿宋_GBK" w:eastAsia="方正仿宋_GBK" w:cs="方正仿宋_GBK"/>
          <w:color w:val="000000"/>
          <w:sz w:val="28"/>
        </w:rPr>
        <w:t xml:space="preserve"> </w:t>
      </w:r>
    </w:p>
    <w:p w14:paraId="440BA9A0">
      <w:pPr>
        <w:ind w:firstLine="560"/>
        <w:outlineLvl w:val="3"/>
      </w:pPr>
      <w:bookmarkStart w:id="4" w:name="_Toc_4_4_0000000006"/>
      <w:r>
        <w:rPr>
          <w:rFonts w:ascii="方正仿宋_GBK" w:hAnsi="方正仿宋_GBK" w:eastAsia="方正仿宋_GBK" w:cs="方正仿宋_GBK"/>
          <w:color w:val="000000"/>
          <w:sz w:val="28"/>
        </w:rPr>
        <w:t>3.2021年中央政法转移支付司法救助资金绩效目标表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B46A4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B58295C">
            <w:pPr>
              <w:pStyle w:val="11"/>
            </w:pPr>
            <w:r>
              <w:t>216001中共保定市徐水区委政法委员会本级</w:t>
            </w:r>
          </w:p>
        </w:tc>
        <w:tc>
          <w:tcPr>
            <w:tcW w:w="1843" w:type="dxa"/>
            <w:tcBorders>
              <w:top w:val="single" w:color="FFFFFF" w:sz="6" w:space="0"/>
              <w:left w:val="single" w:color="FFFFFF" w:sz="6" w:space="0"/>
              <w:right w:val="single" w:color="FFFFFF" w:sz="6" w:space="0"/>
            </w:tcBorders>
            <w:vAlign w:val="center"/>
          </w:tcPr>
          <w:p w14:paraId="353E153B">
            <w:pPr>
              <w:pStyle w:val="10"/>
            </w:pPr>
            <w:r>
              <w:rPr>
                <w:rFonts w:hint="eastAsia"/>
                <w:lang w:eastAsia="zh-CN"/>
              </w:rPr>
              <w:t>部门</w:t>
            </w:r>
            <w:r>
              <w:t>：万元</w:t>
            </w:r>
          </w:p>
        </w:tc>
      </w:tr>
      <w:tr w14:paraId="408C76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BD763D">
            <w:pPr>
              <w:pStyle w:val="13"/>
            </w:pPr>
            <w:r>
              <w:t>项目编码</w:t>
            </w:r>
          </w:p>
        </w:tc>
        <w:tc>
          <w:tcPr>
            <w:tcW w:w="2608" w:type="dxa"/>
            <w:gridSpan w:val="2"/>
            <w:vAlign w:val="center"/>
          </w:tcPr>
          <w:p w14:paraId="7FAB72EB">
            <w:pPr>
              <w:pStyle w:val="12"/>
            </w:pPr>
            <w:r>
              <w:t>13062521P00455910009C</w:t>
            </w:r>
          </w:p>
        </w:tc>
        <w:tc>
          <w:tcPr>
            <w:tcW w:w="1587" w:type="dxa"/>
            <w:vAlign w:val="center"/>
          </w:tcPr>
          <w:p w14:paraId="4CE994F3">
            <w:pPr>
              <w:pStyle w:val="13"/>
            </w:pPr>
            <w:r>
              <w:t>项目名称</w:t>
            </w:r>
          </w:p>
        </w:tc>
        <w:tc>
          <w:tcPr>
            <w:tcW w:w="4422" w:type="dxa"/>
            <w:gridSpan w:val="3"/>
            <w:vAlign w:val="center"/>
          </w:tcPr>
          <w:p w14:paraId="6CBF3EB3">
            <w:pPr>
              <w:pStyle w:val="12"/>
            </w:pPr>
            <w:r>
              <w:t>2021年中央政法转移支付司法救助资金</w:t>
            </w:r>
          </w:p>
        </w:tc>
      </w:tr>
      <w:tr w14:paraId="0D274E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07F79E">
            <w:pPr>
              <w:pStyle w:val="13"/>
            </w:pPr>
            <w:r>
              <w:t>预算规模及资金用途</w:t>
            </w:r>
          </w:p>
        </w:tc>
        <w:tc>
          <w:tcPr>
            <w:tcW w:w="1276" w:type="dxa"/>
            <w:vAlign w:val="center"/>
          </w:tcPr>
          <w:p w14:paraId="48E598E4">
            <w:pPr>
              <w:pStyle w:val="13"/>
            </w:pPr>
            <w:r>
              <w:t>预算数</w:t>
            </w:r>
          </w:p>
        </w:tc>
        <w:tc>
          <w:tcPr>
            <w:tcW w:w="1332" w:type="dxa"/>
            <w:vAlign w:val="center"/>
          </w:tcPr>
          <w:p w14:paraId="28EC72AE">
            <w:pPr>
              <w:pStyle w:val="12"/>
            </w:pPr>
            <w:r>
              <w:t>30.00</w:t>
            </w:r>
          </w:p>
        </w:tc>
        <w:tc>
          <w:tcPr>
            <w:tcW w:w="1587" w:type="dxa"/>
            <w:vAlign w:val="center"/>
          </w:tcPr>
          <w:p w14:paraId="40CE2232">
            <w:pPr>
              <w:pStyle w:val="13"/>
            </w:pPr>
            <w:r>
              <w:t>其中：财政    资金</w:t>
            </w:r>
          </w:p>
        </w:tc>
        <w:tc>
          <w:tcPr>
            <w:tcW w:w="1304" w:type="dxa"/>
            <w:vAlign w:val="center"/>
          </w:tcPr>
          <w:p w14:paraId="0AA38DB2">
            <w:pPr>
              <w:pStyle w:val="12"/>
            </w:pPr>
            <w:r>
              <w:t>30.00</w:t>
            </w:r>
          </w:p>
        </w:tc>
        <w:tc>
          <w:tcPr>
            <w:tcW w:w="1276" w:type="dxa"/>
            <w:vAlign w:val="center"/>
          </w:tcPr>
          <w:p w14:paraId="69364892">
            <w:pPr>
              <w:pStyle w:val="13"/>
            </w:pPr>
            <w:r>
              <w:t>其他资金</w:t>
            </w:r>
          </w:p>
        </w:tc>
        <w:tc>
          <w:tcPr>
            <w:tcW w:w="1843" w:type="dxa"/>
            <w:vAlign w:val="center"/>
          </w:tcPr>
          <w:p w14:paraId="1DC134B3">
            <w:pPr>
              <w:pStyle w:val="12"/>
            </w:pPr>
            <w:r>
              <w:t xml:space="preserve"> </w:t>
            </w:r>
          </w:p>
        </w:tc>
      </w:tr>
      <w:tr w14:paraId="2D9462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11EE50"/>
        </w:tc>
        <w:tc>
          <w:tcPr>
            <w:tcW w:w="8617" w:type="dxa"/>
            <w:gridSpan w:val="6"/>
            <w:vAlign w:val="center"/>
          </w:tcPr>
          <w:p w14:paraId="61FDE2A0">
            <w:pPr>
              <w:pStyle w:val="12"/>
            </w:pPr>
            <w:r>
              <w:t>通过指导、协调、督导政法各</w:t>
            </w:r>
            <w:r>
              <w:rPr>
                <w:rFonts w:hint="eastAsia"/>
                <w:lang w:eastAsia="zh-CN"/>
              </w:rPr>
              <w:t>部门</w:t>
            </w:r>
            <w:r>
              <w:t>，各</w:t>
            </w:r>
            <w:r>
              <w:rPr>
                <w:rFonts w:hint="eastAsia"/>
                <w:lang w:eastAsia="zh-CN"/>
              </w:rPr>
              <w:t>部门</w:t>
            </w:r>
            <w:r>
              <w:t>根据实际需求申请解决群众涉及利益问题。</w:t>
            </w:r>
          </w:p>
        </w:tc>
      </w:tr>
      <w:tr w14:paraId="5CC973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409648">
            <w:pPr>
              <w:pStyle w:val="13"/>
            </w:pPr>
            <w:r>
              <w:t>资金支出计划（%）</w:t>
            </w:r>
          </w:p>
        </w:tc>
        <w:tc>
          <w:tcPr>
            <w:tcW w:w="2608" w:type="dxa"/>
            <w:gridSpan w:val="2"/>
            <w:vAlign w:val="center"/>
          </w:tcPr>
          <w:p w14:paraId="0F0C4DE1">
            <w:pPr>
              <w:pStyle w:val="13"/>
            </w:pPr>
            <w:r>
              <w:t>3月底</w:t>
            </w:r>
          </w:p>
        </w:tc>
        <w:tc>
          <w:tcPr>
            <w:tcW w:w="1587" w:type="dxa"/>
            <w:vAlign w:val="center"/>
          </w:tcPr>
          <w:p w14:paraId="3784485A">
            <w:pPr>
              <w:pStyle w:val="13"/>
            </w:pPr>
            <w:r>
              <w:t>6月底</w:t>
            </w:r>
          </w:p>
        </w:tc>
        <w:tc>
          <w:tcPr>
            <w:tcW w:w="1304" w:type="dxa"/>
            <w:vAlign w:val="center"/>
          </w:tcPr>
          <w:p w14:paraId="7E492BB8">
            <w:pPr>
              <w:pStyle w:val="13"/>
            </w:pPr>
            <w:r>
              <w:t>10月底</w:t>
            </w:r>
          </w:p>
        </w:tc>
        <w:tc>
          <w:tcPr>
            <w:tcW w:w="3118" w:type="dxa"/>
            <w:gridSpan w:val="2"/>
            <w:vAlign w:val="center"/>
          </w:tcPr>
          <w:p w14:paraId="418793CA">
            <w:pPr>
              <w:pStyle w:val="13"/>
            </w:pPr>
            <w:r>
              <w:t>12月底</w:t>
            </w:r>
          </w:p>
        </w:tc>
      </w:tr>
      <w:tr w14:paraId="429731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8277AE"/>
        </w:tc>
        <w:tc>
          <w:tcPr>
            <w:tcW w:w="2608" w:type="dxa"/>
            <w:gridSpan w:val="2"/>
            <w:vAlign w:val="center"/>
          </w:tcPr>
          <w:p w14:paraId="25C60E7F">
            <w:pPr>
              <w:pStyle w:val="14"/>
            </w:pPr>
            <w:r>
              <w:t xml:space="preserve"> </w:t>
            </w:r>
          </w:p>
        </w:tc>
        <w:tc>
          <w:tcPr>
            <w:tcW w:w="1587" w:type="dxa"/>
            <w:vAlign w:val="center"/>
          </w:tcPr>
          <w:p w14:paraId="6AD1FA49">
            <w:pPr>
              <w:pStyle w:val="14"/>
            </w:pPr>
            <w:r>
              <w:t xml:space="preserve"> </w:t>
            </w:r>
          </w:p>
        </w:tc>
        <w:tc>
          <w:tcPr>
            <w:tcW w:w="1304" w:type="dxa"/>
            <w:vAlign w:val="center"/>
          </w:tcPr>
          <w:p w14:paraId="11BB57A4">
            <w:pPr>
              <w:pStyle w:val="14"/>
            </w:pPr>
            <w:r>
              <w:t>25%</w:t>
            </w:r>
          </w:p>
        </w:tc>
        <w:tc>
          <w:tcPr>
            <w:tcW w:w="3118" w:type="dxa"/>
            <w:gridSpan w:val="2"/>
            <w:vAlign w:val="center"/>
          </w:tcPr>
          <w:p w14:paraId="3927CC58">
            <w:pPr>
              <w:pStyle w:val="14"/>
            </w:pPr>
            <w:r>
              <w:t xml:space="preserve"> </w:t>
            </w:r>
          </w:p>
        </w:tc>
      </w:tr>
      <w:tr w14:paraId="1AEE98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D9E511">
            <w:pPr>
              <w:pStyle w:val="13"/>
            </w:pPr>
            <w:r>
              <w:t>绩效目标</w:t>
            </w:r>
          </w:p>
        </w:tc>
        <w:tc>
          <w:tcPr>
            <w:tcW w:w="8617" w:type="dxa"/>
            <w:gridSpan w:val="6"/>
            <w:vAlign w:val="center"/>
          </w:tcPr>
          <w:p w14:paraId="2C04E5AA">
            <w:pPr>
              <w:pStyle w:val="12"/>
            </w:pPr>
            <w:r>
              <w:t>1.资金支出进度按季度申报，支出6月份支出50%，11月份支出100%，确保资金需求保障。</w:t>
            </w:r>
          </w:p>
          <w:p w14:paraId="2A796471">
            <w:pPr>
              <w:pStyle w:val="12"/>
            </w:pPr>
            <w:r>
              <w:t>2.通过指导、协调、督导政法各</w:t>
            </w:r>
            <w:r>
              <w:rPr>
                <w:rFonts w:hint="eastAsia"/>
                <w:lang w:eastAsia="zh-CN"/>
              </w:rPr>
              <w:t>部门</w:t>
            </w:r>
            <w:r>
              <w:t>，各</w:t>
            </w:r>
            <w:r>
              <w:rPr>
                <w:rFonts w:hint="eastAsia"/>
                <w:lang w:eastAsia="zh-CN"/>
              </w:rPr>
              <w:t>部门</w:t>
            </w:r>
            <w:r>
              <w:t>根据实际需求，申请解决群众涉及利益问题。</w:t>
            </w:r>
          </w:p>
        </w:tc>
      </w:tr>
    </w:tbl>
    <w:p w14:paraId="580E881D">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0D15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EDEDB6">
            <w:pPr>
              <w:pStyle w:val="13"/>
            </w:pPr>
            <w:r>
              <w:t>一级指标</w:t>
            </w:r>
          </w:p>
        </w:tc>
        <w:tc>
          <w:tcPr>
            <w:tcW w:w="1276" w:type="dxa"/>
            <w:vAlign w:val="center"/>
          </w:tcPr>
          <w:p w14:paraId="12902600">
            <w:pPr>
              <w:pStyle w:val="13"/>
            </w:pPr>
            <w:r>
              <w:t>二级指标</w:t>
            </w:r>
          </w:p>
        </w:tc>
        <w:tc>
          <w:tcPr>
            <w:tcW w:w="1332" w:type="dxa"/>
            <w:vAlign w:val="center"/>
          </w:tcPr>
          <w:p w14:paraId="3295AB90">
            <w:pPr>
              <w:pStyle w:val="13"/>
            </w:pPr>
            <w:r>
              <w:t>三级指标</w:t>
            </w:r>
          </w:p>
        </w:tc>
        <w:tc>
          <w:tcPr>
            <w:tcW w:w="2891" w:type="dxa"/>
            <w:vAlign w:val="center"/>
          </w:tcPr>
          <w:p w14:paraId="3BAEACEE">
            <w:pPr>
              <w:pStyle w:val="13"/>
            </w:pPr>
            <w:r>
              <w:t>绩效指标描述</w:t>
            </w:r>
          </w:p>
        </w:tc>
        <w:tc>
          <w:tcPr>
            <w:tcW w:w="1276" w:type="dxa"/>
            <w:vAlign w:val="center"/>
          </w:tcPr>
          <w:p w14:paraId="6BA270D0">
            <w:pPr>
              <w:pStyle w:val="13"/>
            </w:pPr>
            <w:r>
              <w:t>指标值</w:t>
            </w:r>
          </w:p>
        </w:tc>
        <w:tc>
          <w:tcPr>
            <w:tcW w:w="1843" w:type="dxa"/>
            <w:vAlign w:val="center"/>
          </w:tcPr>
          <w:p w14:paraId="170A9942">
            <w:pPr>
              <w:pStyle w:val="13"/>
            </w:pPr>
            <w:r>
              <w:t>指标值确定依据</w:t>
            </w:r>
          </w:p>
        </w:tc>
      </w:tr>
      <w:tr w14:paraId="1928A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C8C6D7">
            <w:pPr>
              <w:pStyle w:val="14"/>
            </w:pPr>
            <w:r>
              <w:t>产出指标</w:t>
            </w:r>
          </w:p>
        </w:tc>
        <w:tc>
          <w:tcPr>
            <w:tcW w:w="1276" w:type="dxa"/>
            <w:vAlign w:val="center"/>
          </w:tcPr>
          <w:p w14:paraId="4880EC47">
            <w:pPr>
              <w:pStyle w:val="12"/>
            </w:pPr>
            <w:r>
              <w:t>数量指标</w:t>
            </w:r>
          </w:p>
        </w:tc>
        <w:tc>
          <w:tcPr>
            <w:tcW w:w="1332" w:type="dxa"/>
            <w:vAlign w:val="center"/>
          </w:tcPr>
          <w:p w14:paraId="628E23AF">
            <w:pPr>
              <w:pStyle w:val="12"/>
            </w:pPr>
            <w:r>
              <w:t>解决司法救助件数</w:t>
            </w:r>
          </w:p>
        </w:tc>
        <w:tc>
          <w:tcPr>
            <w:tcW w:w="2891" w:type="dxa"/>
            <w:vAlign w:val="center"/>
          </w:tcPr>
          <w:p w14:paraId="185E4E49">
            <w:pPr>
              <w:pStyle w:val="12"/>
            </w:pPr>
            <w:r>
              <w:t>按照实际申请人数和金额支付</w:t>
            </w:r>
          </w:p>
        </w:tc>
        <w:tc>
          <w:tcPr>
            <w:tcW w:w="1276" w:type="dxa"/>
            <w:vAlign w:val="center"/>
          </w:tcPr>
          <w:p w14:paraId="3985E067">
            <w:pPr>
              <w:pStyle w:val="12"/>
            </w:pPr>
            <w:r>
              <w:t>≥98%</w:t>
            </w:r>
          </w:p>
        </w:tc>
        <w:tc>
          <w:tcPr>
            <w:tcW w:w="1843" w:type="dxa"/>
            <w:vAlign w:val="center"/>
          </w:tcPr>
          <w:p w14:paraId="036D5474">
            <w:pPr>
              <w:pStyle w:val="12"/>
            </w:pPr>
            <w:r>
              <w:t>保财行【2021】31号</w:t>
            </w:r>
          </w:p>
        </w:tc>
      </w:tr>
      <w:tr w14:paraId="0AAE7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409A48"/>
        </w:tc>
        <w:tc>
          <w:tcPr>
            <w:tcW w:w="1276" w:type="dxa"/>
            <w:vAlign w:val="center"/>
          </w:tcPr>
          <w:p w14:paraId="316425EB">
            <w:pPr>
              <w:pStyle w:val="12"/>
            </w:pPr>
            <w:r>
              <w:t>质量指标</w:t>
            </w:r>
          </w:p>
        </w:tc>
        <w:tc>
          <w:tcPr>
            <w:tcW w:w="1332" w:type="dxa"/>
            <w:vAlign w:val="center"/>
          </w:tcPr>
          <w:p w14:paraId="7E8B102E">
            <w:pPr>
              <w:pStyle w:val="12"/>
            </w:pPr>
            <w:r>
              <w:t>协调督导事项化解率</w:t>
            </w:r>
          </w:p>
        </w:tc>
        <w:tc>
          <w:tcPr>
            <w:tcW w:w="2891" w:type="dxa"/>
            <w:vAlign w:val="center"/>
          </w:tcPr>
          <w:p w14:paraId="648D45B1">
            <w:pPr>
              <w:pStyle w:val="12"/>
            </w:pPr>
            <w:r>
              <w:t>协调督导事项化解率</w:t>
            </w:r>
          </w:p>
        </w:tc>
        <w:tc>
          <w:tcPr>
            <w:tcW w:w="1276" w:type="dxa"/>
            <w:vAlign w:val="center"/>
          </w:tcPr>
          <w:p w14:paraId="34BF1516">
            <w:pPr>
              <w:pStyle w:val="12"/>
            </w:pPr>
            <w:r>
              <w:t>≥95%</w:t>
            </w:r>
          </w:p>
        </w:tc>
        <w:tc>
          <w:tcPr>
            <w:tcW w:w="1843" w:type="dxa"/>
            <w:vAlign w:val="center"/>
          </w:tcPr>
          <w:p w14:paraId="57B418E4">
            <w:pPr>
              <w:pStyle w:val="12"/>
            </w:pPr>
            <w:r>
              <w:t>保财行【2021】31号</w:t>
            </w:r>
          </w:p>
        </w:tc>
      </w:tr>
      <w:tr w14:paraId="1BC14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525702"/>
        </w:tc>
        <w:tc>
          <w:tcPr>
            <w:tcW w:w="1276" w:type="dxa"/>
            <w:vAlign w:val="center"/>
          </w:tcPr>
          <w:p w14:paraId="78AB848E">
            <w:pPr>
              <w:pStyle w:val="12"/>
            </w:pPr>
            <w:r>
              <w:t>时效指标</w:t>
            </w:r>
          </w:p>
        </w:tc>
        <w:tc>
          <w:tcPr>
            <w:tcW w:w="1332" w:type="dxa"/>
            <w:vAlign w:val="center"/>
          </w:tcPr>
          <w:p w14:paraId="143C59C8">
            <w:pPr>
              <w:pStyle w:val="12"/>
            </w:pPr>
            <w:r>
              <w:t>工作任务完成及时率</w:t>
            </w:r>
          </w:p>
        </w:tc>
        <w:tc>
          <w:tcPr>
            <w:tcW w:w="2891" w:type="dxa"/>
            <w:vAlign w:val="center"/>
          </w:tcPr>
          <w:p w14:paraId="03959777">
            <w:pPr>
              <w:pStyle w:val="12"/>
            </w:pPr>
            <w:r>
              <w:t>工作任务完成及时率</w:t>
            </w:r>
          </w:p>
        </w:tc>
        <w:tc>
          <w:tcPr>
            <w:tcW w:w="1276" w:type="dxa"/>
            <w:vAlign w:val="center"/>
          </w:tcPr>
          <w:p w14:paraId="48CD3355">
            <w:pPr>
              <w:pStyle w:val="12"/>
            </w:pPr>
            <w:r>
              <w:t>≥95%</w:t>
            </w:r>
          </w:p>
        </w:tc>
        <w:tc>
          <w:tcPr>
            <w:tcW w:w="1843" w:type="dxa"/>
            <w:vAlign w:val="center"/>
          </w:tcPr>
          <w:p w14:paraId="5DFF825A">
            <w:pPr>
              <w:pStyle w:val="12"/>
            </w:pPr>
            <w:r>
              <w:t>保财行【2021】31号</w:t>
            </w:r>
          </w:p>
        </w:tc>
      </w:tr>
      <w:tr w14:paraId="0629C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E8F87D"/>
        </w:tc>
        <w:tc>
          <w:tcPr>
            <w:tcW w:w="1276" w:type="dxa"/>
            <w:vAlign w:val="center"/>
          </w:tcPr>
          <w:p w14:paraId="237FC366">
            <w:pPr>
              <w:pStyle w:val="12"/>
            </w:pPr>
            <w:r>
              <w:t>成本指标</w:t>
            </w:r>
          </w:p>
        </w:tc>
        <w:tc>
          <w:tcPr>
            <w:tcW w:w="1332" w:type="dxa"/>
            <w:vAlign w:val="center"/>
          </w:tcPr>
          <w:p w14:paraId="1F2C5069">
            <w:pPr>
              <w:pStyle w:val="12"/>
            </w:pPr>
            <w:r>
              <w:t>资金成本</w:t>
            </w:r>
          </w:p>
        </w:tc>
        <w:tc>
          <w:tcPr>
            <w:tcW w:w="2891" w:type="dxa"/>
            <w:vAlign w:val="center"/>
          </w:tcPr>
          <w:p w14:paraId="3E6F2EE9">
            <w:pPr>
              <w:pStyle w:val="12"/>
            </w:pPr>
            <w:r>
              <w:t>资金成本</w:t>
            </w:r>
          </w:p>
        </w:tc>
        <w:tc>
          <w:tcPr>
            <w:tcW w:w="1276" w:type="dxa"/>
            <w:vAlign w:val="center"/>
          </w:tcPr>
          <w:p w14:paraId="736415AF">
            <w:pPr>
              <w:pStyle w:val="12"/>
            </w:pPr>
            <w:r>
              <w:t>≤30万元</w:t>
            </w:r>
          </w:p>
        </w:tc>
        <w:tc>
          <w:tcPr>
            <w:tcW w:w="1843" w:type="dxa"/>
            <w:vAlign w:val="center"/>
          </w:tcPr>
          <w:p w14:paraId="469D7AA5">
            <w:pPr>
              <w:pStyle w:val="12"/>
            </w:pPr>
            <w:r>
              <w:t>保财行【2021】31号</w:t>
            </w:r>
          </w:p>
        </w:tc>
      </w:tr>
      <w:tr w14:paraId="5FD5B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4B2616">
            <w:pPr>
              <w:pStyle w:val="14"/>
            </w:pPr>
            <w:r>
              <w:t>效益指标</w:t>
            </w:r>
          </w:p>
        </w:tc>
        <w:tc>
          <w:tcPr>
            <w:tcW w:w="1276" w:type="dxa"/>
            <w:vAlign w:val="center"/>
          </w:tcPr>
          <w:p w14:paraId="7B679309">
            <w:pPr>
              <w:pStyle w:val="12"/>
            </w:pPr>
            <w:r>
              <w:t>社会效益指标</w:t>
            </w:r>
          </w:p>
        </w:tc>
        <w:tc>
          <w:tcPr>
            <w:tcW w:w="1332" w:type="dxa"/>
            <w:vAlign w:val="center"/>
          </w:tcPr>
          <w:p w14:paraId="31C64650">
            <w:pPr>
              <w:pStyle w:val="12"/>
            </w:pPr>
            <w:r>
              <w:t>信访转诉案件结案率</w:t>
            </w:r>
          </w:p>
        </w:tc>
        <w:tc>
          <w:tcPr>
            <w:tcW w:w="2891" w:type="dxa"/>
            <w:vAlign w:val="center"/>
          </w:tcPr>
          <w:p w14:paraId="4EB614B7">
            <w:pPr>
              <w:pStyle w:val="12"/>
            </w:pPr>
            <w:r>
              <w:t>信访转诉案件结案率</w:t>
            </w:r>
          </w:p>
        </w:tc>
        <w:tc>
          <w:tcPr>
            <w:tcW w:w="1276" w:type="dxa"/>
            <w:vAlign w:val="center"/>
          </w:tcPr>
          <w:p w14:paraId="1F952D91">
            <w:pPr>
              <w:pStyle w:val="12"/>
            </w:pPr>
            <w:r>
              <w:t>≥95%</w:t>
            </w:r>
          </w:p>
        </w:tc>
        <w:tc>
          <w:tcPr>
            <w:tcW w:w="1843" w:type="dxa"/>
            <w:vAlign w:val="center"/>
          </w:tcPr>
          <w:p w14:paraId="19A7BF63">
            <w:pPr>
              <w:pStyle w:val="12"/>
            </w:pPr>
            <w:r>
              <w:t>保财行【2021】31号</w:t>
            </w:r>
          </w:p>
        </w:tc>
      </w:tr>
    </w:tbl>
    <w:p w14:paraId="383A2518">
      <w:pPr>
        <w:sectPr>
          <w:pgSz w:w="11900" w:h="16840"/>
          <w:pgMar w:top="1984" w:right="1304" w:bottom="1134" w:left="1304" w:header="720" w:footer="720" w:gutter="0"/>
          <w:cols w:space="720" w:num="1"/>
        </w:sectPr>
      </w:pPr>
    </w:p>
    <w:p w14:paraId="41F4D532">
      <w:pPr>
        <w:jc w:val="center"/>
      </w:pPr>
      <w:r>
        <w:rPr>
          <w:rFonts w:ascii="方正仿宋_GBK" w:hAnsi="方正仿宋_GBK" w:eastAsia="方正仿宋_GBK" w:cs="方正仿宋_GBK"/>
          <w:color w:val="000000"/>
          <w:sz w:val="28"/>
        </w:rPr>
        <w:t xml:space="preserve"> </w:t>
      </w:r>
    </w:p>
    <w:p w14:paraId="58F59089">
      <w:pPr>
        <w:ind w:firstLine="560"/>
        <w:outlineLvl w:val="3"/>
      </w:pPr>
      <w:bookmarkStart w:id="5" w:name="_Toc_4_4_0000000007"/>
      <w:r>
        <w:rPr>
          <w:rFonts w:ascii="方正仿宋_GBK" w:hAnsi="方正仿宋_GBK" w:eastAsia="方正仿宋_GBK" w:cs="方正仿宋_GBK"/>
          <w:color w:val="000000"/>
          <w:sz w:val="28"/>
        </w:rPr>
        <w:t>4.防范工作经费（运转保障）绩效目标表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7AAB7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FB4F2C8">
            <w:pPr>
              <w:pStyle w:val="11"/>
            </w:pPr>
            <w:r>
              <w:t>216001中共保定市徐水区委政法委员会本级</w:t>
            </w:r>
          </w:p>
        </w:tc>
        <w:tc>
          <w:tcPr>
            <w:tcW w:w="1843" w:type="dxa"/>
            <w:tcBorders>
              <w:top w:val="single" w:color="FFFFFF" w:sz="6" w:space="0"/>
              <w:left w:val="single" w:color="FFFFFF" w:sz="6" w:space="0"/>
              <w:right w:val="single" w:color="FFFFFF" w:sz="6" w:space="0"/>
            </w:tcBorders>
            <w:vAlign w:val="center"/>
          </w:tcPr>
          <w:p w14:paraId="1109B96C">
            <w:pPr>
              <w:pStyle w:val="10"/>
            </w:pPr>
            <w:r>
              <w:rPr>
                <w:rFonts w:hint="eastAsia"/>
                <w:lang w:eastAsia="zh-CN"/>
              </w:rPr>
              <w:t>部门</w:t>
            </w:r>
            <w:r>
              <w:t>：万元</w:t>
            </w:r>
          </w:p>
        </w:tc>
      </w:tr>
      <w:tr w14:paraId="20E402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2D8862">
            <w:pPr>
              <w:pStyle w:val="13"/>
            </w:pPr>
            <w:r>
              <w:t>项目编码</w:t>
            </w:r>
          </w:p>
        </w:tc>
        <w:tc>
          <w:tcPr>
            <w:tcW w:w="2608" w:type="dxa"/>
            <w:gridSpan w:val="2"/>
            <w:vAlign w:val="center"/>
          </w:tcPr>
          <w:p w14:paraId="63A34983">
            <w:pPr>
              <w:pStyle w:val="12"/>
            </w:pPr>
            <w:r>
              <w:t>13062522P00456710440T</w:t>
            </w:r>
          </w:p>
        </w:tc>
        <w:tc>
          <w:tcPr>
            <w:tcW w:w="1587" w:type="dxa"/>
            <w:vAlign w:val="center"/>
          </w:tcPr>
          <w:p w14:paraId="7750484E">
            <w:pPr>
              <w:pStyle w:val="13"/>
            </w:pPr>
            <w:r>
              <w:t>项目名称</w:t>
            </w:r>
          </w:p>
        </w:tc>
        <w:tc>
          <w:tcPr>
            <w:tcW w:w="4422" w:type="dxa"/>
            <w:gridSpan w:val="3"/>
            <w:vAlign w:val="center"/>
          </w:tcPr>
          <w:p w14:paraId="29EBFEBB">
            <w:pPr>
              <w:pStyle w:val="12"/>
            </w:pPr>
            <w:r>
              <w:t>防范工作经费（运转保障）</w:t>
            </w:r>
          </w:p>
        </w:tc>
      </w:tr>
      <w:tr w14:paraId="2AB322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CA2BA2">
            <w:pPr>
              <w:pStyle w:val="13"/>
            </w:pPr>
            <w:r>
              <w:t>预算规模及资金用途</w:t>
            </w:r>
          </w:p>
        </w:tc>
        <w:tc>
          <w:tcPr>
            <w:tcW w:w="1276" w:type="dxa"/>
            <w:vAlign w:val="center"/>
          </w:tcPr>
          <w:p w14:paraId="732FA4B4">
            <w:pPr>
              <w:pStyle w:val="13"/>
            </w:pPr>
            <w:r>
              <w:t>预算数</w:t>
            </w:r>
          </w:p>
        </w:tc>
        <w:tc>
          <w:tcPr>
            <w:tcW w:w="1332" w:type="dxa"/>
            <w:vAlign w:val="center"/>
          </w:tcPr>
          <w:p w14:paraId="2AA1F433">
            <w:pPr>
              <w:pStyle w:val="12"/>
            </w:pPr>
            <w:r>
              <w:t>6.30</w:t>
            </w:r>
          </w:p>
        </w:tc>
        <w:tc>
          <w:tcPr>
            <w:tcW w:w="1587" w:type="dxa"/>
            <w:vAlign w:val="center"/>
          </w:tcPr>
          <w:p w14:paraId="27058C63">
            <w:pPr>
              <w:pStyle w:val="13"/>
            </w:pPr>
            <w:r>
              <w:t>其中：财政    资金</w:t>
            </w:r>
          </w:p>
        </w:tc>
        <w:tc>
          <w:tcPr>
            <w:tcW w:w="1304" w:type="dxa"/>
            <w:vAlign w:val="center"/>
          </w:tcPr>
          <w:p w14:paraId="5685FDA3">
            <w:pPr>
              <w:pStyle w:val="12"/>
            </w:pPr>
            <w:r>
              <w:t>6.30</w:t>
            </w:r>
          </w:p>
        </w:tc>
        <w:tc>
          <w:tcPr>
            <w:tcW w:w="1276" w:type="dxa"/>
            <w:vAlign w:val="center"/>
          </w:tcPr>
          <w:p w14:paraId="57C7E751">
            <w:pPr>
              <w:pStyle w:val="13"/>
            </w:pPr>
            <w:r>
              <w:t>其他资金</w:t>
            </w:r>
          </w:p>
        </w:tc>
        <w:tc>
          <w:tcPr>
            <w:tcW w:w="1843" w:type="dxa"/>
            <w:vAlign w:val="center"/>
          </w:tcPr>
          <w:p w14:paraId="4D3CB9CF">
            <w:pPr>
              <w:pStyle w:val="12"/>
            </w:pPr>
            <w:r>
              <w:t xml:space="preserve"> </w:t>
            </w:r>
          </w:p>
        </w:tc>
      </w:tr>
      <w:tr w14:paraId="71D74F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BE631E"/>
        </w:tc>
        <w:tc>
          <w:tcPr>
            <w:tcW w:w="8617" w:type="dxa"/>
            <w:gridSpan w:val="6"/>
            <w:vAlign w:val="center"/>
          </w:tcPr>
          <w:p w14:paraId="016403D5">
            <w:pPr>
              <w:pStyle w:val="12"/>
            </w:pPr>
            <w:r>
              <w:t>用于全区处理反邪教工作中教育转化、宣传、防范等费用，维护全区社会政治稳定。</w:t>
            </w:r>
          </w:p>
        </w:tc>
      </w:tr>
      <w:tr w14:paraId="6F770F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065799">
            <w:pPr>
              <w:pStyle w:val="13"/>
            </w:pPr>
            <w:r>
              <w:t>资金支出计划（%）</w:t>
            </w:r>
          </w:p>
        </w:tc>
        <w:tc>
          <w:tcPr>
            <w:tcW w:w="2608" w:type="dxa"/>
            <w:gridSpan w:val="2"/>
            <w:vAlign w:val="center"/>
          </w:tcPr>
          <w:p w14:paraId="00050990">
            <w:pPr>
              <w:pStyle w:val="13"/>
            </w:pPr>
            <w:r>
              <w:t>3月底</w:t>
            </w:r>
          </w:p>
        </w:tc>
        <w:tc>
          <w:tcPr>
            <w:tcW w:w="1587" w:type="dxa"/>
            <w:vAlign w:val="center"/>
          </w:tcPr>
          <w:p w14:paraId="685763F8">
            <w:pPr>
              <w:pStyle w:val="13"/>
            </w:pPr>
            <w:r>
              <w:t>6月底</w:t>
            </w:r>
          </w:p>
        </w:tc>
        <w:tc>
          <w:tcPr>
            <w:tcW w:w="1304" w:type="dxa"/>
            <w:vAlign w:val="center"/>
          </w:tcPr>
          <w:p w14:paraId="10A0A490">
            <w:pPr>
              <w:pStyle w:val="13"/>
            </w:pPr>
            <w:r>
              <w:t>10月底</w:t>
            </w:r>
          </w:p>
        </w:tc>
        <w:tc>
          <w:tcPr>
            <w:tcW w:w="3118" w:type="dxa"/>
            <w:gridSpan w:val="2"/>
            <w:vAlign w:val="center"/>
          </w:tcPr>
          <w:p w14:paraId="3CAA08B0">
            <w:pPr>
              <w:pStyle w:val="13"/>
            </w:pPr>
            <w:r>
              <w:t>12月底</w:t>
            </w:r>
          </w:p>
        </w:tc>
      </w:tr>
      <w:tr w14:paraId="5EC047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33E5EC"/>
        </w:tc>
        <w:tc>
          <w:tcPr>
            <w:tcW w:w="2608" w:type="dxa"/>
            <w:gridSpan w:val="2"/>
            <w:vAlign w:val="center"/>
          </w:tcPr>
          <w:p w14:paraId="6E241F15">
            <w:pPr>
              <w:pStyle w:val="14"/>
            </w:pPr>
            <w:r>
              <w:t xml:space="preserve"> </w:t>
            </w:r>
          </w:p>
        </w:tc>
        <w:tc>
          <w:tcPr>
            <w:tcW w:w="1587" w:type="dxa"/>
            <w:vAlign w:val="center"/>
          </w:tcPr>
          <w:p w14:paraId="63E2E0BF">
            <w:pPr>
              <w:pStyle w:val="14"/>
            </w:pPr>
            <w:r>
              <w:t>50%</w:t>
            </w:r>
          </w:p>
        </w:tc>
        <w:tc>
          <w:tcPr>
            <w:tcW w:w="1304" w:type="dxa"/>
            <w:vAlign w:val="center"/>
          </w:tcPr>
          <w:p w14:paraId="49002087">
            <w:pPr>
              <w:pStyle w:val="14"/>
            </w:pPr>
            <w:r>
              <w:t>90%</w:t>
            </w:r>
          </w:p>
        </w:tc>
        <w:tc>
          <w:tcPr>
            <w:tcW w:w="3118" w:type="dxa"/>
            <w:gridSpan w:val="2"/>
            <w:vAlign w:val="center"/>
          </w:tcPr>
          <w:p w14:paraId="75CA383F">
            <w:pPr>
              <w:pStyle w:val="14"/>
            </w:pPr>
            <w:r>
              <w:t>100%</w:t>
            </w:r>
          </w:p>
        </w:tc>
      </w:tr>
      <w:tr w14:paraId="6C2349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AAC35C">
            <w:pPr>
              <w:pStyle w:val="13"/>
            </w:pPr>
            <w:r>
              <w:t>绩效目标</w:t>
            </w:r>
          </w:p>
        </w:tc>
        <w:tc>
          <w:tcPr>
            <w:tcW w:w="8617" w:type="dxa"/>
            <w:gridSpan w:val="6"/>
            <w:vAlign w:val="center"/>
          </w:tcPr>
          <w:p w14:paraId="681F6223">
            <w:pPr>
              <w:pStyle w:val="12"/>
            </w:pPr>
            <w:r>
              <w:t>1.资金支出进度6月份完成50%，11月份完成100%</w:t>
            </w:r>
          </w:p>
          <w:p w14:paraId="0F6EF8DD">
            <w:pPr>
              <w:pStyle w:val="12"/>
            </w:pPr>
            <w:r>
              <w:t>2.确保宣传到位社会稳定政治稳定</w:t>
            </w:r>
          </w:p>
        </w:tc>
      </w:tr>
    </w:tbl>
    <w:p w14:paraId="2FB29A83">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68BD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87C2CF">
            <w:pPr>
              <w:pStyle w:val="13"/>
            </w:pPr>
            <w:r>
              <w:t>一级指标</w:t>
            </w:r>
          </w:p>
        </w:tc>
        <w:tc>
          <w:tcPr>
            <w:tcW w:w="1276" w:type="dxa"/>
            <w:vAlign w:val="center"/>
          </w:tcPr>
          <w:p w14:paraId="3DA0BF1F">
            <w:pPr>
              <w:pStyle w:val="13"/>
            </w:pPr>
            <w:r>
              <w:t>二级指标</w:t>
            </w:r>
          </w:p>
        </w:tc>
        <w:tc>
          <w:tcPr>
            <w:tcW w:w="1332" w:type="dxa"/>
            <w:vAlign w:val="center"/>
          </w:tcPr>
          <w:p w14:paraId="1BF37A6D">
            <w:pPr>
              <w:pStyle w:val="13"/>
            </w:pPr>
            <w:r>
              <w:t>三级指标</w:t>
            </w:r>
          </w:p>
        </w:tc>
        <w:tc>
          <w:tcPr>
            <w:tcW w:w="2891" w:type="dxa"/>
            <w:vAlign w:val="center"/>
          </w:tcPr>
          <w:p w14:paraId="20191A22">
            <w:pPr>
              <w:pStyle w:val="13"/>
            </w:pPr>
            <w:r>
              <w:t>绩效指标描述</w:t>
            </w:r>
          </w:p>
        </w:tc>
        <w:tc>
          <w:tcPr>
            <w:tcW w:w="1276" w:type="dxa"/>
            <w:vAlign w:val="center"/>
          </w:tcPr>
          <w:p w14:paraId="3A9F08EF">
            <w:pPr>
              <w:pStyle w:val="13"/>
            </w:pPr>
            <w:r>
              <w:t>指标值</w:t>
            </w:r>
          </w:p>
        </w:tc>
        <w:tc>
          <w:tcPr>
            <w:tcW w:w="1843" w:type="dxa"/>
            <w:vAlign w:val="center"/>
          </w:tcPr>
          <w:p w14:paraId="719F6CBC">
            <w:pPr>
              <w:pStyle w:val="13"/>
            </w:pPr>
            <w:r>
              <w:t>指标值确定依据</w:t>
            </w:r>
          </w:p>
        </w:tc>
      </w:tr>
      <w:tr w14:paraId="54EA8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1FEDDB">
            <w:pPr>
              <w:pStyle w:val="14"/>
            </w:pPr>
            <w:r>
              <w:t>产出指标</w:t>
            </w:r>
          </w:p>
        </w:tc>
        <w:tc>
          <w:tcPr>
            <w:tcW w:w="1276" w:type="dxa"/>
            <w:vAlign w:val="center"/>
          </w:tcPr>
          <w:p w14:paraId="25E1836D">
            <w:pPr>
              <w:pStyle w:val="12"/>
            </w:pPr>
            <w:r>
              <w:t>数量指标</w:t>
            </w:r>
          </w:p>
        </w:tc>
        <w:tc>
          <w:tcPr>
            <w:tcW w:w="1332" w:type="dxa"/>
            <w:vAlign w:val="center"/>
          </w:tcPr>
          <w:p w14:paraId="49856D42">
            <w:pPr>
              <w:pStyle w:val="12"/>
            </w:pPr>
            <w:r>
              <w:t>发放宣单覆盖率</w:t>
            </w:r>
          </w:p>
        </w:tc>
        <w:tc>
          <w:tcPr>
            <w:tcW w:w="2891" w:type="dxa"/>
            <w:vAlign w:val="center"/>
          </w:tcPr>
          <w:p w14:paraId="28BCF9B8">
            <w:pPr>
              <w:pStyle w:val="12"/>
            </w:pPr>
            <w:r>
              <w:t>覆盖全区各乡镇各村</w:t>
            </w:r>
          </w:p>
        </w:tc>
        <w:tc>
          <w:tcPr>
            <w:tcW w:w="1276" w:type="dxa"/>
            <w:vAlign w:val="center"/>
          </w:tcPr>
          <w:p w14:paraId="311EDD0F">
            <w:pPr>
              <w:pStyle w:val="12"/>
            </w:pPr>
            <w:r>
              <w:t>≥2件</w:t>
            </w:r>
          </w:p>
        </w:tc>
        <w:tc>
          <w:tcPr>
            <w:tcW w:w="1843" w:type="dxa"/>
            <w:vAlign w:val="center"/>
          </w:tcPr>
          <w:p w14:paraId="3C5ADABC">
            <w:pPr>
              <w:pStyle w:val="12"/>
            </w:pPr>
            <w:r>
              <w:t>冀政法字【2017】29号）</w:t>
            </w:r>
          </w:p>
        </w:tc>
      </w:tr>
      <w:tr w14:paraId="4337A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9A0DD1"/>
        </w:tc>
        <w:tc>
          <w:tcPr>
            <w:tcW w:w="1276" w:type="dxa"/>
            <w:vAlign w:val="center"/>
          </w:tcPr>
          <w:p w14:paraId="2B650385">
            <w:pPr>
              <w:pStyle w:val="12"/>
            </w:pPr>
            <w:r>
              <w:t>质量指标</w:t>
            </w:r>
          </w:p>
        </w:tc>
        <w:tc>
          <w:tcPr>
            <w:tcW w:w="1332" w:type="dxa"/>
            <w:vAlign w:val="center"/>
          </w:tcPr>
          <w:p w14:paraId="16975894">
            <w:pPr>
              <w:pStyle w:val="12"/>
            </w:pPr>
            <w:r>
              <w:t>制作宣传单数量</w:t>
            </w:r>
          </w:p>
        </w:tc>
        <w:tc>
          <w:tcPr>
            <w:tcW w:w="2891" w:type="dxa"/>
            <w:vAlign w:val="center"/>
          </w:tcPr>
          <w:p w14:paraId="4AF5D842">
            <w:pPr>
              <w:pStyle w:val="12"/>
            </w:pPr>
            <w:r>
              <w:t>全年制作反邪教宣传单数量</w:t>
            </w:r>
          </w:p>
        </w:tc>
        <w:tc>
          <w:tcPr>
            <w:tcW w:w="1276" w:type="dxa"/>
            <w:vAlign w:val="center"/>
          </w:tcPr>
          <w:p w14:paraId="32B07C26">
            <w:pPr>
              <w:pStyle w:val="12"/>
            </w:pPr>
            <w:r>
              <w:t>≤20000张</w:t>
            </w:r>
          </w:p>
        </w:tc>
        <w:tc>
          <w:tcPr>
            <w:tcW w:w="1843" w:type="dxa"/>
            <w:vAlign w:val="center"/>
          </w:tcPr>
          <w:p w14:paraId="07035F43">
            <w:pPr>
              <w:pStyle w:val="12"/>
            </w:pPr>
            <w:r>
              <w:t>冀政法字【2017】29号）</w:t>
            </w:r>
          </w:p>
        </w:tc>
      </w:tr>
      <w:tr w14:paraId="40353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B3B7E4"/>
        </w:tc>
        <w:tc>
          <w:tcPr>
            <w:tcW w:w="1276" w:type="dxa"/>
            <w:vAlign w:val="center"/>
          </w:tcPr>
          <w:p w14:paraId="78EB5FFB">
            <w:pPr>
              <w:pStyle w:val="12"/>
            </w:pPr>
            <w:r>
              <w:t>时效指标</w:t>
            </w:r>
          </w:p>
        </w:tc>
        <w:tc>
          <w:tcPr>
            <w:tcW w:w="1332" w:type="dxa"/>
            <w:vAlign w:val="center"/>
          </w:tcPr>
          <w:p w14:paraId="546126B7">
            <w:pPr>
              <w:pStyle w:val="12"/>
            </w:pPr>
            <w:r>
              <w:t>及时率</w:t>
            </w:r>
          </w:p>
        </w:tc>
        <w:tc>
          <w:tcPr>
            <w:tcW w:w="2891" w:type="dxa"/>
            <w:vAlign w:val="center"/>
          </w:tcPr>
          <w:p w14:paraId="4FFF98E0">
            <w:pPr>
              <w:pStyle w:val="12"/>
            </w:pPr>
            <w:r>
              <w:t>问题发生时随时处理的比例</w:t>
            </w:r>
          </w:p>
        </w:tc>
        <w:tc>
          <w:tcPr>
            <w:tcW w:w="1276" w:type="dxa"/>
            <w:vAlign w:val="center"/>
          </w:tcPr>
          <w:p w14:paraId="1FAE4D3B">
            <w:pPr>
              <w:pStyle w:val="12"/>
            </w:pPr>
            <w:r>
              <w:t>≥98%</w:t>
            </w:r>
          </w:p>
        </w:tc>
        <w:tc>
          <w:tcPr>
            <w:tcW w:w="1843" w:type="dxa"/>
            <w:vAlign w:val="center"/>
          </w:tcPr>
          <w:p w14:paraId="760A4BD8">
            <w:pPr>
              <w:pStyle w:val="12"/>
            </w:pPr>
            <w:r>
              <w:t>冀政法字【2017】29号）</w:t>
            </w:r>
          </w:p>
        </w:tc>
      </w:tr>
      <w:tr w14:paraId="5CC9E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F908DE"/>
        </w:tc>
        <w:tc>
          <w:tcPr>
            <w:tcW w:w="1276" w:type="dxa"/>
            <w:vAlign w:val="center"/>
          </w:tcPr>
          <w:p w14:paraId="57A0328E">
            <w:pPr>
              <w:pStyle w:val="12"/>
            </w:pPr>
            <w:r>
              <w:t>成本指标</w:t>
            </w:r>
          </w:p>
        </w:tc>
        <w:tc>
          <w:tcPr>
            <w:tcW w:w="1332" w:type="dxa"/>
            <w:vAlign w:val="center"/>
          </w:tcPr>
          <w:p w14:paraId="26D7B4DE">
            <w:pPr>
              <w:pStyle w:val="12"/>
            </w:pPr>
            <w:r>
              <w:t>资金成本</w:t>
            </w:r>
          </w:p>
        </w:tc>
        <w:tc>
          <w:tcPr>
            <w:tcW w:w="2891" w:type="dxa"/>
            <w:vAlign w:val="center"/>
          </w:tcPr>
          <w:p w14:paraId="780FBE8D">
            <w:pPr>
              <w:pStyle w:val="12"/>
            </w:pPr>
            <w:r>
              <w:t>效果安全可靠</w:t>
            </w:r>
          </w:p>
        </w:tc>
        <w:tc>
          <w:tcPr>
            <w:tcW w:w="1276" w:type="dxa"/>
            <w:vAlign w:val="center"/>
          </w:tcPr>
          <w:p w14:paraId="248CBB55">
            <w:pPr>
              <w:pStyle w:val="12"/>
            </w:pPr>
            <w:r>
              <w:t>6.3万元</w:t>
            </w:r>
          </w:p>
        </w:tc>
        <w:tc>
          <w:tcPr>
            <w:tcW w:w="1843" w:type="dxa"/>
            <w:vAlign w:val="center"/>
          </w:tcPr>
          <w:p w14:paraId="32EAE57A">
            <w:pPr>
              <w:pStyle w:val="12"/>
            </w:pPr>
            <w:r>
              <w:t>冀政法字【2017】29号）</w:t>
            </w:r>
          </w:p>
        </w:tc>
      </w:tr>
      <w:tr w14:paraId="01654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55DDC4">
            <w:pPr>
              <w:pStyle w:val="14"/>
            </w:pPr>
            <w:r>
              <w:t>效益指标</w:t>
            </w:r>
          </w:p>
        </w:tc>
        <w:tc>
          <w:tcPr>
            <w:tcW w:w="1276" w:type="dxa"/>
            <w:vAlign w:val="center"/>
          </w:tcPr>
          <w:p w14:paraId="6A69B00E">
            <w:pPr>
              <w:pStyle w:val="12"/>
            </w:pPr>
            <w:r>
              <w:t>社会效益指标</w:t>
            </w:r>
          </w:p>
        </w:tc>
        <w:tc>
          <w:tcPr>
            <w:tcW w:w="1332" w:type="dxa"/>
            <w:vAlign w:val="center"/>
          </w:tcPr>
          <w:p w14:paraId="0DD37669">
            <w:pPr>
              <w:pStyle w:val="12"/>
            </w:pPr>
            <w:r>
              <w:t>邪教人员教育转化率</w:t>
            </w:r>
          </w:p>
        </w:tc>
        <w:tc>
          <w:tcPr>
            <w:tcW w:w="2891" w:type="dxa"/>
            <w:vAlign w:val="center"/>
          </w:tcPr>
          <w:p w14:paraId="0BB36BAB">
            <w:pPr>
              <w:pStyle w:val="12"/>
            </w:pPr>
            <w:r>
              <w:t>对发现的邪教组织人员进行教育转化人数与总人数之比</w:t>
            </w:r>
          </w:p>
        </w:tc>
        <w:tc>
          <w:tcPr>
            <w:tcW w:w="1276" w:type="dxa"/>
            <w:vAlign w:val="center"/>
          </w:tcPr>
          <w:p w14:paraId="2C0359C1">
            <w:pPr>
              <w:pStyle w:val="12"/>
            </w:pPr>
            <w:r>
              <w:t>≥98%</w:t>
            </w:r>
          </w:p>
        </w:tc>
        <w:tc>
          <w:tcPr>
            <w:tcW w:w="1843" w:type="dxa"/>
            <w:vAlign w:val="center"/>
          </w:tcPr>
          <w:p w14:paraId="4092B3C4">
            <w:pPr>
              <w:pStyle w:val="12"/>
            </w:pPr>
            <w:r>
              <w:t>冀政法字【2017】29号）</w:t>
            </w:r>
          </w:p>
        </w:tc>
      </w:tr>
      <w:tr w14:paraId="19DBB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40372D">
            <w:pPr>
              <w:pStyle w:val="14"/>
            </w:pPr>
            <w:r>
              <w:t>满意度指标</w:t>
            </w:r>
          </w:p>
        </w:tc>
        <w:tc>
          <w:tcPr>
            <w:tcW w:w="1276" w:type="dxa"/>
            <w:vAlign w:val="center"/>
          </w:tcPr>
          <w:p w14:paraId="19FF910B">
            <w:pPr>
              <w:pStyle w:val="12"/>
            </w:pPr>
            <w:r>
              <w:t>服务对象满意度指标</w:t>
            </w:r>
          </w:p>
        </w:tc>
        <w:tc>
          <w:tcPr>
            <w:tcW w:w="1332" w:type="dxa"/>
            <w:vAlign w:val="center"/>
          </w:tcPr>
          <w:p w14:paraId="7B1C2981">
            <w:pPr>
              <w:pStyle w:val="12"/>
            </w:pPr>
            <w:r>
              <w:t>群众满意度</w:t>
            </w:r>
          </w:p>
        </w:tc>
        <w:tc>
          <w:tcPr>
            <w:tcW w:w="2891" w:type="dxa"/>
            <w:vAlign w:val="center"/>
          </w:tcPr>
          <w:p w14:paraId="7780D419">
            <w:pPr>
              <w:pStyle w:val="12"/>
            </w:pPr>
            <w:r>
              <w:t>覆盖全区各乡镇各村</w:t>
            </w:r>
          </w:p>
        </w:tc>
        <w:tc>
          <w:tcPr>
            <w:tcW w:w="1276" w:type="dxa"/>
            <w:vAlign w:val="center"/>
          </w:tcPr>
          <w:p w14:paraId="33A039A6">
            <w:pPr>
              <w:pStyle w:val="12"/>
            </w:pPr>
            <w:r>
              <w:t>≥95%</w:t>
            </w:r>
          </w:p>
        </w:tc>
        <w:tc>
          <w:tcPr>
            <w:tcW w:w="1843" w:type="dxa"/>
            <w:vAlign w:val="center"/>
          </w:tcPr>
          <w:p w14:paraId="1BC1A739">
            <w:pPr>
              <w:pStyle w:val="12"/>
            </w:pPr>
            <w:r>
              <w:t>冀政法字【2017】29号）</w:t>
            </w:r>
          </w:p>
        </w:tc>
      </w:tr>
    </w:tbl>
    <w:p w14:paraId="4D15066F">
      <w:pPr>
        <w:sectPr>
          <w:pgSz w:w="11900" w:h="16840"/>
          <w:pgMar w:top="1984" w:right="1304" w:bottom="1134" w:left="1304" w:header="720" w:footer="720" w:gutter="0"/>
          <w:cols w:space="720" w:num="1"/>
        </w:sectPr>
      </w:pPr>
    </w:p>
    <w:p w14:paraId="7EB615A5">
      <w:pPr>
        <w:jc w:val="center"/>
      </w:pPr>
      <w:r>
        <w:rPr>
          <w:rFonts w:ascii="方正仿宋_GBK" w:hAnsi="方正仿宋_GBK" w:eastAsia="方正仿宋_GBK" w:cs="方正仿宋_GBK"/>
          <w:color w:val="000000"/>
          <w:sz w:val="28"/>
        </w:rPr>
        <w:t xml:space="preserve"> </w:t>
      </w:r>
    </w:p>
    <w:p w14:paraId="26CABC72">
      <w:pPr>
        <w:ind w:firstLine="560"/>
        <w:outlineLvl w:val="3"/>
      </w:pPr>
      <w:bookmarkStart w:id="6" w:name="_Toc_4_4_0000000008"/>
      <w:r>
        <w:rPr>
          <w:rFonts w:ascii="方正仿宋_GBK" w:hAnsi="方正仿宋_GBK" w:eastAsia="方正仿宋_GBK" w:cs="方正仿宋_GBK"/>
          <w:color w:val="000000"/>
          <w:sz w:val="28"/>
        </w:rPr>
        <w:t>5.铁路护路联防工作经费绩效目标表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81405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87BB6C6">
            <w:pPr>
              <w:pStyle w:val="11"/>
            </w:pPr>
            <w:r>
              <w:t>216001中共保定市徐水区委政法委员会本级</w:t>
            </w:r>
          </w:p>
        </w:tc>
        <w:tc>
          <w:tcPr>
            <w:tcW w:w="1843" w:type="dxa"/>
            <w:tcBorders>
              <w:top w:val="single" w:color="FFFFFF" w:sz="6" w:space="0"/>
              <w:left w:val="single" w:color="FFFFFF" w:sz="6" w:space="0"/>
              <w:right w:val="single" w:color="FFFFFF" w:sz="6" w:space="0"/>
            </w:tcBorders>
            <w:vAlign w:val="center"/>
          </w:tcPr>
          <w:p w14:paraId="02F506EC">
            <w:pPr>
              <w:pStyle w:val="10"/>
            </w:pPr>
            <w:r>
              <w:rPr>
                <w:rFonts w:hint="eastAsia"/>
                <w:lang w:eastAsia="zh-CN"/>
              </w:rPr>
              <w:t>部门</w:t>
            </w:r>
            <w:r>
              <w:t>：万元</w:t>
            </w:r>
          </w:p>
        </w:tc>
      </w:tr>
      <w:tr w14:paraId="66B8FB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217CD3">
            <w:pPr>
              <w:pStyle w:val="13"/>
            </w:pPr>
            <w:r>
              <w:t>项目编码</w:t>
            </w:r>
          </w:p>
        </w:tc>
        <w:tc>
          <w:tcPr>
            <w:tcW w:w="2608" w:type="dxa"/>
            <w:gridSpan w:val="2"/>
            <w:vAlign w:val="center"/>
          </w:tcPr>
          <w:p w14:paraId="3D291141">
            <w:pPr>
              <w:pStyle w:val="12"/>
            </w:pPr>
            <w:r>
              <w:t>13062522P00456710462R</w:t>
            </w:r>
          </w:p>
        </w:tc>
        <w:tc>
          <w:tcPr>
            <w:tcW w:w="1587" w:type="dxa"/>
            <w:vAlign w:val="center"/>
          </w:tcPr>
          <w:p w14:paraId="1670B26F">
            <w:pPr>
              <w:pStyle w:val="13"/>
            </w:pPr>
            <w:r>
              <w:t>项目名称</w:t>
            </w:r>
          </w:p>
        </w:tc>
        <w:tc>
          <w:tcPr>
            <w:tcW w:w="4422" w:type="dxa"/>
            <w:gridSpan w:val="3"/>
            <w:vAlign w:val="center"/>
          </w:tcPr>
          <w:p w14:paraId="66F35188">
            <w:pPr>
              <w:pStyle w:val="12"/>
            </w:pPr>
            <w:r>
              <w:t>铁路护路联防工作经费</w:t>
            </w:r>
          </w:p>
        </w:tc>
      </w:tr>
      <w:tr w14:paraId="39A14C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BF35D7">
            <w:pPr>
              <w:pStyle w:val="13"/>
            </w:pPr>
            <w:r>
              <w:t>预算规模及资金用途</w:t>
            </w:r>
          </w:p>
        </w:tc>
        <w:tc>
          <w:tcPr>
            <w:tcW w:w="1276" w:type="dxa"/>
            <w:vAlign w:val="center"/>
          </w:tcPr>
          <w:p w14:paraId="0C9FB972">
            <w:pPr>
              <w:pStyle w:val="13"/>
            </w:pPr>
            <w:r>
              <w:t>预算数</w:t>
            </w:r>
          </w:p>
        </w:tc>
        <w:tc>
          <w:tcPr>
            <w:tcW w:w="1332" w:type="dxa"/>
            <w:vAlign w:val="center"/>
          </w:tcPr>
          <w:p w14:paraId="05FAC39E">
            <w:pPr>
              <w:pStyle w:val="12"/>
            </w:pPr>
            <w:r>
              <w:t>26.03</w:t>
            </w:r>
          </w:p>
        </w:tc>
        <w:tc>
          <w:tcPr>
            <w:tcW w:w="1587" w:type="dxa"/>
            <w:vAlign w:val="center"/>
          </w:tcPr>
          <w:p w14:paraId="096F6808">
            <w:pPr>
              <w:pStyle w:val="13"/>
            </w:pPr>
            <w:r>
              <w:t>其中：财政    资金</w:t>
            </w:r>
          </w:p>
        </w:tc>
        <w:tc>
          <w:tcPr>
            <w:tcW w:w="1304" w:type="dxa"/>
            <w:vAlign w:val="center"/>
          </w:tcPr>
          <w:p w14:paraId="12019AC2">
            <w:pPr>
              <w:pStyle w:val="12"/>
            </w:pPr>
            <w:r>
              <w:t>26.03</w:t>
            </w:r>
          </w:p>
        </w:tc>
        <w:tc>
          <w:tcPr>
            <w:tcW w:w="1276" w:type="dxa"/>
            <w:vAlign w:val="center"/>
          </w:tcPr>
          <w:p w14:paraId="7866853D">
            <w:pPr>
              <w:pStyle w:val="13"/>
            </w:pPr>
            <w:r>
              <w:t>其他资金</w:t>
            </w:r>
          </w:p>
        </w:tc>
        <w:tc>
          <w:tcPr>
            <w:tcW w:w="1843" w:type="dxa"/>
            <w:vAlign w:val="center"/>
          </w:tcPr>
          <w:p w14:paraId="1ECD4A28">
            <w:pPr>
              <w:pStyle w:val="12"/>
            </w:pPr>
            <w:r>
              <w:t xml:space="preserve"> </w:t>
            </w:r>
          </w:p>
        </w:tc>
      </w:tr>
      <w:tr w14:paraId="2C8EE1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0B5A28"/>
        </w:tc>
        <w:tc>
          <w:tcPr>
            <w:tcW w:w="8617" w:type="dxa"/>
            <w:gridSpan w:val="6"/>
            <w:vAlign w:val="center"/>
          </w:tcPr>
          <w:p w14:paraId="5DED6962">
            <w:pPr>
              <w:pStyle w:val="12"/>
            </w:pPr>
            <w:r>
              <w:t>为建设平安徐水，规范铁路护路工作机制建设为保障，确保全区铁路安全畅通。</w:t>
            </w:r>
          </w:p>
        </w:tc>
      </w:tr>
      <w:tr w14:paraId="70F490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30F8E8">
            <w:pPr>
              <w:pStyle w:val="13"/>
            </w:pPr>
            <w:r>
              <w:t>资金支出计划（%）</w:t>
            </w:r>
          </w:p>
        </w:tc>
        <w:tc>
          <w:tcPr>
            <w:tcW w:w="2608" w:type="dxa"/>
            <w:gridSpan w:val="2"/>
            <w:vAlign w:val="center"/>
          </w:tcPr>
          <w:p w14:paraId="30EA4586">
            <w:pPr>
              <w:pStyle w:val="13"/>
            </w:pPr>
            <w:r>
              <w:t>3月底</w:t>
            </w:r>
          </w:p>
        </w:tc>
        <w:tc>
          <w:tcPr>
            <w:tcW w:w="1587" w:type="dxa"/>
            <w:vAlign w:val="center"/>
          </w:tcPr>
          <w:p w14:paraId="224BD355">
            <w:pPr>
              <w:pStyle w:val="13"/>
            </w:pPr>
            <w:r>
              <w:t>6月底</w:t>
            </w:r>
          </w:p>
        </w:tc>
        <w:tc>
          <w:tcPr>
            <w:tcW w:w="1304" w:type="dxa"/>
            <w:vAlign w:val="center"/>
          </w:tcPr>
          <w:p w14:paraId="522EAC5A">
            <w:pPr>
              <w:pStyle w:val="13"/>
            </w:pPr>
            <w:r>
              <w:t>10月底</w:t>
            </w:r>
          </w:p>
        </w:tc>
        <w:tc>
          <w:tcPr>
            <w:tcW w:w="3118" w:type="dxa"/>
            <w:gridSpan w:val="2"/>
            <w:vAlign w:val="center"/>
          </w:tcPr>
          <w:p w14:paraId="46E29695">
            <w:pPr>
              <w:pStyle w:val="13"/>
            </w:pPr>
            <w:r>
              <w:t>12月底</w:t>
            </w:r>
          </w:p>
        </w:tc>
      </w:tr>
      <w:tr w14:paraId="4DC35B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177002"/>
        </w:tc>
        <w:tc>
          <w:tcPr>
            <w:tcW w:w="2608" w:type="dxa"/>
            <w:gridSpan w:val="2"/>
            <w:vAlign w:val="center"/>
          </w:tcPr>
          <w:p w14:paraId="00C7465B">
            <w:pPr>
              <w:pStyle w:val="14"/>
            </w:pPr>
            <w:r>
              <w:t xml:space="preserve"> </w:t>
            </w:r>
          </w:p>
        </w:tc>
        <w:tc>
          <w:tcPr>
            <w:tcW w:w="1587" w:type="dxa"/>
            <w:vAlign w:val="center"/>
          </w:tcPr>
          <w:p w14:paraId="6B250663">
            <w:pPr>
              <w:pStyle w:val="14"/>
            </w:pPr>
            <w:r>
              <w:t>65%</w:t>
            </w:r>
          </w:p>
        </w:tc>
        <w:tc>
          <w:tcPr>
            <w:tcW w:w="1304" w:type="dxa"/>
            <w:vAlign w:val="center"/>
          </w:tcPr>
          <w:p w14:paraId="2BB84631">
            <w:pPr>
              <w:pStyle w:val="14"/>
            </w:pPr>
            <w:r>
              <w:t>90%</w:t>
            </w:r>
          </w:p>
        </w:tc>
        <w:tc>
          <w:tcPr>
            <w:tcW w:w="3118" w:type="dxa"/>
            <w:gridSpan w:val="2"/>
            <w:vAlign w:val="center"/>
          </w:tcPr>
          <w:p w14:paraId="26B0D559">
            <w:pPr>
              <w:pStyle w:val="14"/>
            </w:pPr>
            <w:r>
              <w:t>100%</w:t>
            </w:r>
          </w:p>
        </w:tc>
      </w:tr>
      <w:tr w14:paraId="467C89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CD5ACA">
            <w:pPr>
              <w:pStyle w:val="13"/>
            </w:pPr>
            <w:r>
              <w:t>绩效目标</w:t>
            </w:r>
          </w:p>
        </w:tc>
        <w:tc>
          <w:tcPr>
            <w:tcW w:w="8617" w:type="dxa"/>
            <w:gridSpan w:val="6"/>
            <w:vAlign w:val="center"/>
          </w:tcPr>
          <w:p w14:paraId="76D26A06">
            <w:pPr>
              <w:pStyle w:val="12"/>
            </w:pPr>
            <w:r>
              <w:t>1.确保护路队员劳务费按月支付</w:t>
            </w:r>
            <w:r>
              <w:tab/>
            </w:r>
          </w:p>
          <w:p w14:paraId="46A9EE7A">
            <w:pPr>
              <w:pStyle w:val="12"/>
            </w:pPr>
            <w:r>
              <w:t>2.确保全国两会及其他重要节点的铁路护路联防工作，全年巡逻不得少于70次的任务。</w:t>
            </w:r>
          </w:p>
          <w:p w14:paraId="5B1F2DB6">
            <w:pPr>
              <w:pStyle w:val="12"/>
            </w:pPr>
            <w:r>
              <w:t>3.资金支付6月50%11月100%</w:t>
            </w:r>
          </w:p>
        </w:tc>
      </w:tr>
    </w:tbl>
    <w:p w14:paraId="4CA8F4D8">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FF14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A98CA0">
            <w:pPr>
              <w:pStyle w:val="13"/>
            </w:pPr>
            <w:r>
              <w:t>一级指标</w:t>
            </w:r>
          </w:p>
        </w:tc>
        <w:tc>
          <w:tcPr>
            <w:tcW w:w="1276" w:type="dxa"/>
            <w:vAlign w:val="center"/>
          </w:tcPr>
          <w:p w14:paraId="1EB96EAF">
            <w:pPr>
              <w:pStyle w:val="13"/>
            </w:pPr>
            <w:r>
              <w:t>二级指标</w:t>
            </w:r>
          </w:p>
        </w:tc>
        <w:tc>
          <w:tcPr>
            <w:tcW w:w="1332" w:type="dxa"/>
            <w:vAlign w:val="center"/>
          </w:tcPr>
          <w:p w14:paraId="47E14DC3">
            <w:pPr>
              <w:pStyle w:val="13"/>
            </w:pPr>
            <w:r>
              <w:t>三级指标</w:t>
            </w:r>
          </w:p>
        </w:tc>
        <w:tc>
          <w:tcPr>
            <w:tcW w:w="2891" w:type="dxa"/>
            <w:vAlign w:val="center"/>
          </w:tcPr>
          <w:p w14:paraId="10FECFD2">
            <w:pPr>
              <w:pStyle w:val="13"/>
            </w:pPr>
            <w:r>
              <w:t>绩效指标描述</w:t>
            </w:r>
          </w:p>
        </w:tc>
        <w:tc>
          <w:tcPr>
            <w:tcW w:w="1276" w:type="dxa"/>
            <w:vAlign w:val="center"/>
          </w:tcPr>
          <w:p w14:paraId="371277E8">
            <w:pPr>
              <w:pStyle w:val="13"/>
            </w:pPr>
            <w:r>
              <w:t>指标值</w:t>
            </w:r>
          </w:p>
        </w:tc>
        <w:tc>
          <w:tcPr>
            <w:tcW w:w="1843" w:type="dxa"/>
            <w:vAlign w:val="center"/>
          </w:tcPr>
          <w:p w14:paraId="0A368E55">
            <w:pPr>
              <w:pStyle w:val="13"/>
            </w:pPr>
            <w:r>
              <w:t>指标值确定依据</w:t>
            </w:r>
          </w:p>
        </w:tc>
      </w:tr>
      <w:tr w14:paraId="26F3E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57745B">
            <w:pPr>
              <w:pStyle w:val="14"/>
            </w:pPr>
            <w:r>
              <w:t>产出指标</w:t>
            </w:r>
          </w:p>
        </w:tc>
        <w:tc>
          <w:tcPr>
            <w:tcW w:w="1276" w:type="dxa"/>
            <w:vAlign w:val="center"/>
          </w:tcPr>
          <w:p w14:paraId="170BAB56">
            <w:pPr>
              <w:pStyle w:val="12"/>
            </w:pPr>
            <w:r>
              <w:t>数量指标</w:t>
            </w:r>
          </w:p>
        </w:tc>
        <w:tc>
          <w:tcPr>
            <w:tcW w:w="1332" w:type="dxa"/>
            <w:vAlign w:val="center"/>
          </w:tcPr>
          <w:p w14:paraId="14D14F12">
            <w:pPr>
              <w:pStyle w:val="12"/>
            </w:pPr>
            <w:r>
              <w:t>护路巡逻次数</w:t>
            </w:r>
          </w:p>
        </w:tc>
        <w:tc>
          <w:tcPr>
            <w:tcW w:w="2891" w:type="dxa"/>
            <w:vAlign w:val="center"/>
          </w:tcPr>
          <w:p w14:paraId="44141640">
            <w:pPr>
              <w:pStyle w:val="12"/>
            </w:pPr>
            <w:r>
              <w:t>护路巡逻次数</w:t>
            </w:r>
          </w:p>
        </w:tc>
        <w:tc>
          <w:tcPr>
            <w:tcW w:w="1276" w:type="dxa"/>
            <w:vAlign w:val="center"/>
          </w:tcPr>
          <w:p w14:paraId="647C08B0">
            <w:pPr>
              <w:pStyle w:val="12"/>
            </w:pPr>
            <w:r>
              <w:t>≥70次</w:t>
            </w:r>
          </w:p>
        </w:tc>
        <w:tc>
          <w:tcPr>
            <w:tcW w:w="1843" w:type="dxa"/>
            <w:vAlign w:val="center"/>
          </w:tcPr>
          <w:p w14:paraId="5E64E82A">
            <w:pPr>
              <w:pStyle w:val="12"/>
            </w:pPr>
            <w:r>
              <w:t>依据标准</w:t>
            </w:r>
          </w:p>
        </w:tc>
      </w:tr>
      <w:tr w14:paraId="47A34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A3D9CB"/>
        </w:tc>
        <w:tc>
          <w:tcPr>
            <w:tcW w:w="1276" w:type="dxa"/>
            <w:vAlign w:val="center"/>
          </w:tcPr>
          <w:p w14:paraId="4736E288">
            <w:pPr>
              <w:pStyle w:val="12"/>
            </w:pPr>
            <w:r>
              <w:t>质量指标</w:t>
            </w:r>
          </w:p>
        </w:tc>
        <w:tc>
          <w:tcPr>
            <w:tcW w:w="1332" w:type="dxa"/>
            <w:vAlign w:val="center"/>
          </w:tcPr>
          <w:p w14:paraId="48887388">
            <w:pPr>
              <w:pStyle w:val="12"/>
            </w:pPr>
            <w:r>
              <w:t>巡逻覆盖率</w:t>
            </w:r>
          </w:p>
        </w:tc>
        <w:tc>
          <w:tcPr>
            <w:tcW w:w="2891" w:type="dxa"/>
            <w:vAlign w:val="center"/>
          </w:tcPr>
          <w:p w14:paraId="5D118EDC">
            <w:pPr>
              <w:pStyle w:val="12"/>
            </w:pPr>
            <w:r>
              <w:t>巡逻全覆盖</w:t>
            </w:r>
          </w:p>
        </w:tc>
        <w:tc>
          <w:tcPr>
            <w:tcW w:w="1276" w:type="dxa"/>
            <w:vAlign w:val="center"/>
          </w:tcPr>
          <w:p w14:paraId="327F8A40">
            <w:pPr>
              <w:pStyle w:val="12"/>
            </w:pPr>
            <w:r>
              <w:t>≥95%</w:t>
            </w:r>
          </w:p>
        </w:tc>
        <w:tc>
          <w:tcPr>
            <w:tcW w:w="1843" w:type="dxa"/>
            <w:vAlign w:val="center"/>
          </w:tcPr>
          <w:p w14:paraId="1B63E2CE">
            <w:pPr>
              <w:pStyle w:val="12"/>
            </w:pPr>
            <w:r>
              <w:t>依据标准</w:t>
            </w:r>
          </w:p>
        </w:tc>
      </w:tr>
      <w:tr w14:paraId="00F5F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D1911C"/>
        </w:tc>
        <w:tc>
          <w:tcPr>
            <w:tcW w:w="1276" w:type="dxa"/>
            <w:vAlign w:val="center"/>
          </w:tcPr>
          <w:p w14:paraId="4D5D1AA8">
            <w:pPr>
              <w:pStyle w:val="12"/>
            </w:pPr>
            <w:r>
              <w:t>时效指标</w:t>
            </w:r>
          </w:p>
        </w:tc>
        <w:tc>
          <w:tcPr>
            <w:tcW w:w="1332" w:type="dxa"/>
            <w:vAlign w:val="center"/>
          </w:tcPr>
          <w:p w14:paraId="4286FBE3">
            <w:pPr>
              <w:pStyle w:val="12"/>
            </w:pPr>
            <w:r>
              <w:t>巡逻及时率</w:t>
            </w:r>
          </w:p>
        </w:tc>
        <w:tc>
          <w:tcPr>
            <w:tcW w:w="2891" w:type="dxa"/>
            <w:vAlign w:val="center"/>
          </w:tcPr>
          <w:p w14:paraId="7344FE03">
            <w:pPr>
              <w:pStyle w:val="12"/>
            </w:pPr>
            <w:r>
              <w:t>巡逻工作及时开展的比例</w:t>
            </w:r>
          </w:p>
        </w:tc>
        <w:tc>
          <w:tcPr>
            <w:tcW w:w="1276" w:type="dxa"/>
            <w:vAlign w:val="center"/>
          </w:tcPr>
          <w:p w14:paraId="3235E988">
            <w:pPr>
              <w:pStyle w:val="12"/>
            </w:pPr>
            <w:r>
              <w:t>≥95%</w:t>
            </w:r>
          </w:p>
        </w:tc>
        <w:tc>
          <w:tcPr>
            <w:tcW w:w="1843" w:type="dxa"/>
            <w:vAlign w:val="center"/>
          </w:tcPr>
          <w:p w14:paraId="0EDB6F5A">
            <w:pPr>
              <w:pStyle w:val="12"/>
            </w:pPr>
            <w:r>
              <w:t>依据标准</w:t>
            </w:r>
          </w:p>
        </w:tc>
      </w:tr>
      <w:tr w14:paraId="04A4A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D73AA9"/>
        </w:tc>
        <w:tc>
          <w:tcPr>
            <w:tcW w:w="1276" w:type="dxa"/>
            <w:vAlign w:val="center"/>
          </w:tcPr>
          <w:p w14:paraId="6866B29E">
            <w:pPr>
              <w:pStyle w:val="12"/>
            </w:pPr>
            <w:r>
              <w:t>成本指标</w:t>
            </w:r>
          </w:p>
        </w:tc>
        <w:tc>
          <w:tcPr>
            <w:tcW w:w="1332" w:type="dxa"/>
            <w:vAlign w:val="center"/>
          </w:tcPr>
          <w:p w14:paraId="7308C393">
            <w:pPr>
              <w:pStyle w:val="12"/>
            </w:pPr>
            <w:r>
              <w:t>劳务费落实到位</w:t>
            </w:r>
          </w:p>
        </w:tc>
        <w:tc>
          <w:tcPr>
            <w:tcW w:w="2891" w:type="dxa"/>
            <w:vAlign w:val="center"/>
          </w:tcPr>
          <w:p w14:paraId="62A6FF90">
            <w:pPr>
              <w:pStyle w:val="12"/>
            </w:pPr>
            <w:r>
              <w:t>劳务费落实到位</w:t>
            </w:r>
          </w:p>
        </w:tc>
        <w:tc>
          <w:tcPr>
            <w:tcW w:w="1276" w:type="dxa"/>
            <w:vAlign w:val="center"/>
          </w:tcPr>
          <w:p w14:paraId="47FDD613">
            <w:pPr>
              <w:pStyle w:val="12"/>
            </w:pPr>
            <w:r>
              <w:t>≤26.03万元</w:t>
            </w:r>
          </w:p>
        </w:tc>
        <w:tc>
          <w:tcPr>
            <w:tcW w:w="1843" w:type="dxa"/>
            <w:vAlign w:val="center"/>
          </w:tcPr>
          <w:p w14:paraId="41027F2A">
            <w:pPr>
              <w:pStyle w:val="12"/>
            </w:pPr>
            <w:r>
              <w:t>依据标准</w:t>
            </w:r>
          </w:p>
        </w:tc>
      </w:tr>
      <w:tr w14:paraId="37A16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F56D85">
            <w:pPr>
              <w:pStyle w:val="14"/>
            </w:pPr>
            <w:r>
              <w:t>效益指标</w:t>
            </w:r>
          </w:p>
        </w:tc>
        <w:tc>
          <w:tcPr>
            <w:tcW w:w="1276" w:type="dxa"/>
            <w:vAlign w:val="center"/>
          </w:tcPr>
          <w:p w14:paraId="39188BFF">
            <w:pPr>
              <w:pStyle w:val="12"/>
            </w:pPr>
            <w:r>
              <w:t>社会效益指标</w:t>
            </w:r>
          </w:p>
        </w:tc>
        <w:tc>
          <w:tcPr>
            <w:tcW w:w="1332" w:type="dxa"/>
            <w:vAlign w:val="center"/>
          </w:tcPr>
          <w:p w14:paraId="4C903DC4">
            <w:pPr>
              <w:pStyle w:val="12"/>
            </w:pPr>
            <w:r>
              <w:t>全区铁路安全事故发生次数</w:t>
            </w:r>
          </w:p>
        </w:tc>
        <w:tc>
          <w:tcPr>
            <w:tcW w:w="2891" w:type="dxa"/>
            <w:vAlign w:val="center"/>
          </w:tcPr>
          <w:p w14:paraId="4A915071">
            <w:pPr>
              <w:pStyle w:val="12"/>
            </w:pPr>
            <w:r>
              <w:t>全区铁路安全事故发生次数</w:t>
            </w:r>
          </w:p>
        </w:tc>
        <w:tc>
          <w:tcPr>
            <w:tcW w:w="1276" w:type="dxa"/>
            <w:vAlign w:val="center"/>
          </w:tcPr>
          <w:p w14:paraId="4723D943">
            <w:pPr>
              <w:pStyle w:val="12"/>
            </w:pPr>
            <w:r>
              <w:t>≤1次</w:t>
            </w:r>
          </w:p>
        </w:tc>
        <w:tc>
          <w:tcPr>
            <w:tcW w:w="1843" w:type="dxa"/>
            <w:vAlign w:val="center"/>
          </w:tcPr>
          <w:p w14:paraId="780FD810">
            <w:pPr>
              <w:pStyle w:val="12"/>
            </w:pPr>
            <w:r>
              <w:t>依据标准</w:t>
            </w:r>
          </w:p>
        </w:tc>
      </w:tr>
    </w:tbl>
    <w:p w14:paraId="2BA05F77">
      <w:pPr>
        <w:sectPr>
          <w:pgSz w:w="11900" w:h="16840"/>
          <w:pgMar w:top="1984" w:right="1304" w:bottom="1134" w:left="1304" w:header="720" w:footer="720" w:gutter="0"/>
          <w:cols w:space="720" w:num="1"/>
        </w:sectPr>
      </w:pPr>
    </w:p>
    <w:p w14:paraId="216D617F">
      <w:pPr>
        <w:jc w:val="center"/>
      </w:pPr>
      <w:r>
        <w:rPr>
          <w:rFonts w:ascii="方正仿宋_GBK" w:hAnsi="方正仿宋_GBK" w:eastAsia="方正仿宋_GBK" w:cs="方正仿宋_GBK"/>
          <w:color w:val="000000"/>
          <w:sz w:val="28"/>
        </w:rPr>
        <w:t xml:space="preserve"> </w:t>
      </w:r>
    </w:p>
    <w:p w14:paraId="32D66366">
      <w:pPr>
        <w:ind w:firstLine="560"/>
        <w:outlineLvl w:val="3"/>
      </w:pPr>
      <w:bookmarkStart w:id="7" w:name="_Toc_4_4_0000000009"/>
      <w:r>
        <w:rPr>
          <w:rFonts w:ascii="方正仿宋_GBK" w:hAnsi="方正仿宋_GBK" w:eastAsia="方正仿宋_GBK" w:cs="方正仿宋_GBK"/>
          <w:color w:val="000000"/>
          <w:sz w:val="28"/>
        </w:rPr>
        <w:t>6.政法稳定工作经费绩效目标表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B069D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6E66E12">
            <w:pPr>
              <w:pStyle w:val="11"/>
            </w:pPr>
            <w:r>
              <w:t>216001中共保定市徐水区委政法委员会本级</w:t>
            </w:r>
          </w:p>
        </w:tc>
        <w:tc>
          <w:tcPr>
            <w:tcW w:w="1843" w:type="dxa"/>
            <w:tcBorders>
              <w:top w:val="single" w:color="FFFFFF" w:sz="6" w:space="0"/>
              <w:left w:val="single" w:color="FFFFFF" w:sz="6" w:space="0"/>
              <w:right w:val="single" w:color="FFFFFF" w:sz="6" w:space="0"/>
            </w:tcBorders>
            <w:vAlign w:val="center"/>
          </w:tcPr>
          <w:p w14:paraId="7FBAAE28">
            <w:pPr>
              <w:pStyle w:val="10"/>
            </w:pPr>
            <w:r>
              <w:rPr>
                <w:rFonts w:hint="eastAsia"/>
                <w:lang w:eastAsia="zh-CN"/>
              </w:rPr>
              <w:t>部门</w:t>
            </w:r>
            <w:r>
              <w:t>：万元</w:t>
            </w:r>
          </w:p>
        </w:tc>
      </w:tr>
      <w:tr w14:paraId="365CCD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B7EAB7">
            <w:pPr>
              <w:pStyle w:val="13"/>
            </w:pPr>
            <w:r>
              <w:t>项目编码</w:t>
            </w:r>
          </w:p>
        </w:tc>
        <w:tc>
          <w:tcPr>
            <w:tcW w:w="2608" w:type="dxa"/>
            <w:gridSpan w:val="2"/>
            <w:vAlign w:val="center"/>
          </w:tcPr>
          <w:p w14:paraId="0E559B85">
            <w:pPr>
              <w:pStyle w:val="12"/>
            </w:pPr>
            <w:r>
              <w:t>13062522P00456610258B</w:t>
            </w:r>
          </w:p>
        </w:tc>
        <w:tc>
          <w:tcPr>
            <w:tcW w:w="1587" w:type="dxa"/>
            <w:vAlign w:val="center"/>
          </w:tcPr>
          <w:p w14:paraId="5C8E9E76">
            <w:pPr>
              <w:pStyle w:val="13"/>
            </w:pPr>
            <w:r>
              <w:t>项目名称</w:t>
            </w:r>
          </w:p>
        </w:tc>
        <w:tc>
          <w:tcPr>
            <w:tcW w:w="4422" w:type="dxa"/>
            <w:gridSpan w:val="3"/>
            <w:vAlign w:val="center"/>
          </w:tcPr>
          <w:p w14:paraId="53DC9F17">
            <w:pPr>
              <w:pStyle w:val="12"/>
            </w:pPr>
            <w:r>
              <w:t>政法稳定工作经费</w:t>
            </w:r>
          </w:p>
        </w:tc>
      </w:tr>
      <w:tr w14:paraId="6906F6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443AAE">
            <w:pPr>
              <w:pStyle w:val="13"/>
            </w:pPr>
            <w:r>
              <w:t>预算规模及资金用途</w:t>
            </w:r>
          </w:p>
        </w:tc>
        <w:tc>
          <w:tcPr>
            <w:tcW w:w="1276" w:type="dxa"/>
            <w:vAlign w:val="center"/>
          </w:tcPr>
          <w:p w14:paraId="27219DCE">
            <w:pPr>
              <w:pStyle w:val="13"/>
            </w:pPr>
            <w:r>
              <w:t>预算数</w:t>
            </w:r>
          </w:p>
        </w:tc>
        <w:tc>
          <w:tcPr>
            <w:tcW w:w="1332" w:type="dxa"/>
            <w:vAlign w:val="center"/>
          </w:tcPr>
          <w:p w14:paraId="34D75D4F">
            <w:pPr>
              <w:pStyle w:val="12"/>
            </w:pPr>
            <w:r>
              <w:t>280.00</w:t>
            </w:r>
          </w:p>
        </w:tc>
        <w:tc>
          <w:tcPr>
            <w:tcW w:w="1587" w:type="dxa"/>
            <w:vAlign w:val="center"/>
          </w:tcPr>
          <w:p w14:paraId="050E4A2A">
            <w:pPr>
              <w:pStyle w:val="13"/>
            </w:pPr>
            <w:r>
              <w:t>其中：财政    资金</w:t>
            </w:r>
          </w:p>
        </w:tc>
        <w:tc>
          <w:tcPr>
            <w:tcW w:w="1304" w:type="dxa"/>
            <w:vAlign w:val="center"/>
          </w:tcPr>
          <w:p w14:paraId="2E01EC13">
            <w:pPr>
              <w:pStyle w:val="12"/>
            </w:pPr>
            <w:r>
              <w:t>280.00</w:t>
            </w:r>
          </w:p>
        </w:tc>
        <w:tc>
          <w:tcPr>
            <w:tcW w:w="1276" w:type="dxa"/>
            <w:vAlign w:val="center"/>
          </w:tcPr>
          <w:p w14:paraId="270927A8">
            <w:pPr>
              <w:pStyle w:val="13"/>
            </w:pPr>
            <w:r>
              <w:t>其他资金</w:t>
            </w:r>
          </w:p>
        </w:tc>
        <w:tc>
          <w:tcPr>
            <w:tcW w:w="1843" w:type="dxa"/>
            <w:vAlign w:val="center"/>
          </w:tcPr>
          <w:p w14:paraId="5A1CD157">
            <w:pPr>
              <w:pStyle w:val="12"/>
            </w:pPr>
            <w:r>
              <w:t xml:space="preserve"> </w:t>
            </w:r>
          </w:p>
        </w:tc>
      </w:tr>
      <w:tr w14:paraId="4E0578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A96E8F"/>
        </w:tc>
        <w:tc>
          <w:tcPr>
            <w:tcW w:w="8617" w:type="dxa"/>
            <w:gridSpan w:val="6"/>
            <w:vAlign w:val="center"/>
          </w:tcPr>
          <w:p w14:paraId="77742642">
            <w:pPr>
              <w:pStyle w:val="12"/>
            </w:pPr>
            <w:r>
              <w:t>用于全区平安建设，确保全区持续稳定，处置突发事件、社会稳定、大要案、涉法涉诉救助等费用。</w:t>
            </w:r>
          </w:p>
        </w:tc>
      </w:tr>
      <w:tr w14:paraId="542FB4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B3BA45">
            <w:pPr>
              <w:pStyle w:val="13"/>
            </w:pPr>
            <w:r>
              <w:t>资金支出计划（%）</w:t>
            </w:r>
          </w:p>
        </w:tc>
        <w:tc>
          <w:tcPr>
            <w:tcW w:w="2608" w:type="dxa"/>
            <w:gridSpan w:val="2"/>
            <w:vAlign w:val="center"/>
          </w:tcPr>
          <w:p w14:paraId="21B4C867">
            <w:pPr>
              <w:pStyle w:val="13"/>
            </w:pPr>
            <w:r>
              <w:t>3月底</w:t>
            </w:r>
          </w:p>
        </w:tc>
        <w:tc>
          <w:tcPr>
            <w:tcW w:w="1587" w:type="dxa"/>
            <w:vAlign w:val="center"/>
          </w:tcPr>
          <w:p w14:paraId="517B16A9">
            <w:pPr>
              <w:pStyle w:val="13"/>
            </w:pPr>
            <w:r>
              <w:t>6月底</w:t>
            </w:r>
          </w:p>
        </w:tc>
        <w:tc>
          <w:tcPr>
            <w:tcW w:w="1304" w:type="dxa"/>
            <w:vAlign w:val="center"/>
          </w:tcPr>
          <w:p w14:paraId="7BD1A1DF">
            <w:pPr>
              <w:pStyle w:val="13"/>
            </w:pPr>
            <w:r>
              <w:t>10月底</w:t>
            </w:r>
          </w:p>
        </w:tc>
        <w:tc>
          <w:tcPr>
            <w:tcW w:w="3118" w:type="dxa"/>
            <w:gridSpan w:val="2"/>
            <w:vAlign w:val="center"/>
          </w:tcPr>
          <w:p w14:paraId="6EA9A9C0">
            <w:pPr>
              <w:pStyle w:val="13"/>
            </w:pPr>
            <w:r>
              <w:t>12月底</w:t>
            </w:r>
          </w:p>
        </w:tc>
      </w:tr>
      <w:tr w14:paraId="5A0428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886DDC"/>
        </w:tc>
        <w:tc>
          <w:tcPr>
            <w:tcW w:w="2608" w:type="dxa"/>
            <w:gridSpan w:val="2"/>
            <w:vAlign w:val="center"/>
          </w:tcPr>
          <w:p w14:paraId="172466BD">
            <w:pPr>
              <w:pStyle w:val="14"/>
            </w:pPr>
            <w:r>
              <w:t xml:space="preserve"> </w:t>
            </w:r>
          </w:p>
        </w:tc>
        <w:tc>
          <w:tcPr>
            <w:tcW w:w="1587" w:type="dxa"/>
            <w:vAlign w:val="center"/>
          </w:tcPr>
          <w:p w14:paraId="438D177F">
            <w:pPr>
              <w:pStyle w:val="14"/>
            </w:pPr>
            <w:r>
              <w:t>50%</w:t>
            </w:r>
          </w:p>
        </w:tc>
        <w:tc>
          <w:tcPr>
            <w:tcW w:w="1304" w:type="dxa"/>
            <w:vAlign w:val="center"/>
          </w:tcPr>
          <w:p w14:paraId="2E0CFF3C">
            <w:pPr>
              <w:pStyle w:val="14"/>
            </w:pPr>
            <w:r>
              <w:t>75%</w:t>
            </w:r>
          </w:p>
        </w:tc>
        <w:tc>
          <w:tcPr>
            <w:tcW w:w="3118" w:type="dxa"/>
            <w:gridSpan w:val="2"/>
            <w:vAlign w:val="center"/>
          </w:tcPr>
          <w:p w14:paraId="02914858">
            <w:pPr>
              <w:pStyle w:val="14"/>
            </w:pPr>
            <w:r>
              <w:t>100%</w:t>
            </w:r>
          </w:p>
        </w:tc>
      </w:tr>
      <w:tr w14:paraId="0D01AC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F3EA98">
            <w:pPr>
              <w:pStyle w:val="13"/>
            </w:pPr>
            <w:r>
              <w:t>绩效目标</w:t>
            </w:r>
          </w:p>
        </w:tc>
        <w:tc>
          <w:tcPr>
            <w:tcW w:w="8617" w:type="dxa"/>
            <w:gridSpan w:val="6"/>
            <w:vAlign w:val="center"/>
          </w:tcPr>
          <w:p w14:paraId="6807E3F8">
            <w:pPr>
              <w:pStyle w:val="12"/>
            </w:pPr>
            <w:r>
              <w:t>1.资金支出进度按季度申报支出6月份支出50%，11月份支出100%确保资金需求保障</w:t>
            </w:r>
          </w:p>
          <w:p w14:paraId="53F76490">
            <w:pPr>
              <w:pStyle w:val="12"/>
            </w:pPr>
            <w:r>
              <w:t>2.通过指导、协调和督导各级各</w:t>
            </w:r>
            <w:r>
              <w:rPr>
                <w:rFonts w:hint="eastAsia"/>
                <w:lang w:eastAsia="zh-CN"/>
              </w:rPr>
              <w:t>部门</w:t>
            </w:r>
            <w:r>
              <w:t>，预防减少不稳定因素的发生，有效化解不稳定隐患、群体性事件和突发事件</w:t>
            </w:r>
          </w:p>
          <w:p w14:paraId="0D1522C3">
            <w:pPr>
              <w:pStyle w:val="12"/>
            </w:pPr>
            <w:r>
              <w:t>3.全力做好区内各种重大活动安保工作，确保社会稳定。</w:t>
            </w:r>
          </w:p>
        </w:tc>
      </w:tr>
    </w:tbl>
    <w:p w14:paraId="1BA92EF5">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43FB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17B03F">
            <w:pPr>
              <w:pStyle w:val="13"/>
            </w:pPr>
            <w:r>
              <w:t>一级指标</w:t>
            </w:r>
          </w:p>
        </w:tc>
        <w:tc>
          <w:tcPr>
            <w:tcW w:w="1276" w:type="dxa"/>
            <w:vAlign w:val="center"/>
          </w:tcPr>
          <w:p w14:paraId="6261323C">
            <w:pPr>
              <w:pStyle w:val="13"/>
            </w:pPr>
            <w:r>
              <w:t>二级指标</w:t>
            </w:r>
          </w:p>
        </w:tc>
        <w:tc>
          <w:tcPr>
            <w:tcW w:w="1332" w:type="dxa"/>
            <w:vAlign w:val="center"/>
          </w:tcPr>
          <w:p w14:paraId="0F529969">
            <w:pPr>
              <w:pStyle w:val="13"/>
            </w:pPr>
            <w:r>
              <w:t>三级指标</w:t>
            </w:r>
          </w:p>
        </w:tc>
        <w:tc>
          <w:tcPr>
            <w:tcW w:w="2891" w:type="dxa"/>
            <w:vAlign w:val="center"/>
          </w:tcPr>
          <w:p w14:paraId="1AA8904E">
            <w:pPr>
              <w:pStyle w:val="13"/>
            </w:pPr>
            <w:r>
              <w:t>绩效指标描述</w:t>
            </w:r>
          </w:p>
        </w:tc>
        <w:tc>
          <w:tcPr>
            <w:tcW w:w="1276" w:type="dxa"/>
            <w:vAlign w:val="center"/>
          </w:tcPr>
          <w:p w14:paraId="54871573">
            <w:pPr>
              <w:pStyle w:val="13"/>
            </w:pPr>
            <w:r>
              <w:t>指标值</w:t>
            </w:r>
          </w:p>
        </w:tc>
        <w:tc>
          <w:tcPr>
            <w:tcW w:w="1843" w:type="dxa"/>
            <w:vAlign w:val="center"/>
          </w:tcPr>
          <w:p w14:paraId="7B18DACA">
            <w:pPr>
              <w:pStyle w:val="13"/>
            </w:pPr>
            <w:r>
              <w:t>指标值确定依据</w:t>
            </w:r>
          </w:p>
        </w:tc>
      </w:tr>
      <w:tr w14:paraId="52DE7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D3BA60">
            <w:pPr>
              <w:pStyle w:val="14"/>
            </w:pPr>
            <w:r>
              <w:t>产出指标</w:t>
            </w:r>
          </w:p>
        </w:tc>
        <w:tc>
          <w:tcPr>
            <w:tcW w:w="1276" w:type="dxa"/>
            <w:vAlign w:val="center"/>
          </w:tcPr>
          <w:p w14:paraId="02F2A1C5">
            <w:pPr>
              <w:pStyle w:val="12"/>
            </w:pPr>
            <w:r>
              <w:t>数量指标</w:t>
            </w:r>
          </w:p>
        </w:tc>
        <w:tc>
          <w:tcPr>
            <w:tcW w:w="1332" w:type="dxa"/>
            <w:vAlign w:val="center"/>
          </w:tcPr>
          <w:p w14:paraId="364E9CC8">
            <w:pPr>
              <w:pStyle w:val="12"/>
            </w:pPr>
            <w:r>
              <w:t>重大安保任务完成数</w:t>
            </w:r>
          </w:p>
        </w:tc>
        <w:tc>
          <w:tcPr>
            <w:tcW w:w="2891" w:type="dxa"/>
            <w:vAlign w:val="center"/>
          </w:tcPr>
          <w:p w14:paraId="1F436C6A">
            <w:pPr>
              <w:pStyle w:val="12"/>
            </w:pPr>
            <w:r>
              <w:t>圆满完成安保任务占任务总数的比例</w:t>
            </w:r>
          </w:p>
        </w:tc>
        <w:tc>
          <w:tcPr>
            <w:tcW w:w="1276" w:type="dxa"/>
            <w:vAlign w:val="center"/>
          </w:tcPr>
          <w:p w14:paraId="715D8E80">
            <w:pPr>
              <w:pStyle w:val="12"/>
            </w:pPr>
            <w:r>
              <w:t>≥95%</w:t>
            </w:r>
          </w:p>
        </w:tc>
        <w:tc>
          <w:tcPr>
            <w:tcW w:w="1843" w:type="dxa"/>
            <w:vAlign w:val="center"/>
          </w:tcPr>
          <w:p w14:paraId="19446503">
            <w:pPr>
              <w:pStyle w:val="12"/>
            </w:pPr>
            <w:r>
              <w:t>徐发[2008]30号</w:t>
            </w:r>
          </w:p>
        </w:tc>
      </w:tr>
      <w:tr w14:paraId="3BF6F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F28FBC"/>
        </w:tc>
        <w:tc>
          <w:tcPr>
            <w:tcW w:w="1276" w:type="dxa"/>
            <w:vAlign w:val="center"/>
          </w:tcPr>
          <w:p w14:paraId="0C74A031">
            <w:pPr>
              <w:pStyle w:val="12"/>
            </w:pPr>
            <w:r>
              <w:t>质量指标</w:t>
            </w:r>
          </w:p>
        </w:tc>
        <w:tc>
          <w:tcPr>
            <w:tcW w:w="1332" w:type="dxa"/>
            <w:vAlign w:val="center"/>
          </w:tcPr>
          <w:p w14:paraId="5062F015">
            <w:pPr>
              <w:pStyle w:val="12"/>
            </w:pPr>
            <w:r>
              <w:t>涉稳舆情处置率</w:t>
            </w:r>
          </w:p>
        </w:tc>
        <w:tc>
          <w:tcPr>
            <w:tcW w:w="2891" w:type="dxa"/>
            <w:vAlign w:val="center"/>
          </w:tcPr>
          <w:p w14:paraId="4BDCC800">
            <w:pPr>
              <w:pStyle w:val="12"/>
            </w:pPr>
            <w:r>
              <w:t>已处置的涉稳舆情数占涉稳网格舆情总数比例</w:t>
            </w:r>
          </w:p>
        </w:tc>
        <w:tc>
          <w:tcPr>
            <w:tcW w:w="1276" w:type="dxa"/>
            <w:vAlign w:val="center"/>
          </w:tcPr>
          <w:p w14:paraId="0013C041">
            <w:pPr>
              <w:pStyle w:val="12"/>
            </w:pPr>
            <w:r>
              <w:t>≥95%</w:t>
            </w:r>
          </w:p>
        </w:tc>
        <w:tc>
          <w:tcPr>
            <w:tcW w:w="1843" w:type="dxa"/>
            <w:vAlign w:val="center"/>
          </w:tcPr>
          <w:p w14:paraId="4761B2AE">
            <w:pPr>
              <w:pStyle w:val="12"/>
            </w:pPr>
            <w:r>
              <w:t>徐发[2008]30号</w:t>
            </w:r>
          </w:p>
        </w:tc>
      </w:tr>
      <w:tr w14:paraId="2843B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D0CF55"/>
        </w:tc>
        <w:tc>
          <w:tcPr>
            <w:tcW w:w="1276" w:type="dxa"/>
            <w:vAlign w:val="center"/>
          </w:tcPr>
          <w:p w14:paraId="23761D64">
            <w:pPr>
              <w:pStyle w:val="12"/>
            </w:pPr>
            <w:r>
              <w:t>时效指标</w:t>
            </w:r>
          </w:p>
        </w:tc>
        <w:tc>
          <w:tcPr>
            <w:tcW w:w="1332" w:type="dxa"/>
            <w:vAlign w:val="center"/>
          </w:tcPr>
          <w:p w14:paraId="65EDAD9B">
            <w:pPr>
              <w:pStyle w:val="12"/>
            </w:pPr>
            <w:r>
              <w:t>处置和研判及时率</w:t>
            </w:r>
          </w:p>
        </w:tc>
        <w:tc>
          <w:tcPr>
            <w:tcW w:w="2891" w:type="dxa"/>
            <w:vAlign w:val="center"/>
          </w:tcPr>
          <w:p w14:paraId="542D11DE">
            <w:pPr>
              <w:pStyle w:val="12"/>
            </w:pPr>
            <w:r>
              <w:t>及时进行处置和研判的比率</w:t>
            </w:r>
          </w:p>
        </w:tc>
        <w:tc>
          <w:tcPr>
            <w:tcW w:w="1276" w:type="dxa"/>
            <w:vAlign w:val="center"/>
          </w:tcPr>
          <w:p w14:paraId="58ABBC98">
            <w:pPr>
              <w:pStyle w:val="12"/>
            </w:pPr>
            <w:r>
              <w:t>≥95%</w:t>
            </w:r>
          </w:p>
        </w:tc>
        <w:tc>
          <w:tcPr>
            <w:tcW w:w="1843" w:type="dxa"/>
            <w:vAlign w:val="center"/>
          </w:tcPr>
          <w:p w14:paraId="1D018FBC">
            <w:pPr>
              <w:pStyle w:val="12"/>
            </w:pPr>
            <w:r>
              <w:t>徐发[2008]30号</w:t>
            </w:r>
          </w:p>
        </w:tc>
      </w:tr>
      <w:tr w14:paraId="1933D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3FC0C1"/>
        </w:tc>
        <w:tc>
          <w:tcPr>
            <w:tcW w:w="1276" w:type="dxa"/>
            <w:vAlign w:val="center"/>
          </w:tcPr>
          <w:p w14:paraId="02FDA716">
            <w:pPr>
              <w:pStyle w:val="12"/>
            </w:pPr>
            <w:r>
              <w:t>成本指标</w:t>
            </w:r>
          </w:p>
        </w:tc>
        <w:tc>
          <w:tcPr>
            <w:tcW w:w="1332" w:type="dxa"/>
            <w:vAlign w:val="center"/>
          </w:tcPr>
          <w:p w14:paraId="0B50AA8D">
            <w:pPr>
              <w:pStyle w:val="12"/>
            </w:pPr>
            <w:r>
              <w:t>资金成本</w:t>
            </w:r>
          </w:p>
        </w:tc>
        <w:tc>
          <w:tcPr>
            <w:tcW w:w="2891" w:type="dxa"/>
            <w:vAlign w:val="center"/>
          </w:tcPr>
          <w:p w14:paraId="263B64D7">
            <w:pPr>
              <w:pStyle w:val="12"/>
            </w:pPr>
            <w:r>
              <w:t>运行安全</w:t>
            </w:r>
          </w:p>
        </w:tc>
        <w:tc>
          <w:tcPr>
            <w:tcW w:w="1276" w:type="dxa"/>
            <w:vAlign w:val="center"/>
          </w:tcPr>
          <w:p w14:paraId="17456378">
            <w:pPr>
              <w:pStyle w:val="12"/>
            </w:pPr>
            <w:r>
              <w:t>≤280万元</w:t>
            </w:r>
          </w:p>
        </w:tc>
        <w:tc>
          <w:tcPr>
            <w:tcW w:w="1843" w:type="dxa"/>
            <w:vAlign w:val="center"/>
          </w:tcPr>
          <w:p w14:paraId="0556DCD0">
            <w:pPr>
              <w:pStyle w:val="12"/>
            </w:pPr>
            <w:r>
              <w:t>徐发[2008]30号</w:t>
            </w:r>
          </w:p>
        </w:tc>
      </w:tr>
      <w:tr w14:paraId="3A546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4338FC">
            <w:pPr>
              <w:pStyle w:val="14"/>
            </w:pPr>
            <w:r>
              <w:t>效益指标</w:t>
            </w:r>
          </w:p>
        </w:tc>
        <w:tc>
          <w:tcPr>
            <w:tcW w:w="1276" w:type="dxa"/>
            <w:vAlign w:val="center"/>
          </w:tcPr>
          <w:p w14:paraId="34EFEF74">
            <w:pPr>
              <w:pStyle w:val="12"/>
            </w:pPr>
            <w:r>
              <w:t>社会效益指标</w:t>
            </w:r>
          </w:p>
        </w:tc>
        <w:tc>
          <w:tcPr>
            <w:tcW w:w="1332" w:type="dxa"/>
            <w:vAlign w:val="center"/>
          </w:tcPr>
          <w:p w14:paraId="012CC805">
            <w:pPr>
              <w:pStyle w:val="12"/>
            </w:pPr>
            <w:r>
              <w:t>重大活动突发事件发生处置有效率</w:t>
            </w:r>
          </w:p>
        </w:tc>
        <w:tc>
          <w:tcPr>
            <w:tcW w:w="2891" w:type="dxa"/>
            <w:vAlign w:val="center"/>
          </w:tcPr>
          <w:p w14:paraId="2B42F065">
            <w:pPr>
              <w:pStyle w:val="12"/>
            </w:pPr>
            <w:r>
              <w:t>突发事件处置后得到完全控制的比例</w:t>
            </w:r>
          </w:p>
        </w:tc>
        <w:tc>
          <w:tcPr>
            <w:tcW w:w="1276" w:type="dxa"/>
            <w:vAlign w:val="center"/>
          </w:tcPr>
          <w:p w14:paraId="48860B10">
            <w:pPr>
              <w:pStyle w:val="12"/>
            </w:pPr>
            <w:r>
              <w:t>≥95%</w:t>
            </w:r>
          </w:p>
        </w:tc>
        <w:tc>
          <w:tcPr>
            <w:tcW w:w="1843" w:type="dxa"/>
            <w:vAlign w:val="center"/>
          </w:tcPr>
          <w:p w14:paraId="3370BB57">
            <w:pPr>
              <w:pStyle w:val="12"/>
            </w:pPr>
            <w:r>
              <w:t>徐发[2008]30号</w:t>
            </w:r>
          </w:p>
        </w:tc>
      </w:tr>
      <w:tr w14:paraId="32B43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9DE632">
            <w:pPr>
              <w:pStyle w:val="14"/>
            </w:pPr>
            <w:r>
              <w:t>满意度指标</w:t>
            </w:r>
          </w:p>
        </w:tc>
        <w:tc>
          <w:tcPr>
            <w:tcW w:w="1276" w:type="dxa"/>
            <w:vAlign w:val="center"/>
          </w:tcPr>
          <w:p w14:paraId="49301626">
            <w:pPr>
              <w:pStyle w:val="12"/>
            </w:pPr>
            <w:r>
              <w:t>服务对象满意度指标</w:t>
            </w:r>
          </w:p>
        </w:tc>
        <w:tc>
          <w:tcPr>
            <w:tcW w:w="1332" w:type="dxa"/>
            <w:vAlign w:val="center"/>
          </w:tcPr>
          <w:p w14:paraId="109314F8">
            <w:pPr>
              <w:pStyle w:val="12"/>
            </w:pPr>
            <w:r>
              <w:t>群众对社会稳定满意度</w:t>
            </w:r>
          </w:p>
        </w:tc>
        <w:tc>
          <w:tcPr>
            <w:tcW w:w="2891" w:type="dxa"/>
            <w:vAlign w:val="center"/>
          </w:tcPr>
          <w:p w14:paraId="05142DD0">
            <w:pPr>
              <w:pStyle w:val="12"/>
            </w:pPr>
            <w:r>
              <w:t>处理上访案事件后群众满意度</w:t>
            </w:r>
          </w:p>
        </w:tc>
        <w:tc>
          <w:tcPr>
            <w:tcW w:w="1276" w:type="dxa"/>
            <w:vAlign w:val="center"/>
          </w:tcPr>
          <w:p w14:paraId="7EDA7863">
            <w:pPr>
              <w:pStyle w:val="12"/>
            </w:pPr>
            <w:r>
              <w:t>≥95%</w:t>
            </w:r>
          </w:p>
        </w:tc>
        <w:tc>
          <w:tcPr>
            <w:tcW w:w="1843" w:type="dxa"/>
            <w:vAlign w:val="center"/>
          </w:tcPr>
          <w:p w14:paraId="12571A29">
            <w:pPr>
              <w:pStyle w:val="12"/>
            </w:pPr>
            <w:r>
              <w:t>徐发[2008]30号</w:t>
            </w:r>
          </w:p>
        </w:tc>
      </w:tr>
    </w:tbl>
    <w:p w14:paraId="4C97856C">
      <w:pPr>
        <w:sectPr>
          <w:pgSz w:w="11900" w:h="16840"/>
          <w:pgMar w:top="1984" w:right="1304" w:bottom="1134" w:left="1304" w:header="720" w:footer="720" w:gutter="0"/>
          <w:cols w:space="720" w:num="1"/>
        </w:sectPr>
      </w:pPr>
    </w:p>
    <w:p w14:paraId="23BF387B">
      <w:pPr>
        <w:jc w:val="center"/>
      </w:pPr>
      <w:r>
        <w:rPr>
          <w:rFonts w:ascii="方正仿宋_GBK" w:hAnsi="方正仿宋_GBK" w:eastAsia="方正仿宋_GBK" w:cs="方正仿宋_GBK"/>
          <w:color w:val="000000"/>
          <w:sz w:val="28"/>
        </w:rPr>
        <w:t xml:space="preserve"> </w:t>
      </w:r>
    </w:p>
    <w:p w14:paraId="09FF673F">
      <w:pPr>
        <w:ind w:firstLine="560"/>
        <w:outlineLvl w:val="3"/>
      </w:pPr>
      <w:bookmarkStart w:id="8" w:name="_Toc_4_4_0000000010"/>
      <w:r>
        <w:rPr>
          <w:rFonts w:ascii="方正仿宋_GBK" w:hAnsi="方正仿宋_GBK" w:eastAsia="方正仿宋_GBK" w:cs="方正仿宋_GBK"/>
          <w:color w:val="000000"/>
          <w:sz w:val="28"/>
        </w:rPr>
        <w:t>7.政法稳定工作经费（扫黑除恶）绩效目标表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30189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E8F78D3">
            <w:pPr>
              <w:pStyle w:val="11"/>
            </w:pPr>
            <w:r>
              <w:t>216001中共保定市徐水区委政法委员会本级</w:t>
            </w:r>
          </w:p>
        </w:tc>
        <w:tc>
          <w:tcPr>
            <w:tcW w:w="1843" w:type="dxa"/>
            <w:tcBorders>
              <w:top w:val="single" w:color="FFFFFF" w:sz="6" w:space="0"/>
              <w:left w:val="single" w:color="FFFFFF" w:sz="6" w:space="0"/>
              <w:right w:val="single" w:color="FFFFFF" w:sz="6" w:space="0"/>
            </w:tcBorders>
            <w:vAlign w:val="center"/>
          </w:tcPr>
          <w:p w14:paraId="19F38EE9">
            <w:pPr>
              <w:pStyle w:val="10"/>
            </w:pPr>
            <w:r>
              <w:rPr>
                <w:rFonts w:hint="eastAsia"/>
                <w:lang w:eastAsia="zh-CN"/>
              </w:rPr>
              <w:t>部门</w:t>
            </w:r>
            <w:r>
              <w:t>：万元</w:t>
            </w:r>
          </w:p>
        </w:tc>
      </w:tr>
      <w:tr w14:paraId="341ACD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FCDE6B">
            <w:pPr>
              <w:pStyle w:val="13"/>
            </w:pPr>
            <w:r>
              <w:t>项目编码</w:t>
            </w:r>
          </w:p>
        </w:tc>
        <w:tc>
          <w:tcPr>
            <w:tcW w:w="2608" w:type="dxa"/>
            <w:gridSpan w:val="2"/>
            <w:vAlign w:val="center"/>
          </w:tcPr>
          <w:p w14:paraId="391FB754">
            <w:pPr>
              <w:pStyle w:val="12"/>
            </w:pPr>
            <w:r>
              <w:t>13062522P00456610298T</w:t>
            </w:r>
          </w:p>
        </w:tc>
        <w:tc>
          <w:tcPr>
            <w:tcW w:w="1587" w:type="dxa"/>
            <w:vAlign w:val="center"/>
          </w:tcPr>
          <w:p w14:paraId="15FE1924">
            <w:pPr>
              <w:pStyle w:val="13"/>
            </w:pPr>
            <w:r>
              <w:t>项目名称</w:t>
            </w:r>
          </w:p>
        </w:tc>
        <w:tc>
          <w:tcPr>
            <w:tcW w:w="4422" w:type="dxa"/>
            <w:gridSpan w:val="3"/>
            <w:vAlign w:val="center"/>
          </w:tcPr>
          <w:p w14:paraId="13DD6D95">
            <w:pPr>
              <w:pStyle w:val="12"/>
            </w:pPr>
            <w:r>
              <w:t>政法稳定工作经费（扫黑除恶）</w:t>
            </w:r>
          </w:p>
        </w:tc>
      </w:tr>
      <w:tr w14:paraId="2F1EA1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89E904">
            <w:pPr>
              <w:pStyle w:val="13"/>
            </w:pPr>
            <w:r>
              <w:t>预算规模及资金用途</w:t>
            </w:r>
          </w:p>
        </w:tc>
        <w:tc>
          <w:tcPr>
            <w:tcW w:w="1276" w:type="dxa"/>
            <w:vAlign w:val="center"/>
          </w:tcPr>
          <w:p w14:paraId="43DF34EA">
            <w:pPr>
              <w:pStyle w:val="13"/>
            </w:pPr>
            <w:r>
              <w:t>预算数</w:t>
            </w:r>
          </w:p>
        </w:tc>
        <w:tc>
          <w:tcPr>
            <w:tcW w:w="1332" w:type="dxa"/>
            <w:vAlign w:val="center"/>
          </w:tcPr>
          <w:p w14:paraId="6774F1FF">
            <w:pPr>
              <w:pStyle w:val="12"/>
            </w:pPr>
            <w:r>
              <w:t>20.00</w:t>
            </w:r>
          </w:p>
        </w:tc>
        <w:tc>
          <w:tcPr>
            <w:tcW w:w="1587" w:type="dxa"/>
            <w:vAlign w:val="center"/>
          </w:tcPr>
          <w:p w14:paraId="13D31D90">
            <w:pPr>
              <w:pStyle w:val="13"/>
            </w:pPr>
            <w:r>
              <w:t>其中：财政    资金</w:t>
            </w:r>
          </w:p>
        </w:tc>
        <w:tc>
          <w:tcPr>
            <w:tcW w:w="1304" w:type="dxa"/>
            <w:vAlign w:val="center"/>
          </w:tcPr>
          <w:p w14:paraId="2D304C27">
            <w:pPr>
              <w:pStyle w:val="12"/>
            </w:pPr>
            <w:r>
              <w:t>20.00</w:t>
            </w:r>
          </w:p>
        </w:tc>
        <w:tc>
          <w:tcPr>
            <w:tcW w:w="1276" w:type="dxa"/>
            <w:vAlign w:val="center"/>
          </w:tcPr>
          <w:p w14:paraId="3B9D18C3">
            <w:pPr>
              <w:pStyle w:val="13"/>
            </w:pPr>
            <w:r>
              <w:t>其他资金</w:t>
            </w:r>
          </w:p>
        </w:tc>
        <w:tc>
          <w:tcPr>
            <w:tcW w:w="1843" w:type="dxa"/>
            <w:vAlign w:val="center"/>
          </w:tcPr>
          <w:p w14:paraId="3725A28A">
            <w:pPr>
              <w:pStyle w:val="12"/>
            </w:pPr>
            <w:r>
              <w:t xml:space="preserve"> </w:t>
            </w:r>
          </w:p>
        </w:tc>
      </w:tr>
      <w:tr w14:paraId="15E1A7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F173F4"/>
        </w:tc>
        <w:tc>
          <w:tcPr>
            <w:tcW w:w="8617" w:type="dxa"/>
            <w:gridSpan w:val="6"/>
            <w:vAlign w:val="center"/>
          </w:tcPr>
          <w:p w14:paraId="3F752EBF">
            <w:pPr>
              <w:pStyle w:val="12"/>
            </w:pPr>
            <w:r>
              <w:t>用于全区扫黑除恶宣传资料制作费</w:t>
            </w:r>
          </w:p>
        </w:tc>
      </w:tr>
      <w:tr w14:paraId="6795EB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557D53">
            <w:pPr>
              <w:pStyle w:val="13"/>
            </w:pPr>
            <w:r>
              <w:t>资金支出计划（%）</w:t>
            </w:r>
          </w:p>
        </w:tc>
        <w:tc>
          <w:tcPr>
            <w:tcW w:w="2608" w:type="dxa"/>
            <w:gridSpan w:val="2"/>
            <w:vAlign w:val="center"/>
          </w:tcPr>
          <w:p w14:paraId="78BF1A97">
            <w:pPr>
              <w:pStyle w:val="13"/>
            </w:pPr>
            <w:r>
              <w:t>3月底</w:t>
            </w:r>
          </w:p>
        </w:tc>
        <w:tc>
          <w:tcPr>
            <w:tcW w:w="1587" w:type="dxa"/>
            <w:vAlign w:val="center"/>
          </w:tcPr>
          <w:p w14:paraId="401AB740">
            <w:pPr>
              <w:pStyle w:val="13"/>
            </w:pPr>
            <w:r>
              <w:t>6月底</w:t>
            </w:r>
          </w:p>
        </w:tc>
        <w:tc>
          <w:tcPr>
            <w:tcW w:w="1304" w:type="dxa"/>
            <w:vAlign w:val="center"/>
          </w:tcPr>
          <w:p w14:paraId="32263D4D">
            <w:pPr>
              <w:pStyle w:val="13"/>
            </w:pPr>
            <w:r>
              <w:t>10月底</w:t>
            </w:r>
          </w:p>
        </w:tc>
        <w:tc>
          <w:tcPr>
            <w:tcW w:w="3118" w:type="dxa"/>
            <w:gridSpan w:val="2"/>
            <w:vAlign w:val="center"/>
          </w:tcPr>
          <w:p w14:paraId="6E57037F">
            <w:pPr>
              <w:pStyle w:val="13"/>
            </w:pPr>
            <w:r>
              <w:t>12月底</w:t>
            </w:r>
          </w:p>
        </w:tc>
      </w:tr>
      <w:tr w14:paraId="6C1FF9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5042FC"/>
        </w:tc>
        <w:tc>
          <w:tcPr>
            <w:tcW w:w="2608" w:type="dxa"/>
            <w:gridSpan w:val="2"/>
            <w:vAlign w:val="center"/>
          </w:tcPr>
          <w:p w14:paraId="4D6357DD">
            <w:pPr>
              <w:pStyle w:val="14"/>
            </w:pPr>
            <w:r>
              <w:t xml:space="preserve"> </w:t>
            </w:r>
          </w:p>
        </w:tc>
        <w:tc>
          <w:tcPr>
            <w:tcW w:w="1587" w:type="dxa"/>
            <w:vAlign w:val="center"/>
          </w:tcPr>
          <w:p w14:paraId="55BD5E5D">
            <w:pPr>
              <w:pStyle w:val="14"/>
            </w:pPr>
            <w:r>
              <w:t>50%</w:t>
            </w:r>
          </w:p>
        </w:tc>
        <w:tc>
          <w:tcPr>
            <w:tcW w:w="1304" w:type="dxa"/>
            <w:vAlign w:val="center"/>
          </w:tcPr>
          <w:p w14:paraId="0CAAF41E">
            <w:pPr>
              <w:pStyle w:val="14"/>
            </w:pPr>
            <w:r>
              <w:t>80%</w:t>
            </w:r>
          </w:p>
        </w:tc>
        <w:tc>
          <w:tcPr>
            <w:tcW w:w="3118" w:type="dxa"/>
            <w:gridSpan w:val="2"/>
            <w:vAlign w:val="center"/>
          </w:tcPr>
          <w:p w14:paraId="4BDB64AE">
            <w:pPr>
              <w:pStyle w:val="14"/>
            </w:pPr>
            <w:r>
              <w:t>100%</w:t>
            </w:r>
          </w:p>
        </w:tc>
      </w:tr>
      <w:tr w14:paraId="03223E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C4F8DD">
            <w:pPr>
              <w:pStyle w:val="13"/>
            </w:pPr>
            <w:r>
              <w:t>绩效目标</w:t>
            </w:r>
          </w:p>
        </w:tc>
        <w:tc>
          <w:tcPr>
            <w:tcW w:w="8617" w:type="dxa"/>
            <w:gridSpan w:val="6"/>
            <w:vAlign w:val="center"/>
          </w:tcPr>
          <w:p w14:paraId="7E1308DD">
            <w:pPr>
              <w:pStyle w:val="12"/>
            </w:pPr>
            <w:r>
              <w:t>1.资金支出进度按季度申报支出6月份支出50%，11月份支出100%确保资金需求保障</w:t>
            </w:r>
          </w:p>
          <w:p w14:paraId="3D624868">
            <w:pPr>
              <w:pStyle w:val="12"/>
            </w:pPr>
            <w:r>
              <w:t>2.通过指导、协调和督导各级各</w:t>
            </w:r>
            <w:r>
              <w:rPr>
                <w:rFonts w:hint="eastAsia"/>
                <w:lang w:eastAsia="zh-CN"/>
              </w:rPr>
              <w:t>部门</w:t>
            </w:r>
            <w:r>
              <w:t>，预防减少不稳定因素的发生，有效化解不稳定隐患、群体性事件和突发事件</w:t>
            </w:r>
          </w:p>
          <w:p w14:paraId="35AD54EC">
            <w:pPr>
              <w:pStyle w:val="12"/>
            </w:pPr>
            <w:r>
              <w:t>3.全力做好区内扫黑除恶工作，确保社会稳定。</w:t>
            </w:r>
          </w:p>
        </w:tc>
      </w:tr>
    </w:tbl>
    <w:p w14:paraId="4A940AE6">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08C9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F8D26F">
            <w:pPr>
              <w:pStyle w:val="13"/>
            </w:pPr>
            <w:r>
              <w:t>一级指标</w:t>
            </w:r>
          </w:p>
        </w:tc>
        <w:tc>
          <w:tcPr>
            <w:tcW w:w="1276" w:type="dxa"/>
            <w:vAlign w:val="center"/>
          </w:tcPr>
          <w:p w14:paraId="3BE5E329">
            <w:pPr>
              <w:pStyle w:val="13"/>
            </w:pPr>
            <w:r>
              <w:t>二级指标</w:t>
            </w:r>
          </w:p>
        </w:tc>
        <w:tc>
          <w:tcPr>
            <w:tcW w:w="1332" w:type="dxa"/>
            <w:vAlign w:val="center"/>
          </w:tcPr>
          <w:p w14:paraId="1B4E8FDB">
            <w:pPr>
              <w:pStyle w:val="13"/>
            </w:pPr>
            <w:r>
              <w:t>三级指标</w:t>
            </w:r>
          </w:p>
        </w:tc>
        <w:tc>
          <w:tcPr>
            <w:tcW w:w="2891" w:type="dxa"/>
            <w:vAlign w:val="center"/>
          </w:tcPr>
          <w:p w14:paraId="77753307">
            <w:pPr>
              <w:pStyle w:val="13"/>
            </w:pPr>
            <w:r>
              <w:t>绩效指标描述</w:t>
            </w:r>
          </w:p>
        </w:tc>
        <w:tc>
          <w:tcPr>
            <w:tcW w:w="1276" w:type="dxa"/>
            <w:vAlign w:val="center"/>
          </w:tcPr>
          <w:p w14:paraId="211A1BAC">
            <w:pPr>
              <w:pStyle w:val="13"/>
            </w:pPr>
            <w:r>
              <w:t>指标值</w:t>
            </w:r>
          </w:p>
        </w:tc>
        <w:tc>
          <w:tcPr>
            <w:tcW w:w="1843" w:type="dxa"/>
            <w:vAlign w:val="center"/>
          </w:tcPr>
          <w:p w14:paraId="37B6F511">
            <w:pPr>
              <w:pStyle w:val="13"/>
            </w:pPr>
            <w:r>
              <w:t>指标值确定依据</w:t>
            </w:r>
          </w:p>
        </w:tc>
      </w:tr>
      <w:tr w14:paraId="0DE60E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5A62CC">
            <w:pPr>
              <w:pStyle w:val="14"/>
            </w:pPr>
            <w:r>
              <w:t>产出指标</w:t>
            </w:r>
          </w:p>
        </w:tc>
        <w:tc>
          <w:tcPr>
            <w:tcW w:w="1276" w:type="dxa"/>
            <w:vAlign w:val="center"/>
          </w:tcPr>
          <w:p w14:paraId="6F3A7BD5">
            <w:pPr>
              <w:pStyle w:val="12"/>
            </w:pPr>
            <w:r>
              <w:t>数量指标</w:t>
            </w:r>
          </w:p>
        </w:tc>
        <w:tc>
          <w:tcPr>
            <w:tcW w:w="1332" w:type="dxa"/>
            <w:vAlign w:val="center"/>
          </w:tcPr>
          <w:p w14:paraId="25A71C24">
            <w:pPr>
              <w:pStyle w:val="12"/>
            </w:pPr>
            <w:r>
              <w:t>扫黑除恶短信宣传完成数</w:t>
            </w:r>
          </w:p>
        </w:tc>
        <w:tc>
          <w:tcPr>
            <w:tcW w:w="2891" w:type="dxa"/>
            <w:vAlign w:val="center"/>
          </w:tcPr>
          <w:p w14:paraId="326D3FB7">
            <w:pPr>
              <w:pStyle w:val="12"/>
            </w:pPr>
            <w:r>
              <w:t>圆满完成扫黑除恶工作占工作总数的比例</w:t>
            </w:r>
          </w:p>
        </w:tc>
        <w:tc>
          <w:tcPr>
            <w:tcW w:w="1276" w:type="dxa"/>
            <w:vAlign w:val="center"/>
          </w:tcPr>
          <w:p w14:paraId="4E1DC38C">
            <w:pPr>
              <w:pStyle w:val="12"/>
            </w:pPr>
            <w:r>
              <w:t>≥95%</w:t>
            </w:r>
          </w:p>
        </w:tc>
        <w:tc>
          <w:tcPr>
            <w:tcW w:w="1843" w:type="dxa"/>
            <w:vAlign w:val="center"/>
          </w:tcPr>
          <w:p w14:paraId="64B8057B">
            <w:pPr>
              <w:pStyle w:val="12"/>
            </w:pPr>
            <w:r>
              <w:t>徐发[2008]30号</w:t>
            </w:r>
          </w:p>
        </w:tc>
      </w:tr>
      <w:tr w14:paraId="788C0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DF0529"/>
        </w:tc>
        <w:tc>
          <w:tcPr>
            <w:tcW w:w="1276" w:type="dxa"/>
            <w:vAlign w:val="center"/>
          </w:tcPr>
          <w:p w14:paraId="18912292">
            <w:pPr>
              <w:pStyle w:val="12"/>
            </w:pPr>
            <w:r>
              <w:t>质量指标</w:t>
            </w:r>
          </w:p>
        </w:tc>
        <w:tc>
          <w:tcPr>
            <w:tcW w:w="1332" w:type="dxa"/>
            <w:vAlign w:val="center"/>
          </w:tcPr>
          <w:p w14:paraId="01031906">
            <w:pPr>
              <w:pStyle w:val="12"/>
            </w:pPr>
            <w:r>
              <w:t>涉稳舆情处置率</w:t>
            </w:r>
          </w:p>
        </w:tc>
        <w:tc>
          <w:tcPr>
            <w:tcW w:w="2891" w:type="dxa"/>
            <w:vAlign w:val="center"/>
          </w:tcPr>
          <w:p w14:paraId="67F25249">
            <w:pPr>
              <w:pStyle w:val="12"/>
            </w:pPr>
            <w:r>
              <w:t>已处置的涉稳舆情数占涉稳网格舆情总数比例</w:t>
            </w:r>
          </w:p>
        </w:tc>
        <w:tc>
          <w:tcPr>
            <w:tcW w:w="1276" w:type="dxa"/>
            <w:vAlign w:val="center"/>
          </w:tcPr>
          <w:p w14:paraId="3FB55BF5">
            <w:pPr>
              <w:pStyle w:val="12"/>
            </w:pPr>
            <w:r>
              <w:t>≥95%</w:t>
            </w:r>
          </w:p>
        </w:tc>
        <w:tc>
          <w:tcPr>
            <w:tcW w:w="1843" w:type="dxa"/>
            <w:vAlign w:val="center"/>
          </w:tcPr>
          <w:p w14:paraId="6918E862">
            <w:pPr>
              <w:pStyle w:val="12"/>
            </w:pPr>
            <w:r>
              <w:t>徐发[2008]30号</w:t>
            </w:r>
          </w:p>
        </w:tc>
      </w:tr>
      <w:tr w14:paraId="0DC96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5D7D8A"/>
        </w:tc>
        <w:tc>
          <w:tcPr>
            <w:tcW w:w="1276" w:type="dxa"/>
            <w:vAlign w:val="center"/>
          </w:tcPr>
          <w:p w14:paraId="6E34B24A">
            <w:pPr>
              <w:pStyle w:val="12"/>
            </w:pPr>
            <w:r>
              <w:t>时效指标</w:t>
            </w:r>
          </w:p>
        </w:tc>
        <w:tc>
          <w:tcPr>
            <w:tcW w:w="1332" w:type="dxa"/>
            <w:vAlign w:val="center"/>
          </w:tcPr>
          <w:p w14:paraId="22971183">
            <w:pPr>
              <w:pStyle w:val="12"/>
            </w:pPr>
            <w:r>
              <w:t>处置和研判及时率</w:t>
            </w:r>
          </w:p>
        </w:tc>
        <w:tc>
          <w:tcPr>
            <w:tcW w:w="2891" w:type="dxa"/>
            <w:vAlign w:val="center"/>
          </w:tcPr>
          <w:p w14:paraId="455D04B4">
            <w:pPr>
              <w:pStyle w:val="12"/>
            </w:pPr>
            <w:r>
              <w:t>及时进行处置和研判的比率</w:t>
            </w:r>
          </w:p>
        </w:tc>
        <w:tc>
          <w:tcPr>
            <w:tcW w:w="1276" w:type="dxa"/>
            <w:vAlign w:val="center"/>
          </w:tcPr>
          <w:p w14:paraId="243EAEB6">
            <w:pPr>
              <w:pStyle w:val="12"/>
            </w:pPr>
            <w:r>
              <w:t>≥95%</w:t>
            </w:r>
          </w:p>
        </w:tc>
        <w:tc>
          <w:tcPr>
            <w:tcW w:w="1843" w:type="dxa"/>
            <w:vAlign w:val="center"/>
          </w:tcPr>
          <w:p w14:paraId="295B69F6">
            <w:pPr>
              <w:pStyle w:val="12"/>
            </w:pPr>
            <w:r>
              <w:t>徐发[2008]30号</w:t>
            </w:r>
          </w:p>
        </w:tc>
      </w:tr>
      <w:tr w14:paraId="6A2EB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768EEF"/>
        </w:tc>
        <w:tc>
          <w:tcPr>
            <w:tcW w:w="1276" w:type="dxa"/>
            <w:vAlign w:val="center"/>
          </w:tcPr>
          <w:p w14:paraId="6EF5DAB1">
            <w:pPr>
              <w:pStyle w:val="12"/>
            </w:pPr>
            <w:r>
              <w:t>成本指标</w:t>
            </w:r>
          </w:p>
        </w:tc>
        <w:tc>
          <w:tcPr>
            <w:tcW w:w="1332" w:type="dxa"/>
            <w:vAlign w:val="center"/>
          </w:tcPr>
          <w:p w14:paraId="0D7BC36F">
            <w:pPr>
              <w:pStyle w:val="12"/>
            </w:pPr>
            <w:r>
              <w:t>资金成本</w:t>
            </w:r>
          </w:p>
        </w:tc>
        <w:tc>
          <w:tcPr>
            <w:tcW w:w="2891" w:type="dxa"/>
            <w:vAlign w:val="center"/>
          </w:tcPr>
          <w:p w14:paraId="080E077F">
            <w:pPr>
              <w:pStyle w:val="12"/>
            </w:pPr>
            <w:r>
              <w:t>资金成本</w:t>
            </w:r>
          </w:p>
        </w:tc>
        <w:tc>
          <w:tcPr>
            <w:tcW w:w="1276" w:type="dxa"/>
            <w:vAlign w:val="center"/>
          </w:tcPr>
          <w:p w14:paraId="20B96F46">
            <w:pPr>
              <w:pStyle w:val="12"/>
            </w:pPr>
            <w:r>
              <w:t>≤20万元</w:t>
            </w:r>
          </w:p>
        </w:tc>
        <w:tc>
          <w:tcPr>
            <w:tcW w:w="1843" w:type="dxa"/>
            <w:vAlign w:val="center"/>
          </w:tcPr>
          <w:p w14:paraId="038E25AA">
            <w:pPr>
              <w:pStyle w:val="12"/>
            </w:pPr>
            <w:r>
              <w:t>徐发[2008]30号</w:t>
            </w:r>
          </w:p>
        </w:tc>
      </w:tr>
      <w:tr w14:paraId="2769D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BD1394">
            <w:pPr>
              <w:pStyle w:val="14"/>
            </w:pPr>
            <w:r>
              <w:t>效益指标</w:t>
            </w:r>
          </w:p>
        </w:tc>
        <w:tc>
          <w:tcPr>
            <w:tcW w:w="1276" w:type="dxa"/>
            <w:vAlign w:val="center"/>
          </w:tcPr>
          <w:p w14:paraId="6D8FAB49">
            <w:pPr>
              <w:pStyle w:val="12"/>
            </w:pPr>
            <w:r>
              <w:t>社会效益指标</w:t>
            </w:r>
          </w:p>
        </w:tc>
        <w:tc>
          <w:tcPr>
            <w:tcW w:w="1332" w:type="dxa"/>
            <w:vAlign w:val="center"/>
          </w:tcPr>
          <w:p w14:paraId="3629DE03">
            <w:pPr>
              <w:pStyle w:val="12"/>
            </w:pPr>
            <w:r>
              <w:t>重大活动突发事件发生处置有效率</w:t>
            </w:r>
          </w:p>
        </w:tc>
        <w:tc>
          <w:tcPr>
            <w:tcW w:w="2891" w:type="dxa"/>
            <w:vAlign w:val="center"/>
          </w:tcPr>
          <w:p w14:paraId="4E9C1F25">
            <w:pPr>
              <w:pStyle w:val="12"/>
            </w:pPr>
            <w:r>
              <w:t>突发事件处置后得到完全控制的比例</w:t>
            </w:r>
          </w:p>
        </w:tc>
        <w:tc>
          <w:tcPr>
            <w:tcW w:w="1276" w:type="dxa"/>
            <w:vAlign w:val="center"/>
          </w:tcPr>
          <w:p w14:paraId="307414E2">
            <w:pPr>
              <w:pStyle w:val="12"/>
            </w:pPr>
            <w:r>
              <w:t>≥95%</w:t>
            </w:r>
          </w:p>
        </w:tc>
        <w:tc>
          <w:tcPr>
            <w:tcW w:w="1843" w:type="dxa"/>
            <w:vAlign w:val="center"/>
          </w:tcPr>
          <w:p w14:paraId="32FAEB6C">
            <w:pPr>
              <w:pStyle w:val="12"/>
            </w:pPr>
            <w:r>
              <w:t>徐发[2008]30号</w:t>
            </w:r>
          </w:p>
        </w:tc>
      </w:tr>
      <w:tr w14:paraId="3A4A6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ABA7ED">
            <w:pPr>
              <w:pStyle w:val="14"/>
            </w:pPr>
            <w:r>
              <w:t>满意度指标</w:t>
            </w:r>
          </w:p>
        </w:tc>
        <w:tc>
          <w:tcPr>
            <w:tcW w:w="1276" w:type="dxa"/>
            <w:vAlign w:val="center"/>
          </w:tcPr>
          <w:p w14:paraId="66F00595">
            <w:pPr>
              <w:pStyle w:val="12"/>
            </w:pPr>
            <w:r>
              <w:t>服务对象满意度指标</w:t>
            </w:r>
          </w:p>
        </w:tc>
        <w:tc>
          <w:tcPr>
            <w:tcW w:w="1332" w:type="dxa"/>
            <w:vAlign w:val="center"/>
          </w:tcPr>
          <w:p w14:paraId="722E2707">
            <w:pPr>
              <w:pStyle w:val="12"/>
            </w:pPr>
            <w:r>
              <w:t>群众对社会稳定满意度</w:t>
            </w:r>
          </w:p>
        </w:tc>
        <w:tc>
          <w:tcPr>
            <w:tcW w:w="2891" w:type="dxa"/>
            <w:vAlign w:val="center"/>
          </w:tcPr>
          <w:p w14:paraId="259AC3C6">
            <w:pPr>
              <w:pStyle w:val="12"/>
            </w:pPr>
            <w:r>
              <w:t>处理上访案事件后群众满意度</w:t>
            </w:r>
          </w:p>
        </w:tc>
        <w:tc>
          <w:tcPr>
            <w:tcW w:w="1276" w:type="dxa"/>
            <w:vAlign w:val="center"/>
          </w:tcPr>
          <w:p w14:paraId="34CD235E">
            <w:pPr>
              <w:pStyle w:val="12"/>
            </w:pPr>
            <w:r>
              <w:t>≥95%</w:t>
            </w:r>
          </w:p>
        </w:tc>
        <w:tc>
          <w:tcPr>
            <w:tcW w:w="1843" w:type="dxa"/>
            <w:vAlign w:val="center"/>
          </w:tcPr>
          <w:p w14:paraId="76096A87">
            <w:pPr>
              <w:pStyle w:val="12"/>
            </w:pPr>
            <w:r>
              <w:t>徐发[2008]30号</w:t>
            </w:r>
          </w:p>
        </w:tc>
      </w:tr>
    </w:tbl>
    <w:p w14:paraId="35ADE1F1"/>
    <w:p w14:paraId="21DA859F"/>
    <w:p w14:paraId="5AFCD884"/>
    <w:p w14:paraId="39DE4D3C"/>
    <w:p w14:paraId="38F3FA03"/>
    <w:p w14:paraId="3C0795B6"/>
    <w:p w14:paraId="1E819775"/>
    <w:p w14:paraId="17034AEB"/>
    <w:p w14:paraId="3C7B7179"/>
    <w:p w14:paraId="49FA5B82"/>
    <w:p w14:paraId="483C67B5"/>
    <w:p w14:paraId="0936D8B5"/>
    <w:p w14:paraId="578AC792"/>
    <w:p w14:paraId="453706DE">
      <w:pPr>
        <w:ind w:firstLine="980" w:firstLineChars="350"/>
        <w:outlineLvl w:val="3"/>
      </w:pPr>
      <w:r>
        <w:rPr>
          <w:rFonts w:hint="eastAsia" w:ascii="方正仿宋_GBK" w:hAnsi="方正仿宋_GBK" w:eastAsia="方正仿宋_GBK" w:cs="方正仿宋_GBK"/>
          <w:color w:val="000000"/>
          <w:sz w:val="28"/>
        </w:rPr>
        <w:t>8.</w:t>
      </w:r>
      <w:r>
        <w:rPr>
          <w:rFonts w:ascii="方正仿宋_GBK" w:hAnsi="方正仿宋_GBK" w:eastAsia="方正仿宋_GBK" w:cs="方正仿宋_GBK"/>
          <w:color w:val="000000"/>
          <w:sz w:val="28"/>
        </w:rPr>
        <w:t>2021年中央政法转移支付司法救助资金绩效目标表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608"/>
        <w:gridCol w:w="1587"/>
        <w:gridCol w:w="2579"/>
        <w:gridCol w:w="1843"/>
      </w:tblGrid>
      <w:tr w14:paraId="67AED3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6" w:hRule="atLeast"/>
          <w:jc w:val="center"/>
        </w:trPr>
        <w:tc>
          <w:tcPr>
            <w:tcW w:w="8050" w:type="dxa"/>
            <w:gridSpan w:val="4"/>
            <w:tcBorders>
              <w:top w:val="single" w:color="FFFFFF" w:sz="6" w:space="0"/>
              <w:left w:val="single" w:color="FFFFFF" w:sz="6" w:space="0"/>
              <w:right w:val="single" w:color="FFFFFF" w:sz="6" w:space="0"/>
            </w:tcBorders>
            <w:vAlign w:val="center"/>
          </w:tcPr>
          <w:p w14:paraId="0B16C62F">
            <w:pPr>
              <w:pStyle w:val="11"/>
            </w:pPr>
            <w:r>
              <w:t>216001中共保定市徐水区委政法委员会本级</w:t>
            </w:r>
          </w:p>
        </w:tc>
        <w:tc>
          <w:tcPr>
            <w:tcW w:w="1843" w:type="dxa"/>
            <w:tcBorders>
              <w:top w:val="single" w:color="FFFFFF" w:sz="6" w:space="0"/>
              <w:left w:val="single" w:color="FFFFFF" w:sz="6" w:space="0"/>
              <w:right w:val="single" w:color="FFFFFF" w:sz="6" w:space="0"/>
            </w:tcBorders>
            <w:vAlign w:val="center"/>
          </w:tcPr>
          <w:p w14:paraId="100C19FB">
            <w:pPr>
              <w:pStyle w:val="10"/>
              <w:ind w:left="210" w:firstLine="1155"/>
            </w:pPr>
            <w:r>
              <w:rPr>
                <w:rFonts w:hint="eastAsia"/>
                <w:lang w:eastAsia="zh-CN"/>
              </w:rPr>
              <w:t>部门</w:t>
            </w:r>
            <w:r>
              <w:t>：万元</w:t>
            </w:r>
          </w:p>
        </w:tc>
      </w:tr>
      <w:tr w14:paraId="43C174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BC5261">
            <w:pPr>
              <w:pStyle w:val="13"/>
              <w:ind w:left="210" w:firstLine="990"/>
            </w:pPr>
            <w:r>
              <w:t>项目编码</w:t>
            </w:r>
          </w:p>
        </w:tc>
        <w:tc>
          <w:tcPr>
            <w:tcW w:w="2608" w:type="dxa"/>
            <w:vAlign w:val="center"/>
          </w:tcPr>
          <w:p w14:paraId="75C8D6A1">
            <w:pPr>
              <w:pStyle w:val="12"/>
              <w:ind w:left="210" w:firstLine="1155"/>
            </w:pPr>
            <w:r>
              <w:t>13062521P00455910009C</w:t>
            </w:r>
          </w:p>
        </w:tc>
        <w:tc>
          <w:tcPr>
            <w:tcW w:w="1587" w:type="dxa"/>
            <w:vAlign w:val="center"/>
          </w:tcPr>
          <w:p w14:paraId="050E3139">
            <w:pPr>
              <w:pStyle w:val="13"/>
              <w:ind w:left="210" w:firstLine="990"/>
            </w:pPr>
            <w:r>
              <w:t>项目名称</w:t>
            </w:r>
          </w:p>
        </w:tc>
        <w:tc>
          <w:tcPr>
            <w:tcW w:w="4422" w:type="dxa"/>
            <w:gridSpan w:val="2"/>
            <w:vAlign w:val="center"/>
          </w:tcPr>
          <w:p w14:paraId="610ABD04">
            <w:pPr>
              <w:pStyle w:val="12"/>
              <w:ind w:left="210" w:firstLine="1155"/>
            </w:pPr>
            <w:r>
              <w:t>2021年中央政法转移支付司法救助资金</w:t>
            </w:r>
          </w:p>
        </w:tc>
      </w:tr>
    </w:tbl>
    <w:p w14:paraId="5C032F68">
      <w:pPr>
        <w:rPr>
          <w:vanish/>
        </w:rPr>
      </w:pP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85374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01" w:hRule="atLeast"/>
          <w:jc w:val="center"/>
        </w:trPr>
        <w:tc>
          <w:tcPr>
            <w:tcW w:w="1276" w:type="dxa"/>
            <w:vMerge w:val="restart"/>
            <w:vAlign w:val="center"/>
          </w:tcPr>
          <w:p w14:paraId="3705D242">
            <w:pPr>
              <w:pStyle w:val="13"/>
              <w:ind w:left="210" w:firstLine="990"/>
            </w:pPr>
            <w:r>
              <w:t>预算规模及资金用途</w:t>
            </w:r>
          </w:p>
        </w:tc>
        <w:tc>
          <w:tcPr>
            <w:tcW w:w="1276" w:type="dxa"/>
            <w:vAlign w:val="center"/>
          </w:tcPr>
          <w:p w14:paraId="002C3F5C">
            <w:pPr>
              <w:pStyle w:val="13"/>
              <w:ind w:left="210" w:firstLine="990"/>
            </w:pPr>
            <w:r>
              <w:t>预算数</w:t>
            </w:r>
          </w:p>
        </w:tc>
        <w:tc>
          <w:tcPr>
            <w:tcW w:w="1332" w:type="dxa"/>
            <w:vAlign w:val="center"/>
          </w:tcPr>
          <w:p w14:paraId="472E2E08">
            <w:pPr>
              <w:pStyle w:val="12"/>
              <w:ind w:left="210" w:firstLine="1155"/>
            </w:pPr>
            <w:r>
              <w:t>6.30</w:t>
            </w:r>
          </w:p>
        </w:tc>
        <w:tc>
          <w:tcPr>
            <w:tcW w:w="1587" w:type="dxa"/>
            <w:vAlign w:val="center"/>
          </w:tcPr>
          <w:p w14:paraId="34F794E8">
            <w:pPr>
              <w:pStyle w:val="13"/>
              <w:ind w:left="210" w:firstLine="990"/>
            </w:pPr>
            <w:r>
              <w:t>其中：财政    资金</w:t>
            </w:r>
          </w:p>
        </w:tc>
        <w:tc>
          <w:tcPr>
            <w:tcW w:w="1304" w:type="dxa"/>
            <w:vAlign w:val="center"/>
          </w:tcPr>
          <w:p w14:paraId="4CD4A6DA">
            <w:pPr>
              <w:pStyle w:val="12"/>
              <w:ind w:left="210" w:firstLine="1155"/>
            </w:pPr>
            <w:r>
              <w:t>6.30</w:t>
            </w:r>
          </w:p>
        </w:tc>
        <w:tc>
          <w:tcPr>
            <w:tcW w:w="1276" w:type="dxa"/>
            <w:vAlign w:val="center"/>
          </w:tcPr>
          <w:p w14:paraId="6464EE93">
            <w:pPr>
              <w:pStyle w:val="13"/>
              <w:ind w:left="210" w:firstLine="990"/>
            </w:pPr>
            <w:r>
              <w:t>其他资金</w:t>
            </w:r>
          </w:p>
        </w:tc>
        <w:tc>
          <w:tcPr>
            <w:tcW w:w="1843" w:type="dxa"/>
            <w:vAlign w:val="center"/>
          </w:tcPr>
          <w:p w14:paraId="0F778ED6">
            <w:pPr>
              <w:pStyle w:val="12"/>
              <w:ind w:left="210" w:firstLine="1155"/>
            </w:pPr>
            <w:r>
              <w:t xml:space="preserve"> </w:t>
            </w:r>
          </w:p>
        </w:tc>
      </w:tr>
      <w:tr w14:paraId="655924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2EE644">
            <w:pPr>
              <w:ind w:left="210" w:firstLine="1155"/>
            </w:pPr>
          </w:p>
        </w:tc>
        <w:tc>
          <w:tcPr>
            <w:tcW w:w="8617" w:type="dxa"/>
            <w:gridSpan w:val="6"/>
            <w:vAlign w:val="center"/>
          </w:tcPr>
          <w:p w14:paraId="7488E76C">
            <w:pPr>
              <w:pStyle w:val="12"/>
              <w:ind w:left="210" w:firstLine="1155"/>
            </w:pPr>
            <w:r>
              <w:rPr>
                <w:rFonts w:hint="eastAsia"/>
              </w:rPr>
              <w:t>通过指导、协调、督导政法各</w:t>
            </w:r>
            <w:r>
              <w:rPr>
                <w:rFonts w:hint="eastAsia"/>
                <w:lang w:eastAsia="zh-CN"/>
              </w:rPr>
              <w:t>部门</w:t>
            </w:r>
            <w:r>
              <w:rPr>
                <w:rFonts w:hint="eastAsia"/>
              </w:rPr>
              <w:t>，各</w:t>
            </w:r>
            <w:r>
              <w:rPr>
                <w:rFonts w:hint="eastAsia"/>
                <w:lang w:eastAsia="zh-CN"/>
              </w:rPr>
              <w:t>部门</w:t>
            </w:r>
            <w:r>
              <w:rPr>
                <w:rFonts w:hint="eastAsia"/>
              </w:rPr>
              <w:t>根据实际需求申请解决群众涉及利益问题。</w:t>
            </w:r>
          </w:p>
        </w:tc>
      </w:tr>
      <w:tr w14:paraId="12F065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38F040">
            <w:pPr>
              <w:pStyle w:val="13"/>
              <w:ind w:left="210" w:firstLine="990"/>
            </w:pPr>
            <w:r>
              <w:t>资金支出计划（%）</w:t>
            </w:r>
          </w:p>
        </w:tc>
        <w:tc>
          <w:tcPr>
            <w:tcW w:w="2608" w:type="dxa"/>
            <w:gridSpan w:val="2"/>
            <w:vAlign w:val="center"/>
          </w:tcPr>
          <w:p w14:paraId="1CB3AC1F">
            <w:pPr>
              <w:pStyle w:val="13"/>
              <w:ind w:left="210" w:firstLine="990"/>
            </w:pPr>
            <w:r>
              <w:t>3月底</w:t>
            </w:r>
          </w:p>
        </w:tc>
        <w:tc>
          <w:tcPr>
            <w:tcW w:w="1587" w:type="dxa"/>
            <w:vAlign w:val="center"/>
          </w:tcPr>
          <w:p w14:paraId="0E6F5633">
            <w:pPr>
              <w:pStyle w:val="13"/>
              <w:ind w:left="210" w:firstLine="990"/>
            </w:pPr>
            <w:r>
              <w:t>6月底</w:t>
            </w:r>
          </w:p>
        </w:tc>
        <w:tc>
          <w:tcPr>
            <w:tcW w:w="1304" w:type="dxa"/>
            <w:vAlign w:val="center"/>
          </w:tcPr>
          <w:p w14:paraId="03CF7289">
            <w:pPr>
              <w:pStyle w:val="13"/>
              <w:ind w:left="210" w:firstLine="990"/>
            </w:pPr>
            <w:r>
              <w:t>1</w:t>
            </w:r>
            <w:r>
              <w:rPr>
                <w:rFonts w:hint="eastAsia"/>
                <w:lang w:eastAsia="zh-CN"/>
              </w:rPr>
              <w:t>9</w:t>
            </w:r>
            <w:r>
              <w:t>月底</w:t>
            </w:r>
          </w:p>
        </w:tc>
        <w:tc>
          <w:tcPr>
            <w:tcW w:w="3118" w:type="dxa"/>
            <w:gridSpan w:val="2"/>
            <w:vAlign w:val="center"/>
          </w:tcPr>
          <w:p w14:paraId="7E3C8CC5">
            <w:pPr>
              <w:pStyle w:val="13"/>
              <w:ind w:left="210" w:firstLine="990"/>
            </w:pPr>
            <w:r>
              <w:t>1</w:t>
            </w:r>
            <w:r>
              <w:rPr>
                <w:rFonts w:hint="eastAsia"/>
                <w:lang w:eastAsia="zh-CN"/>
              </w:rPr>
              <w:t>2</w:t>
            </w:r>
            <w:r>
              <w:t>月底</w:t>
            </w:r>
          </w:p>
        </w:tc>
      </w:tr>
      <w:tr w14:paraId="01854B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88EC38">
            <w:pPr>
              <w:ind w:left="210" w:firstLine="1155"/>
            </w:pPr>
          </w:p>
        </w:tc>
        <w:tc>
          <w:tcPr>
            <w:tcW w:w="2608" w:type="dxa"/>
            <w:gridSpan w:val="2"/>
            <w:vAlign w:val="center"/>
          </w:tcPr>
          <w:p w14:paraId="1C97F23C">
            <w:pPr>
              <w:pStyle w:val="14"/>
              <w:ind w:left="210" w:firstLine="1155"/>
            </w:pPr>
            <w:r>
              <w:t xml:space="preserve"> </w:t>
            </w:r>
            <w:r>
              <w:rPr>
                <w:rFonts w:hint="eastAsia"/>
                <w:lang w:eastAsia="zh-CN"/>
              </w:rPr>
              <w:t>25%</w:t>
            </w:r>
          </w:p>
        </w:tc>
        <w:tc>
          <w:tcPr>
            <w:tcW w:w="1587" w:type="dxa"/>
            <w:vAlign w:val="center"/>
          </w:tcPr>
          <w:p w14:paraId="722E1DEA">
            <w:pPr>
              <w:pStyle w:val="14"/>
              <w:ind w:left="210" w:firstLine="1155"/>
            </w:pPr>
            <w:r>
              <w:t xml:space="preserve">5 </w:t>
            </w:r>
            <w:r>
              <w:rPr>
                <w:rFonts w:hint="eastAsia"/>
                <w:lang w:eastAsia="zh-CN"/>
              </w:rPr>
              <w:t>25%</w:t>
            </w:r>
          </w:p>
        </w:tc>
        <w:tc>
          <w:tcPr>
            <w:tcW w:w="1304" w:type="dxa"/>
            <w:vAlign w:val="center"/>
          </w:tcPr>
          <w:p w14:paraId="6BFE20A8">
            <w:pPr>
              <w:pStyle w:val="14"/>
              <w:ind w:left="210" w:firstLine="1155"/>
            </w:pPr>
            <w:r>
              <w:t xml:space="preserve">9 </w:t>
            </w:r>
            <w:r>
              <w:rPr>
                <w:rFonts w:hint="eastAsia"/>
                <w:lang w:eastAsia="zh-CN"/>
              </w:rPr>
              <w:t>25%</w:t>
            </w:r>
          </w:p>
        </w:tc>
        <w:tc>
          <w:tcPr>
            <w:tcW w:w="3118" w:type="dxa"/>
            <w:gridSpan w:val="2"/>
            <w:vAlign w:val="center"/>
          </w:tcPr>
          <w:p w14:paraId="32BCBBC0">
            <w:pPr>
              <w:pStyle w:val="14"/>
              <w:ind w:left="210" w:firstLine="1155"/>
            </w:pPr>
            <w:r>
              <w:rPr>
                <w:rFonts w:hint="eastAsia"/>
                <w:lang w:eastAsia="zh-CN"/>
              </w:rPr>
              <w:t>25</w:t>
            </w:r>
            <w:r>
              <w:t>%</w:t>
            </w:r>
          </w:p>
        </w:tc>
      </w:tr>
      <w:tr w14:paraId="0BC4EF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89E6B5">
            <w:pPr>
              <w:pStyle w:val="13"/>
              <w:ind w:left="210" w:firstLine="990"/>
            </w:pPr>
            <w:r>
              <w:t>绩效目标</w:t>
            </w:r>
          </w:p>
        </w:tc>
        <w:tc>
          <w:tcPr>
            <w:tcW w:w="8617" w:type="dxa"/>
            <w:gridSpan w:val="6"/>
            <w:vAlign w:val="center"/>
          </w:tcPr>
          <w:p w14:paraId="05BCF6C3">
            <w:pPr>
              <w:pStyle w:val="12"/>
              <w:ind w:left="210" w:firstLine="1155"/>
            </w:pPr>
            <w:r>
              <w:t>1.</w:t>
            </w:r>
            <w:r>
              <w:rPr>
                <w:rFonts w:hint="eastAsia"/>
              </w:rPr>
              <w:t xml:space="preserve"> 资金支出进度按季度申报，支出</w:t>
            </w:r>
            <w:r>
              <w:t>6月份支出50%，11月份支出100%，确保资金需求保障。2.</w:t>
            </w:r>
            <w:r>
              <w:rPr>
                <w:rFonts w:hint="eastAsia"/>
              </w:rPr>
              <w:t xml:space="preserve"> 通过指导、协调、督导政法各</w:t>
            </w:r>
            <w:r>
              <w:rPr>
                <w:rFonts w:hint="eastAsia"/>
                <w:lang w:eastAsia="zh-CN"/>
              </w:rPr>
              <w:t>部门</w:t>
            </w:r>
            <w:r>
              <w:rPr>
                <w:rFonts w:hint="eastAsia"/>
              </w:rPr>
              <w:t>，各</w:t>
            </w:r>
            <w:r>
              <w:rPr>
                <w:rFonts w:hint="eastAsia"/>
                <w:lang w:eastAsia="zh-CN"/>
              </w:rPr>
              <w:t>部门</w:t>
            </w:r>
            <w:r>
              <w:rPr>
                <w:rFonts w:hint="eastAsia"/>
              </w:rPr>
              <w:t>根据实际需求，申请解决群众涉及利益问题。</w:t>
            </w:r>
          </w:p>
        </w:tc>
      </w:tr>
    </w:tbl>
    <w:p w14:paraId="23D9F3BE">
      <w:pPr>
        <w:spacing w:line="2" w:lineRule="exact"/>
        <w:ind w:left="210" w:firstLine="1155"/>
        <w:jc w:val="center"/>
      </w:pPr>
      <w:r>
        <w:rPr>
          <w:rFonts w:ascii="方正书宋_GBK" w:hAnsi="方正书宋_GBK" w:eastAsia="方正书宋_GBK" w:cs="方正书宋_GBK"/>
          <w:color w:val="000000"/>
        </w:rPr>
        <w:t xml:space="preserve"> </w:t>
      </w:r>
    </w:p>
    <w:tbl>
      <w:tblPr>
        <w:tblStyle w:val="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C5E5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9E8336">
            <w:pPr>
              <w:pStyle w:val="13"/>
              <w:ind w:left="210" w:firstLine="990"/>
              <w:rPr>
                <w:b w:val="0"/>
              </w:rPr>
            </w:pPr>
            <w:r>
              <w:rPr>
                <w:b w:val="0"/>
              </w:rPr>
              <w:t>一级指标</w:t>
            </w:r>
          </w:p>
        </w:tc>
        <w:tc>
          <w:tcPr>
            <w:tcW w:w="1276" w:type="dxa"/>
            <w:vAlign w:val="center"/>
          </w:tcPr>
          <w:p w14:paraId="20F103E9">
            <w:pPr>
              <w:pStyle w:val="13"/>
              <w:ind w:left="210" w:firstLine="990"/>
              <w:rPr>
                <w:b w:val="0"/>
              </w:rPr>
            </w:pPr>
            <w:r>
              <w:rPr>
                <w:b w:val="0"/>
              </w:rPr>
              <w:t>二级指标</w:t>
            </w:r>
          </w:p>
        </w:tc>
        <w:tc>
          <w:tcPr>
            <w:tcW w:w="1332" w:type="dxa"/>
            <w:vAlign w:val="center"/>
          </w:tcPr>
          <w:p w14:paraId="50FE2F5D">
            <w:pPr>
              <w:pStyle w:val="13"/>
              <w:ind w:left="210" w:firstLine="990"/>
              <w:rPr>
                <w:b w:val="0"/>
              </w:rPr>
            </w:pPr>
            <w:r>
              <w:rPr>
                <w:b w:val="0"/>
              </w:rPr>
              <w:t>三级指标</w:t>
            </w:r>
          </w:p>
        </w:tc>
        <w:tc>
          <w:tcPr>
            <w:tcW w:w="2891" w:type="dxa"/>
            <w:vAlign w:val="center"/>
          </w:tcPr>
          <w:p w14:paraId="04500C99">
            <w:pPr>
              <w:pStyle w:val="13"/>
              <w:ind w:left="210" w:firstLine="990"/>
              <w:rPr>
                <w:b w:val="0"/>
              </w:rPr>
            </w:pPr>
            <w:r>
              <w:rPr>
                <w:b w:val="0"/>
              </w:rPr>
              <w:t>绩效指标描述</w:t>
            </w:r>
          </w:p>
        </w:tc>
        <w:tc>
          <w:tcPr>
            <w:tcW w:w="1276" w:type="dxa"/>
            <w:vAlign w:val="center"/>
          </w:tcPr>
          <w:p w14:paraId="280AF1B0">
            <w:pPr>
              <w:pStyle w:val="13"/>
              <w:ind w:left="210" w:firstLine="990"/>
              <w:rPr>
                <w:b w:val="0"/>
              </w:rPr>
            </w:pPr>
            <w:r>
              <w:rPr>
                <w:b w:val="0"/>
              </w:rPr>
              <w:t>指标值</w:t>
            </w:r>
          </w:p>
        </w:tc>
        <w:tc>
          <w:tcPr>
            <w:tcW w:w="1843" w:type="dxa"/>
            <w:vAlign w:val="center"/>
          </w:tcPr>
          <w:p w14:paraId="3C5DB99E">
            <w:pPr>
              <w:pStyle w:val="13"/>
              <w:ind w:left="210" w:firstLine="990"/>
              <w:rPr>
                <w:b w:val="0"/>
              </w:rPr>
            </w:pPr>
            <w:r>
              <w:rPr>
                <w:b w:val="0"/>
              </w:rPr>
              <w:t>指标值确定依据</w:t>
            </w:r>
          </w:p>
        </w:tc>
      </w:tr>
      <w:tr w14:paraId="16169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439AA6">
            <w:pPr>
              <w:pStyle w:val="14"/>
              <w:ind w:left="210" w:firstLine="1155"/>
            </w:pPr>
            <w:r>
              <w:t>产出指标</w:t>
            </w:r>
          </w:p>
        </w:tc>
        <w:tc>
          <w:tcPr>
            <w:tcW w:w="1276" w:type="dxa"/>
            <w:vAlign w:val="center"/>
          </w:tcPr>
          <w:p w14:paraId="32F4E831">
            <w:pPr>
              <w:pStyle w:val="13"/>
              <w:ind w:left="210" w:firstLine="990"/>
              <w:rPr>
                <w:b w:val="0"/>
              </w:rPr>
            </w:pPr>
            <w:r>
              <w:rPr>
                <w:b w:val="0"/>
              </w:rPr>
              <w:t>数量指标</w:t>
            </w:r>
          </w:p>
        </w:tc>
        <w:tc>
          <w:tcPr>
            <w:tcW w:w="1332" w:type="dxa"/>
            <w:vAlign w:val="center"/>
          </w:tcPr>
          <w:p w14:paraId="61CA2BF8">
            <w:pPr>
              <w:pStyle w:val="13"/>
              <w:ind w:left="210" w:firstLine="990"/>
              <w:rPr>
                <w:b w:val="0"/>
              </w:rPr>
            </w:pPr>
            <w:r>
              <w:rPr>
                <w:b w:val="0"/>
              </w:rPr>
              <w:t>解决司法救助件数</w:t>
            </w:r>
          </w:p>
        </w:tc>
        <w:tc>
          <w:tcPr>
            <w:tcW w:w="2891" w:type="dxa"/>
            <w:vAlign w:val="center"/>
          </w:tcPr>
          <w:p w14:paraId="01FAD448">
            <w:pPr>
              <w:pStyle w:val="13"/>
              <w:ind w:left="210" w:firstLine="990"/>
              <w:rPr>
                <w:b w:val="0"/>
              </w:rPr>
            </w:pPr>
            <w:r>
              <w:rPr>
                <w:b w:val="0"/>
              </w:rPr>
              <w:t>按照实际申请人数和金额支付</w:t>
            </w:r>
          </w:p>
        </w:tc>
        <w:tc>
          <w:tcPr>
            <w:tcW w:w="1276" w:type="dxa"/>
            <w:vAlign w:val="center"/>
          </w:tcPr>
          <w:p w14:paraId="5D0BC361">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98</w:t>
            </w:r>
            <w:r>
              <w:rPr>
                <w:rFonts w:hint="eastAsia" w:ascii="方正书宋_GBK" w:hAnsi="方正书宋_GBK" w:eastAsia="方正书宋_GBK" w:cs="方正书宋_GBK"/>
                <w:kern w:val="0"/>
                <w:szCs w:val="24"/>
                <w:lang w:eastAsia="uk-UA"/>
              </w:rPr>
              <w:t>%</w:t>
            </w:r>
          </w:p>
        </w:tc>
        <w:tc>
          <w:tcPr>
            <w:tcW w:w="1843" w:type="dxa"/>
            <w:vAlign w:val="center"/>
          </w:tcPr>
          <w:p w14:paraId="73397144">
            <w:pPr>
              <w:pStyle w:val="12"/>
              <w:ind w:left="210" w:firstLine="1155"/>
            </w:pPr>
            <w:r>
              <w:t>冀</w:t>
            </w:r>
            <w:r>
              <w:rPr>
                <w:rFonts w:hint="eastAsia"/>
              </w:rPr>
              <w:t>保财行</w:t>
            </w:r>
            <w:r>
              <w:t>【2</w:t>
            </w:r>
            <w:r>
              <w:rPr>
                <w:rFonts w:hint="eastAsia"/>
              </w:rPr>
              <w:t>021</w:t>
            </w:r>
            <w:r>
              <w:t>】</w:t>
            </w:r>
            <w:r>
              <w:rPr>
                <w:rFonts w:hint="eastAsia"/>
              </w:rPr>
              <w:t>31</w:t>
            </w:r>
            <w:r>
              <w:t>号）</w:t>
            </w:r>
          </w:p>
        </w:tc>
      </w:tr>
      <w:tr w14:paraId="26019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6107F1">
            <w:pPr>
              <w:ind w:left="210" w:firstLine="1155"/>
              <w:rPr>
                <w:rFonts w:ascii="方正书宋_GBK" w:hAnsi="方正书宋_GBK" w:eastAsia="方正书宋_GBK" w:cs="方正书宋_GBK"/>
                <w:kern w:val="0"/>
                <w:szCs w:val="24"/>
                <w:lang w:eastAsia="uk-UA"/>
              </w:rPr>
            </w:pPr>
          </w:p>
        </w:tc>
        <w:tc>
          <w:tcPr>
            <w:tcW w:w="1276" w:type="dxa"/>
            <w:vAlign w:val="center"/>
          </w:tcPr>
          <w:p w14:paraId="64366069">
            <w:pPr>
              <w:pStyle w:val="13"/>
              <w:ind w:left="210" w:firstLine="990"/>
              <w:rPr>
                <w:b w:val="0"/>
              </w:rPr>
            </w:pPr>
            <w:r>
              <w:rPr>
                <w:b w:val="0"/>
              </w:rPr>
              <w:t>质量指标</w:t>
            </w:r>
          </w:p>
        </w:tc>
        <w:tc>
          <w:tcPr>
            <w:tcW w:w="1332" w:type="dxa"/>
            <w:vAlign w:val="center"/>
          </w:tcPr>
          <w:p w14:paraId="5CAAD242">
            <w:pPr>
              <w:pStyle w:val="13"/>
              <w:ind w:left="210" w:firstLine="990"/>
              <w:rPr>
                <w:b w:val="0"/>
              </w:rPr>
            </w:pPr>
            <w:r>
              <w:rPr>
                <w:b w:val="0"/>
              </w:rPr>
              <w:t>协调督导事项化解率</w:t>
            </w:r>
          </w:p>
        </w:tc>
        <w:tc>
          <w:tcPr>
            <w:tcW w:w="2891" w:type="dxa"/>
            <w:vAlign w:val="center"/>
          </w:tcPr>
          <w:p w14:paraId="6FE7CBAB">
            <w:pPr>
              <w:pStyle w:val="13"/>
              <w:ind w:left="210" w:firstLine="990"/>
              <w:rPr>
                <w:b w:val="0"/>
              </w:rPr>
            </w:pPr>
            <w:r>
              <w:rPr>
                <w:b w:val="0"/>
              </w:rPr>
              <w:t>协调督导事项化解率</w:t>
            </w:r>
          </w:p>
        </w:tc>
        <w:tc>
          <w:tcPr>
            <w:tcW w:w="1276" w:type="dxa"/>
            <w:vAlign w:val="center"/>
          </w:tcPr>
          <w:p w14:paraId="14F66CB9">
            <w:pPr>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95</w:t>
            </w:r>
            <w:r>
              <w:rPr>
                <w:rFonts w:hint="eastAsia" w:ascii="方正书宋_GBK" w:hAnsi="方正书宋_GBK" w:eastAsia="方正书宋_GBK" w:cs="方正书宋_GBK"/>
                <w:kern w:val="0"/>
                <w:szCs w:val="24"/>
                <w:lang w:eastAsia="uk-UA"/>
              </w:rPr>
              <w:t>%</w:t>
            </w:r>
          </w:p>
        </w:tc>
        <w:tc>
          <w:tcPr>
            <w:tcW w:w="1843" w:type="dxa"/>
            <w:vAlign w:val="center"/>
          </w:tcPr>
          <w:p w14:paraId="11DC64C2">
            <w:pPr>
              <w:pStyle w:val="12"/>
              <w:ind w:left="210" w:firstLine="1155"/>
            </w:pPr>
            <w:r>
              <w:t>冀</w:t>
            </w:r>
            <w:r>
              <w:rPr>
                <w:rFonts w:hint="eastAsia"/>
              </w:rPr>
              <w:t>保财行</w:t>
            </w:r>
            <w:r>
              <w:t>【2</w:t>
            </w:r>
            <w:r>
              <w:rPr>
                <w:rFonts w:hint="eastAsia"/>
              </w:rPr>
              <w:t>021</w:t>
            </w:r>
            <w:r>
              <w:t>】</w:t>
            </w:r>
            <w:r>
              <w:rPr>
                <w:rFonts w:hint="eastAsia"/>
              </w:rPr>
              <w:t>31</w:t>
            </w:r>
            <w:r>
              <w:t>号）</w:t>
            </w:r>
          </w:p>
        </w:tc>
      </w:tr>
      <w:tr w14:paraId="7D8B8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0" w:hRule="atLeast"/>
          <w:jc w:val="center"/>
        </w:trPr>
        <w:tc>
          <w:tcPr>
            <w:tcW w:w="1276" w:type="dxa"/>
            <w:vMerge w:val="continue"/>
            <w:vAlign w:val="center"/>
          </w:tcPr>
          <w:p w14:paraId="3203FBD9">
            <w:pPr>
              <w:ind w:left="210" w:firstLine="1155"/>
            </w:pPr>
          </w:p>
        </w:tc>
        <w:tc>
          <w:tcPr>
            <w:tcW w:w="1276" w:type="dxa"/>
            <w:vAlign w:val="center"/>
          </w:tcPr>
          <w:p w14:paraId="572333E2">
            <w:pPr>
              <w:pStyle w:val="13"/>
              <w:ind w:left="210" w:firstLine="990"/>
              <w:rPr>
                <w:b w:val="0"/>
              </w:rPr>
            </w:pPr>
            <w:r>
              <w:rPr>
                <w:b w:val="0"/>
              </w:rPr>
              <w:t>时效指标</w:t>
            </w:r>
          </w:p>
        </w:tc>
        <w:tc>
          <w:tcPr>
            <w:tcW w:w="1332" w:type="dxa"/>
            <w:vAlign w:val="center"/>
          </w:tcPr>
          <w:p w14:paraId="10D86591">
            <w:pPr>
              <w:pStyle w:val="13"/>
              <w:ind w:left="210" w:firstLine="990"/>
              <w:rPr>
                <w:b w:val="0"/>
              </w:rPr>
            </w:pPr>
            <w:r>
              <w:rPr>
                <w:b w:val="0"/>
              </w:rPr>
              <w:t>工作任务完成及时率</w:t>
            </w:r>
          </w:p>
        </w:tc>
        <w:tc>
          <w:tcPr>
            <w:tcW w:w="2891" w:type="dxa"/>
            <w:vAlign w:val="center"/>
          </w:tcPr>
          <w:p w14:paraId="2049772E">
            <w:pPr>
              <w:pStyle w:val="13"/>
              <w:ind w:left="210" w:firstLine="990"/>
              <w:rPr>
                <w:b w:val="0"/>
              </w:rPr>
            </w:pPr>
            <w:r>
              <w:rPr>
                <w:b w:val="0"/>
              </w:rPr>
              <w:t>工作任务完成及时率</w:t>
            </w:r>
          </w:p>
        </w:tc>
        <w:tc>
          <w:tcPr>
            <w:tcW w:w="1276" w:type="dxa"/>
            <w:vAlign w:val="center"/>
          </w:tcPr>
          <w:p w14:paraId="0D8A01FE">
            <w:pPr>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95</w:t>
            </w:r>
            <w:r>
              <w:rPr>
                <w:rFonts w:hint="eastAsia" w:ascii="方正书宋_GBK" w:hAnsi="方正书宋_GBK" w:eastAsia="方正书宋_GBK" w:cs="方正书宋_GBK"/>
                <w:kern w:val="0"/>
                <w:szCs w:val="24"/>
                <w:lang w:eastAsia="uk-UA"/>
              </w:rPr>
              <w:t>%</w:t>
            </w:r>
          </w:p>
        </w:tc>
        <w:tc>
          <w:tcPr>
            <w:tcW w:w="1843" w:type="dxa"/>
            <w:vAlign w:val="center"/>
          </w:tcPr>
          <w:p w14:paraId="32C20B48">
            <w:pPr>
              <w:pStyle w:val="12"/>
              <w:ind w:left="210" w:firstLine="1155"/>
            </w:pPr>
            <w:r>
              <w:t>冀</w:t>
            </w:r>
            <w:r>
              <w:rPr>
                <w:rFonts w:hint="eastAsia"/>
                <w:lang w:eastAsia="zh-CN"/>
              </w:rPr>
              <w:t>保财行</w:t>
            </w:r>
            <w:r>
              <w:t>【2</w:t>
            </w:r>
            <w:r>
              <w:rPr>
                <w:rFonts w:hint="eastAsia"/>
                <w:lang w:eastAsia="zh-CN"/>
              </w:rPr>
              <w:t>021</w:t>
            </w:r>
            <w:r>
              <w:t>】</w:t>
            </w:r>
            <w:r>
              <w:rPr>
                <w:rFonts w:hint="eastAsia"/>
                <w:lang w:eastAsia="zh-CN"/>
              </w:rPr>
              <w:t>31</w:t>
            </w:r>
            <w:r>
              <w:t>号）</w:t>
            </w:r>
          </w:p>
        </w:tc>
      </w:tr>
      <w:tr w14:paraId="6962B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1276" w:type="dxa"/>
            <w:vMerge w:val="continue"/>
            <w:vAlign w:val="center"/>
          </w:tcPr>
          <w:p w14:paraId="7D8FA38A">
            <w:pPr>
              <w:ind w:left="210" w:firstLine="1155"/>
            </w:pPr>
          </w:p>
        </w:tc>
        <w:tc>
          <w:tcPr>
            <w:tcW w:w="1276" w:type="dxa"/>
          </w:tcPr>
          <w:p w14:paraId="00C157D1">
            <w:pPr>
              <w:pStyle w:val="13"/>
              <w:ind w:left="210" w:firstLine="990"/>
              <w:rPr>
                <w:b w:val="0"/>
              </w:rPr>
            </w:pPr>
            <w:r>
              <w:rPr>
                <w:b w:val="0"/>
              </w:rPr>
              <w:t>成本指标</w:t>
            </w:r>
          </w:p>
        </w:tc>
        <w:tc>
          <w:tcPr>
            <w:tcW w:w="1332" w:type="dxa"/>
          </w:tcPr>
          <w:p w14:paraId="38777E49">
            <w:pPr>
              <w:pStyle w:val="13"/>
              <w:ind w:left="210" w:firstLine="990"/>
              <w:rPr>
                <w:b w:val="0"/>
              </w:rPr>
            </w:pPr>
            <w:r>
              <w:rPr>
                <w:b w:val="0"/>
              </w:rPr>
              <w:t>资金成本</w:t>
            </w:r>
          </w:p>
        </w:tc>
        <w:tc>
          <w:tcPr>
            <w:tcW w:w="2891" w:type="dxa"/>
          </w:tcPr>
          <w:p w14:paraId="68A5C9D1">
            <w:pPr>
              <w:pStyle w:val="13"/>
              <w:ind w:left="210" w:firstLine="990"/>
              <w:rPr>
                <w:b w:val="0"/>
              </w:rPr>
            </w:pPr>
            <w:r>
              <w:rPr>
                <w:b w:val="0"/>
              </w:rPr>
              <w:t>资金成本</w:t>
            </w:r>
          </w:p>
        </w:tc>
        <w:tc>
          <w:tcPr>
            <w:tcW w:w="1276" w:type="dxa"/>
          </w:tcPr>
          <w:p w14:paraId="3BD3C09F">
            <w:pPr>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30</w:t>
            </w:r>
            <w:r>
              <w:rPr>
                <w:rFonts w:hint="eastAsia" w:ascii="方正书宋_GBK" w:hAnsi="方正书宋_GBK" w:eastAsia="方正书宋_GBK" w:cs="方正书宋_GBK"/>
                <w:kern w:val="0"/>
                <w:szCs w:val="24"/>
                <w:lang w:eastAsia="uk-UA"/>
              </w:rPr>
              <w:t>万元</w:t>
            </w:r>
          </w:p>
        </w:tc>
        <w:tc>
          <w:tcPr>
            <w:tcW w:w="1843" w:type="dxa"/>
            <w:vAlign w:val="center"/>
          </w:tcPr>
          <w:p w14:paraId="59BFE334">
            <w:pPr>
              <w:pStyle w:val="12"/>
              <w:ind w:left="210" w:firstLine="1155"/>
            </w:pPr>
            <w:r>
              <w:t>冀</w:t>
            </w:r>
            <w:r>
              <w:rPr>
                <w:rFonts w:hint="eastAsia"/>
                <w:lang w:eastAsia="zh-CN"/>
              </w:rPr>
              <w:t>保财行</w:t>
            </w:r>
            <w:r>
              <w:t>【2</w:t>
            </w:r>
            <w:r>
              <w:rPr>
                <w:rFonts w:hint="eastAsia"/>
                <w:lang w:eastAsia="zh-CN"/>
              </w:rPr>
              <w:t>021</w:t>
            </w:r>
            <w:r>
              <w:t>】</w:t>
            </w:r>
            <w:r>
              <w:rPr>
                <w:rFonts w:hint="eastAsia"/>
                <w:lang w:eastAsia="zh-CN"/>
              </w:rPr>
              <w:t>31</w:t>
            </w:r>
            <w:r>
              <w:t>号）</w:t>
            </w:r>
          </w:p>
        </w:tc>
      </w:tr>
      <w:tr w14:paraId="7D2EC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2" w:hRule="atLeast"/>
          <w:jc w:val="center"/>
        </w:trPr>
        <w:tc>
          <w:tcPr>
            <w:tcW w:w="1276" w:type="dxa"/>
            <w:vAlign w:val="center"/>
          </w:tcPr>
          <w:p w14:paraId="06FBB7A4">
            <w:pPr>
              <w:pStyle w:val="14"/>
              <w:ind w:left="210" w:firstLine="1155"/>
            </w:pPr>
            <w:r>
              <w:t>效益指标</w:t>
            </w:r>
          </w:p>
        </w:tc>
        <w:tc>
          <w:tcPr>
            <w:tcW w:w="1276" w:type="dxa"/>
            <w:vAlign w:val="center"/>
          </w:tcPr>
          <w:p w14:paraId="22E62E73">
            <w:pPr>
              <w:pStyle w:val="13"/>
              <w:ind w:left="210" w:firstLine="990"/>
              <w:rPr>
                <w:b w:val="0"/>
              </w:rPr>
            </w:pPr>
            <w:r>
              <w:rPr>
                <w:b w:val="0"/>
              </w:rPr>
              <w:t>社会效益指标</w:t>
            </w:r>
          </w:p>
        </w:tc>
        <w:tc>
          <w:tcPr>
            <w:tcW w:w="1332" w:type="dxa"/>
            <w:vAlign w:val="center"/>
          </w:tcPr>
          <w:p w14:paraId="02AB2393">
            <w:pPr>
              <w:pStyle w:val="13"/>
              <w:ind w:left="210" w:firstLine="990"/>
              <w:rPr>
                <w:b w:val="0"/>
              </w:rPr>
            </w:pPr>
            <w:r>
              <w:rPr>
                <w:b w:val="0"/>
              </w:rPr>
              <w:t>信访转诉案件结案率</w:t>
            </w:r>
          </w:p>
        </w:tc>
        <w:tc>
          <w:tcPr>
            <w:tcW w:w="2891" w:type="dxa"/>
            <w:vAlign w:val="center"/>
          </w:tcPr>
          <w:p w14:paraId="097E45BA">
            <w:pPr>
              <w:pStyle w:val="13"/>
              <w:ind w:left="210" w:firstLine="990"/>
              <w:rPr>
                <w:b w:val="0"/>
              </w:rPr>
            </w:pPr>
            <w:r>
              <w:rPr>
                <w:b w:val="0"/>
              </w:rPr>
              <w:t>信访转诉案件结案率</w:t>
            </w:r>
          </w:p>
        </w:tc>
        <w:tc>
          <w:tcPr>
            <w:tcW w:w="1276" w:type="dxa"/>
            <w:vAlign w:val="center"/>
          </w:tcPr>
          <w:p w14:paraId="384E700A">
            <w:pPr>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95</w:t>
            </w:r>
            <w:r>
              <w:rPr>
                <w:rFonts w:hint="eastAsia" w:ascii="方正书宋_GBK" w:hAnsi="方正书宋_GBK" w:eastAsia="方正书宋_GBK" w:cs="方正书宋_GBK"/>
                <w:kern w:val="0"/>
                <w:szCs w:val="24"/>
                <w:lang w:eastAsia="uk-UA"/>
              </w:rPr>
              <w:t>%</w:t>
            </w:r>
          </w:p>
        </w:tc>
        <w:tc>
          <w:tcPr>
            <w:tcW w:w="1843" w:type="dxa"/>
            <w:vAlign w:val="center"/>
          </w:tcPr>
          <w:p w14:paraId="602164A7">
            <w:pPr>
              <w:pStyle w:val="12"/>
              <w:ind w:left="210" w:firstLine="1155"/>
            </w:pPr>
            <w:r>
              <w:t>冀</w:t>
            </w:r>
            <w:r>
              <w:rPr>
                <w:rFonts w:hint="eastAsia"/>
                <w:lang w:eastAsia="zh-CN"/>
              </w:rPr>
              <w:t>保财行</w:t>
            </w:r>
            <w:r>
              <w:t>【2</w:t>
            </w:r>
            <w:r>
              <w:rPr>
                <w:rFonts w:hint="eastAsia"/>
                <w:lang w:eastAsia="zh-CN"/>
              </w:rPr>
              <w:t>021</w:t>
            </w:r>
            <w:r>
              <w:t>】</w:t>
            </w:r>
            <w:r>
              <w:rPr>
                <w:rFonts w:hint="eastAsia"/>
                <w:lang w:eastAsia="zh-CN"/>
              </w:rPr>
              <w:t>31</w:t>
            </w:r>
            <w:r>
              <w:t>号）</w:t>
            </w:r>
          </w:p>
        </w:tc>
      </w:tr>
    </w:tbl>
    <w:p w14:paraId="0322E806"/>
    <w:p w14:paraId="75CE85C9">
      <w:pPr>
        <w:spacing w:line="360" w:lineRule="auto"/>
        <w:ind w:firstLine="640" w:firstLineChars="200"/>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14:paraId="3102D1F7"/>
    <w:p w14:paraId="4D442718">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14:paraId="51BCBE5A">
      <w:pPr>
        <w:spacing w:line="360" w:lineRule="auto"/>
        <w:ind w:firstLine="640" w:firstLineChars="200"/>
        <w:rPr>
          <w:rFonts w:hint="eastAsia" w:ascii="仿宋" w:hAnsi="仿宋" w:eastAsia="仿宋"/>
          <w:sz w:val="32"/>
          <w:szCs w:val="32"/>
        </w:rPr>
      </w:pPr>
    </w:p>
    <w:p w14:paraId="40966198">
      <w:pPr>
        <w:spacing w:line="360" w:lineRule="auto"/>
        <w:rPr>
          <w:rFonts w:ascii="仿宋" w:hAnsi="仿宋" w:eastAsia="仿宋"/>
          <w:sz w:val="32"/>
          <w:szCs w:val="32"/>
        </w:rPr>
      </w:pPr>
      <w:r>
        <w:rPr>
          <w:rFonts w:ascii="仿宋" w:hAnsi="仿宋" w:eastAsia="仿宋"/>
          <w:sz w:val="32"/>
          <w:szCs w:val="32"/>
        </w:rPr>
        <w:t>2022年，我</w:t>
      </w:r>
      <w:r>
        <w:rPr>
          <w:rFonts w:hint="eastAsia" w:ascii="仿宋" w:hAnsi="仿宋" w:eastAsia="仿宋"/>
          <w:sz w:val="32"/>
          <w:szCs w:val="32"/>
          <w:lang w:eastAsia="zh-CN"/>
        </w:rPr>
        <w:t>部门</w:t>
      </w:r>
      <w:r>
        <w:rPr>
          <w:rFonts w:ascii="仿宋" w:hAnsi="仿宋" w:eastAsia="仿宋"/>
          <w:sz w:val="32"/>
          <w:szCs w:val="32"/>
        </w:rPr>
        <w:t>无政府采购预算，空表列</w:t>
      </w:r>
      <w:r>
        <w:rPr>
          <w:rFonts w:hint="eastAsia" w:ascii="仿宋" w:hAnsi="仿宋" w:eastAsia="仿宋"/>
          <w:sz w:val="32"/>
          <w:szCs w:val="32"/>
          <w:lang w:eastAsia="zh-CN"/>
        </w:rPr>
        <w:t>示</w:t>
      </w:r>
      <w:r>
        <w:rPr>
          <w:rFonts w:ascii="仿宋" w:hAnsi="仿宋" w:eastAsia="仿宋"/>
          <w:sz w:val="32"/>
          <w:szCs w:val="32"/>
        </w:rPr>
        <w:t>。</w:t>
      </w:r>
    </w:p>
    <w:p w14:paraId="2D1FB53E">
      <w:pPr>
        <w:spacing w:line="360" w:lineRule="auto"/>
        <w:ind w:firstLine="640" w:firstLineChars="200"/>
        <w:rPr>
          <w:rFonts w:ascii="仿宋" w:hAnsi="仿宋" w:eastAsia="仿宋"/>
          <w:sz w:val="32"/>
          <w:szCs w:val="32"/>
        </w:rPr>
      </w:pPr>
      <w:r>
        <w:rPr>
          <w:rFonts w:hint="eastAsia" w:ascii="仿宋" w:hAnsi="仿宋" w:eastAsia="仿宋"/>
          <w:sz w:val="32"/>
          <w:szCs w:val="32"/>
        </w:rPr>
        <w:t>附</w:t>
      </w:r>
      <w:r>
        <w:rPr>
          <w:rFonts w:hint="eastAsia" w:ascii="仿宋" w:hAnsi="仿宋" w:eastAsia="仿宋"/>
          <w:sz w:val="32"/>
          <w:szCs w:val="32"/>
          <w:lang w:eastAsia="zh-CN"/>
        </w:rPr>
        <w:t>部门</w:t>
      </w:r>
      <w:r>
        <w:rPr>
          <w:rFonts w:hint="eastAsia" w:ascii="仿宋" w:hAnsi="仿宋" w:eastAsia="仿宋"/>
          <w:sz w:val="32"/>
          <w:szCs w:val="32"/>
        </w:rPr>
        <w:t>政府采购预算表空表。</w:t>
      </w:r>
    </w:p>
    <w:p w14:paraId="6B784222">
      <w:pPr>
        <w:spacing w:line="360" w:lineRule="auto"/>
        <w:ind w:firstLine="640" w:firstLineChars="200"/>
        <w:rPr>
          <w:rFonts w:hint="eastAsia" w:ascii="仿宋" w:hAnsi="仿宋" w:eastAsia="仿宋"/>
          <w:sz w:val="32"/>
          <w:szCs w:val="32"/>
        </w:rPr>
      </w:pPr>
    </w:p>
    <w:tbl>
      <w:tblPr>
        <w:tblStyle w:val="5"/>
        <w:tblpPr w:leftFromText="180" w:rightFromText="180" w:vertAnchor="page" w:horzAnchor="margin" w:tblpXSpec="center" w:tblpY="5296"/>
        <w:tblW w:w="1152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63"/>
        <w:gridCol w:w="763"/>
        <w:gridCol w:w="987"/>
        <w:gridCol w:w="1212"/>
        <w:gridCol w:w="875"/>
        <w:gridCol w:w="427"/>
        <w:gridCol w:w="578"/>
        <w:gridCol w:w="539"/>
        <w:gridCol w:w="1212"/>
        <w:gridCol w:w="987"/>
        <w:gridCol w:w="1436"/>
        <w:gridCol w:w="987"/>
        <w:gridCol w:w="763"/>
      </w:tblGrid>
      <w:tr w14:paraId="1D572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19" w:hRule="atLeast"/>
          <w:tblHeader/>
        </w:trPr>
        <w:tc>
          <w:tcPr>
            <w:tcW w:w="0" w:type="auto"/>
            <w:gridSpan w:val="7"/>
            <w:tcBorders>
              <w:top w:val="single" w:color="FFFFFF" w:sz="6" w:space="0"/>
              <w:left w:val="single" w:color="FFFFFF" w:sz="6" w:space="0"/>
              <w:right w:val="single" w:color="FFFFFF" w:sz="6" w:space="0"/>
            </w:tcBorders>
            <w:shd w:val="clear" w:color="auto" w:fill="auto"/>
            <w:vAlign w:val="center"/>
          </w:tcPr>
          <w:p w14:paraId="52B1D635">
            <w:pPr>
              <w:spacing w:line="300" w:lineRule="exact"/>
              <w:jc w:val="left"/>
              <w:rPr>
                <w:rFonts w:ascii="方正小标宋_GBK" w:eastAsia="方正小标宋_GBK"/>
                <w:sz w:val="24"/>
              </w:rPr>
            </w:pPr>
            <w:r>
              <w:rPr>
                <w:rFonts w:hint="eastAsia" w:ascii="仿宋" w:hAnsi="仿宋" w:eastAsia="仿宋"/>
                <w:sz w:val="32"/>
                <w:szCs w:val="32"/>
              </w:rPr>
              <w:t>政法委</w:t>
            </w:r>
          </w:p>
        </w:tc>
        <w:tc>
          <w:tcPr>
            <w:tcW w:w="0" w:type="auto"/>
            <w:gridSpan w:val="6"/>
            <w:tcBorders>
              <w:top w:val="single" w:color="FFFFFF" w:sz="6" w:space="0"/>
              <w:left w:val="single" w:color="FFFFFF" w:sz="6" w:space="0"/>
              <w:right w:val="single" w:color="FFFFFF" w:sz="6" w:space="0"/>
            </w:tcBorders>
            <w:shd w:val="clear" w:color="auto" w:fill="auto"/>
            <w:vAlign w:val="center"/>
          </w:tcPr>
          <w:p w14:paraId="050D1143">
            <w:pPr>
              <w:spacing w:line="300" w:lineRule="exact"/>
              <w:jc w:val="left"/>
              <w:rPr>
                <w:rFonts w:ascii="方正书宋_GBK" w:eastAsia="方正书宋_GBK"/>
                <w:b/>
              </w:rPr>
            </w:pPr>
            <w:r>
              <w:rPr>
                <w:rFonts w:hint="eastAsia" w:ascii="仿宋" w:hAnsi="仿宋" w:eastAsia="仿宋"/>
                <w:sz w:val="32"/>
                <w:szCs w:val="32"/>
              </w:rPr>
              <w:t xml:space="preserve">                        </w:t>
            </w:r>
            <w:r>
              <w:rPr>
                <w:rFonts w:hint="eastAsia" w:ascii="仿宋" w:hAnsi="仿宋" w:eastAsia="仿宋"/>
                <w:sz w:val="32"/>
                <w:szCs w:val="32"/>
                <w:lang w:eastAsia="zh-CN"/>
              </w:rPr>
              <w:t>部门</w:t>
            </w:r>
            <w:r>
              <w:rPr>
                <w:rFonts w:hint="eastAsia" w:ascii="仿宋" w:hAnsi="仿宋" w:eastAsia="仿宋"/>
                <w:sz w:val="32"/>
                <w:szCs w:val="32"/>
              </w:rPr>
              <w:t>：万元</w:t>
            </w:r>
          </w:p>
        </w:tc>
      </w:tr>
      <w:tr w14:paraId="52EF7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9" w:hRule="atLeast"/>
          <w:tblHeader/>
        </w:trPr>
        <w:tc>
          <w:tcPr>
            <w:tcW w:w="0" w:type="auto"/>
            <w:gridSpan w:val="2"/>
            <w:shd w:val="clear" w:color="auto" w:fill="auto"/>
            <w:vAlign w:val="center"/>
          </w:tcPr>
          <w:p w14:paraId="72CDE72A">
            <w:pPr>
              <w:spacing w:line="300" w:lineRule="exact"/>
              <w:jc w:val="center"/>
              <w:rPr>
                <w:rFonts w:ascii="方正书宋_GBK" w:eastAsia="方正书宋_GBK"/>
                <w:b/>
              </w:rPr>
            </w:pPr>
            <w:r>
              <w:rPr>
                <w:rFonts w:hint="eastAsia" w:ascii="宋体" w:hAnsi="宋体" w:eastAsia="宋体" w:cs="宋体"/>
                <w:b/>
              </w:rPr>
              <w:t>政府采购项目来源</w:t>
            </w:r>
          </w:p>
        </w:tc>
        <w:tc>
          <w:tcPr>
            <w:tcW w:w="0" w:type="auto"/>
            <w:vMerge w:val="restart"/>
            <w:shd w:val="clear" w:color="auto" w:fill="auto"/>
            <w:vAlign w:val="center"/>
          </w:tcPr>
          <w:p w14:paraId="3DA8620B">
            <w:pPr>
              <w:spacing w:line="300" w:lineRule="exact"/>
              <w:jc w:val="center"/>
              <w:rPr>
                <w:rFonts w:ascii="方正书宋_GBK" w:eastAsia="方正书宋_GBK"/>
                <w:b/>
              </w:rPr>
            </w:pPr>
            <w:r>
              <w:rPr>
                <w:rFonts w:hint="eastAsia" w:ascii="宋体" w:hAnsi="宋体" w:eastAsia="宋体" w:cs="宋体"/>
                <w:b/>
              </w:rPr>
              <w:t>采购物品名称</w:t>
            </w:r>
          </w:p>
        </w:tc>
        <w:tc>
          <w:tcPr>
            <w:tcW w:w="0" w:type="auto"/>
            <w:vMerge w:val="restart"/>
            <w:shd w:val="clear" w:color="auto" w:fill="auto"/>
            <w:vAlign w:val="center"/>
          </w:tcPr>
          <w:p w14:paraId="64AED553">
            <w:pPr>
              <w:spacing w:line="300" w:lineRule="exact"/>
              <w:jc w:val="center"/>
              <w:rPr>
                <w:rFonts w:ascii="方正书宋_GBK" w:eastAsia="方正书宋_GBK"/>
                <w:b/>
              </w:rPr>
            </w:pPr>
            <w:r>
              <w:rPr>
                <w:rFonts w:hint="eastAsia" w:ascii="宋体" w:hAnsi="宋体" w:eastAsia="宋体" w:cs="宋体"/>
                <w:b/>
              </w:rPr>
              <w:t>政府采购目录序号</w:t>
            </w:r>
          </w:p>
        </w:tc>
        <w:tc>
          <w:tcPr>
            <w:tcW w:w="0" w:type="auto"/>
            <w:vMerge w:val="restart"/>
            <w:shd w:val="clear" w:color="auto" w:fill="auto"/>
            <w:vAlign w:val="center"/>
          </w:tcPr>
          <w:p w14:paraId="04272049">
            <w:pPr>
              <w:spacing w:line="300" w:lineRule="exact"/>
              <w:jc w:val="center"/>
              <w:rPr>
                <w:rFonts w:hint="eastAsia" w:ascii="方正书宋_GBK" w:eastAsia="方正书宋_GBK"/>
                <w:b/>
                <w:lang w:eastAsia="zh-CN"/>
              </w:rPr>
            </w:pPr>
            <w:r>
              <w:rPr>
                <w:rFonts w:hint="eastAsia" w:ascii="宋体" w:hAnsi="宋体" w:eastAsia="宋体" w:cs="宋体"/>
                <w:b/>
              </w:rPr>
              <w:t>计量</w:t>
            </w:r>
            <w:r>
              <w:rPr>
                <w:rFonts w:ascii="方正书宋_GBK" w:eastAsia="方正书宋_GBK"/>
                <w:b/>
              </w:rPr>
              <w:t xml:space="preserve">  </w:t>
            </w:r>
            <w:r>
              <w:rPr>
                <w:rFonts w:hint="eastAsia" w:ascii="宋体" w:hAnsi="宋体" w:eastAsia="宋体" w:cs="宋体"/>
                <w:b/>
                <w:lang w:eastAsia="zh-CN"/>
              </w:rPr>
              <w:t>部门</w:t>
            </w:r>
          </w:p>
        </w:tc>
        <w:tc>
          <w:tcPr>
            <w:tcW w:w="382" w:type="dxa"/>
            <w:vMerge w:val="restart"/>
            <w:shd w:val="clear" w:color="auto" w:fill="auto"/>
            <w:vAlign w:val="center"/>
          </w:tcPr>
          <w:p w14:paraId="4DB7DFC5">
            <w:pPr>
              <w:spacing w:line="300" w:lineRule="exact"/>
              <w:jc w:val="center"/>
              <w:rPr>
                <w:rFonts w:ascii="方正书宋_GBK" w:eastAsia="方正书宋_GBK"/>
                <w:b/>
              </w:rPr>
            </w:pPr>
            <w:r>
              <w:rPr>
                <w:rFonts w:hint="eastAsia" w:ascii="宋体" w:hAnsi="宋体" w:eastAsia="宋体" w:cs="宋体"/>
                <w:b/>
              </w:rPr>
              <w:t>数量</w:t>
            </w:r>
          </w:p>
        </w:tc>
        <w:tc>
          <w:tcPr>
            <w:tcW w:w="577" w:type="dxa"/>
            <w:vMerge w:val="restart"/>
            <w:shd w:val="clear" w:color="auto" w:fill="auto"/>
            <w:vAlign w:val="center"/>
          </w:tcPr>
          <w:p w14:paraId="4A144796">
            <w:pPr>
              <w:spacing w:line="300" w:lineRule="exact"/>
              <w:jc w:val="center"/>
              <w:rPr>
                <w:rFonts w:ascii="方正书宋_GBK" w:eastAsia="方正书宋_GBK"/>
                <w:b/>
              </w:rPr>
            </w:pPr>
            <w:r>
              <w:rPr>
                <w:rFonts w:hint="eastAsia" w:ascii="宋体" w:hAnsi="宋体" w:eastAsia="宋体" w:cs="宋体"/>
                <w:b/>
              </w:rPr>
              <w:t>单价</w:t>
            </w:r>
          </w:p>
        </w:tc>
        <w:tc>
          <w:tcPr>
            <w:tcW w:w="0" w:type="auto"/>
            <w:gridSpan w:val="6"/>
            <w:shd w:val="clear" w:color="auto" w:fill="auto"/>
            <w:vAlign w:val="center"/>
          </w:tcPr>
          <w:p w14:paraId="74CFB03D">
            <w:pPr>
              <w:spacing w:line="300" w:lineRule="exact"/>
              <w:jc w:val="center"/>
              <w:rPr>
                <w:rFonts w:ascii="方正书宋_GBK" w:eastAsia="方正书宋_GBK"/>
                <w:b/>
              </w:rPr>
            </w:pPr>
            <w:r>
              <w:rPr>
                <w:rFonts w:hint="eastAsia" w:ascii="宋体" w:hAnsi="宋体" w:eastAsia="宋体" w:cs="宋体"/>
                <w:b/>
              </w:rPr>
              <w:t>政府采购金额（当年</w:t>
            </w:r>
            <w:r>
              <w:rPr>
                <w:rFonts w:hint="eastAsia" w:ascii="宋体" w:hAnsi="宋体" w:eastAsia="宋体" w:cs="宋体"/>
                <w:b/>
                <w:lang w:eastAsia="zh-CN"/>
              </w:rPr>
              <w:t>部门</w:t>
            </w:r>
            <w:r>
              <w:rPr>
                <w:rFonts w:hint="eastAsia" w:ascii="宋体" w:hAnsi="宋体" w:eastAsia="宋体" w:cs="宋体"/>
                <w:b/>
              </w:rPr>
              <w:t>预算安排资金）</w:t>
            </w:r>
          </w:p>
        </w:tc>
      </w:tr>
      <w:tr w14:paraId="62A7A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38" w:hRule="atLeast"/>
          <w:tblHeader/>
        </w:trPr>
        <w:tc>
          <w:tcPr>
            <w:tcW w:w="0" w:type="auto"/>
            <w:shd w:val="clear" w:color="auto" w:fill="auto"/>
            <w:vAlign w:val="center"/>
          </w:tcPr>
          <w:p w14:paraId="66BBE58A">
            <w:pPr>
              <w:spacing w:line="300" w:lineRule="exact"/>
              <w:jc w:val="center"/>
              <w:rPr>
                <w:rFonts w:ascii="方正书宋_GBK" w:eastAsia="方正书宋_GBK"/>
                <w:b/>
              </w:rPr>
            </w:pPr>
            <w:r>
              <w:rPr>
                <w:rFonts w:hint="eastAsia" w:ascii="宋体" w:hAnsi="宋体" w:eastAsia="宋体" w:cs="宋体"/>
                <w:b/>
              </w:rPr>
              <w:t>项目名称</w:t>
            </w:r>
          </w:p>
        </w:tc>
        <w:tc>
          <w:tcPr>
            <w:tcW w:w="0" w:type="auto"/>
            <w:shd w:val="clear" w:color="auto" w:fill="auto"/>
            <w:vAlign w:val="center"/>
          </w:tcPr>
          <w:p w14:paraId="2528DE73">
            <w:pPr>
              <w:spacing w:line="300" w:lineRule="exact"/>
              <w:jc w:val="center"/>
              <w:rPr>
                <w:rFonts w:ascii="方正书宋_GBK" w:eastAsia="方正书宋_GBK"/>
                <w:b/>
              </w:rPr>
            </w:pPr>
            <w:r>
              <w:rPr>
                <w:rFonts w:hint="eastAsia" w:ascii="宋体" w:hAnsi="宋体" w:eastAsia="宋体" w:cs="宋体"/>
                <w:b/>
              </w:rPr>
              <w:t>预算资金</w:t>
            </w:r>
          </w:p>
        </w:tc>
        <w:tc>
          <w:tcPr>
            <w:tcW w:w="0" w:type="auto"/>
            <w:vMerge w:val="continue"/>
            <w:shd w:val="clear" w:color="auto" w:fill="auto"/>
            <w:vAlign w:val="center"/>
          </w:tcPr>
          <w:p w14:paraId="0ECED627">
            <w:pPr>
              <w:spacing w:line="300" w:lineRule="exact"/>
              <w:jc w:val="left"/>
              <w:outlineLvl w:val="1"/>
              <w:rPr>
                <w:rFonts w:ascii="Times New Roman" w:eastAsia="方正仿宋_GBK"/>
                <w:sz w:val="28"/>
              </w:rPr>
            </w:pPr>
          </w:p>
        </w:tc>
        <w:tc>
          <w:tcPr>
            <w:tcW w:w="0" w:type="auto"/>
            <w:vMerge w:val="continue"/>
            <w:shd w:val="clear" w:color="auto" w:fill="auto"/>
            <w:vAlign w:val="center"/>
          </w:tcPr>
          <w:p w14:paraId="455AC390">
            <w:pPr>
              <w:spacing w:line="300" w:lineRule="exact"/>
              <w:jc w:val="left"/>
              <w:outlineLvl w:val="1"/>
              <w:rPr>
                <w:rFonts w:ascii="Times New Roman" w:eastAsia="方正仿宋_GBK"/>
                <w:sz w:val="28"/>
              </w:rPr>
            </w:pPr>
          </w:p>
        </w:tc>
        <w:tc>
          <w:tcPr>
            <w:tcW w:w="0" w:type="auto"/>
            <w:vMerge w:val="continue"/>
            <w:shd w:val="clear" w:color="auto" w:fill="auto"/>
            <w:vAlign w:val="center"/>
          </w:tcPr>
          <w:p w14:paraId="7645AF46">
            <w:pPr>
              <w:spacing w:line="300" w:lineRule="exact"/>
              <w:jc w:val="left"/>
              <w:outlineLvl w:val="1"/>
              <w:rPr>
                <w:rFonts w:ascii="Times New Roman" w:eastAsia="方正仿宋_GBK"/>
                <w:sz w:val="28"/>
              </w:rPr>
            </w:pPr>
          </w:p>
        </w:tc>
        <w:tc>
          <w:tcPr>
            <w:tcW w:w="382" w:type="dxa"/>
            <w:vMerge w:val="continue"/>
            <w:shd w:val="clear" w:color="auto" w:fill="auto"/>
            <w:vAlign w:val="center"/>
          </w:tcPr>
          <w:p w14:paraId="6B6039FB">
            <w:pPr>
              <w:spacing w:line="300" w:lineRule="exact"/>
              <w:jc w:val="left"/>
              <w:outlineLvl w:val="1"/>
              <w:rPr>
                <w:rFonts w:ascii="Times New Roman" w:eastAsia="方正仿宋_GBK"/>
                <w:sz w:val="28"/>
              </w:rPr>
            </w:pPr>
          </w:p>
        </w:tc>
        <w:tc>
          <w:tcPr>
            <w:tcW w:w="577" w:type="dxa"/>
            <w:vMerge w:val="continue"/>
            <w:shd w:val="clear" w:color="auto" w:fill="auto"/>
            <w:vAlign w:val="center"/>
          </w:tcPr>
          <w:p w14:paraId="726C6499">
            <w:pPr>
              <w:spacing w:line="300" w:lineRule="exact"/>
              <w:jc w:val="left"/>
              <w:outlineLvl w:val="1"/>
              <w:rPr>
                <w:rFonts w:ascii="Times New Roman" w:eastAsia="方正仿宋_GBK"/>
                <w:sz w:val="28"/>
              </w:rPr>
            </w:pPr>
          </w:p>
        </w:tc>
        <w:tc>
          <w:tcPr>
            <w:tcW w:w="0" w:type="auto"/>
            <w:shd w:val="clear" w:color="auto" w:fill="auto"/>
            <w:vAlign w:val="center"/>
          </w:tcPr>
          <w:p w14:paraId="038C11FC">
            <w:pPr>
              <w:spacing w:line="300" w:lineRule="exact"/>
              <w:jc w:val="center"/>
              <w:rPr>
                <w:rFonts w:ascii="方正书宋_GBK" w:eastAsia="方正书宋_GBK"/>
                <w:b/>
              </w:rPr>
            </w:pPr>
            <w:r>
              <w:rPr>
                <w:rFonts w:hint="eastAsia" w:ascii="宋体" w:hAnsi="宋体" w:eastAsia="宋体" w:cs="宋体"/>
                <w:b/>
              </w:rPr>
              <w:t>合计</w:t>
            </w:r>
          </w:p>
        </w:tc>
        <w:tc>
          <w:tcPr>
            <w:tcW w:w="0" w:type="auto"/>
            <w:shd w:val="clear" w:color="auto" w:fill="auto"/>
            <w:vAlign w:val="center"/>
          </w:tcPr>
          <w:p w14:paraId="50A3B0C8">
            <w:pPr>
              <w:spacing w:line="300" w:lineRule="exact"/>
              <w:jc w:val="center"/>
              <w:rPr>
                <w:rFonts w:ascii="方正书宋_GBK" w:eastAsia="方正书宋_GBK"/>
                <w:b/>
              </w:rPr>
            </w:pPr>
            <w:r>
              <w:rPr>
                <w:rFonts w:hint="eastAsia" w:ascii="宋体" w:hAnsi="宋体" w:eastAsia="宋体" w:cs="宋体"/>
                <w:b/>
              </w:rPr>
              <w:t>一般公共预算拨款</w:t>
            </w:r>
          </w:p>
        </w:tc>
        <w:tc>
          <w:tcPr>
            <w:tcW w:w="0" w:type="auto"/>
            <w:shd w:val="clear" w:color="auto" w:fill="auto"/>
            <w:vAlign w:val="center"/>
          </w:tcPr>
          <w:p w14:paraId="4C78646E">
            <w:pPr>
              <w:spacing w:line="300" w:lineRule="exact"/>
              <w:jc w:val="center"/>
              <w:rPr>
                <w:rFonts w:ascii="方正书宋_GBK" w:eastAsia="方正书宋_GBK"/>
                <w:b/>
              </w:rPr>
            </w:pPr>
            <w:r>
              <w:rPr>
                <w:rFonts w:hint="eastAsia" w:ascii="宋体" w:hAnsi="宋体" w:eastAsia="宋体" w:cs="宋体"/>
                <w:b/>
              </w:rPr>
              <w:t>基金预算拨款</w:t>
            </w:r>
          </w:p>
        </w:tc>
        <w:tc>
          <w:tcPr>
            <w:tcW w:w="0" w:type="auto"/>
            <w:shd w:val="clear" w:color="auto" w:fill="auto"/>
            <w:vAlign w:val="center"/>
          </w:tcPr>
          <w:p w14:paraId="4D94B338">
            <w:pPr>
              <w:spacing w:line="300" w:lineRule="exact"/>
              <w:jc w:val="center"/>
              <w:rPr>
                <w:rFonts w:ascii="方正书宋_GBK" w:eastAsia="方正书宋_GBK"/>
                <w:b/>
              </w:rPr>
            </w:pPr>
            <w:r>
              <w:rPr>
                <w:rFonts w:hint="eastAsia" w:ascii="宋体" w:hAnsi="宋体" w:eastAsia="宋体" w:cs="宋体"/>
                <w:b/>
              </w:rPr>
              <w:t>国有资本经营预算拨款</w:t>
            </w:r>
          </w:p>
        </w:tc>
        <w:tc>
          <w:tcPr>
            <w:tcW w:w="0" w:type="auto"/>
            <w:shd w:val="clear" w:color="auto" w:fill="auto"/>
            <w:vAlign w:val="center"/>
          </w:tcPr>
          <w:p w14:paraId="1AE49F9A">
            <w:pPr>
              <w:spacing w:line="300" w:lineRule="exact"/>
              <w:jc w:val="center"/>
              <w:rPr>
                <w:rFonts w:ascii="方正书宋_GBK" w:eastAsia="方正书宋_GBK"/>
                <w:b/>
              </w:rPr>
            </w:pPr>
            <w:r>
              <w:rPr>
                <w:rFonts w:hint="eastAsia" w:ascii="宋体" w:hAnsi="宋体" w:eastAsia="宋体" w:cs="宋体"/>
                <w:b/>
              </w:rPr>
              <w:t>财政专户核拨</w:t>
            </w:r>
          </w:p>
        </w:tc>
        <w:tc>
          <w:tcPr>
            <w:tcW w:w="0" w:type="auto"/>
            <w:shd w:val="clear" w:color="auto" w:fill="auto"/>
            <w:vAlign w:val="center"/>
          </w:tcPr>
          <w:p w14:paraId="28E9CDE0">
            <w:pPr>
              <w:spacing w:line="300" w:lineRule="exact"/>
              <w:jc w:val="center"/>
              <w:rPr>
                <w:rFonts w:ascii="方正书宋_GBK" w:eastAsia="方正书宋_GBK"/>
                <w:b/>
              </w:rPr>
            </w:pPr>
            <w:r>
              <w:rPr>
                <w:rFonts w:hint="eastAsia" w:ascii="宋体" w:hAnsi="宋体" w:eastAsia="宋体" w:cs="宋体"/>
                <w:b/>
                <w:lang w:eastAsia="zh-CN"/>
              </w:rPr>
              <w:t>部门</w:t>
            </w:r>
            <w:r>
              <w:rPr>
                <w:rFonts w:hint="eastAsia" w:ascii="宋体" w:hAnsi="宋体" w:eastAsia="宋体" w:cs="宋体"/>
                <w:b/>
              </w:rPr>
              <w:t>资金</w:t>
            </w:r>
          </w:p>
        </w:tc>
      </w:tr>
      <w:tr w14:paraId="13ABB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9" w:hRule="atLeast"/>
        </w:trPr>
        <w:tc>
          <w:tcPr>
            <w:tcW w:w="0" w:type="auto"/>
            <w:shd w:val="clear" w:color="auto" w:fill="auto"/>
            <w:vAlign w:val="center"/>
          </w:tcPr>
          <w:p w14:paraId="43E4292E">
            <w:pPr>
              <w:spacing w:line="300" w:lineRule="exact"/>
              <w:jc w:val="center"/>
              <w:rPr>
                <w:rFonts w:ascii="方正书宋_GBK" w:eastAsia="方正书宋_GBK"/>
                <w:b/>
              </w:rPr>
            </w:pPr>
            <w:r>
              <w:rPr>
                <w:rFonts w:hint="eastAsia" w:ascii="宋体" w:hAnsi="宋体" w:eastAsia="宋体" w:cs="宋体"/>
                <w:b/>
              </w:rPr>
              <w:t>合</w:t>
            </w:r>
            <w:r>
              <w:rPr>
                <w:rFonts w:ascii="方正书宋_GBK" w:eastAsia="方正书宋_GBK"/>
                <w:b/>
              </w:rPr>
              <w:t xml:space="preserve">  </w:t>
            </w:r>
            <w:r>
              <w:rPr>
                <w:rFonts w:hint="eastAsia" w:ascii="宋体" w:hAnsi="宋体" w:eastAsia="宋体" w:cs="宋体"/>
                <w:b/>
              </w:rPr>
              <w:t>计</w:t>
            </w:r>
          </w:p>
        </w:tc>
        <w:tc>
          <w:tcPr>
            <w:tcW w:w="0" w:type="auto"/>
            <w:shd w:val="clear" w:color="auto" w:fill="auto"/>
            <w:vAlign w:val="center"/>
          </w:tcPr>
          <w:p w14:paraId="259991A4">
            <w:pPr>
              <w:spacing w:line="300" w:lineRule="exact"/>
              <w:jc w:val="right"/>
              <w:rPr>
                <w:rFonts w:ascii="方正书宋_GBK" w:eastAsia="方正书宋_GBK"/>
                <w:b/>
              </w:rPr>
            </w:pPr>
          </w:p>
        </w:tc>
        <w:tc>
          <w:tcPr>
            <w:tcW w:w="0" w:type="auto"/>
            <w:shd w:val="clear" w:color="auto" w:fill="auto"/>
            <w:vAlign w:val="center"/>
          </w:tcPr>
          <w:p w14:paraId="0A56804D">
            <w:pPr>
              <w:spacing w:line="300" w:lineRule="exact"/>
              <w:jc w:val="left"/>
              <w:rPr>
                <w:rFonts w:ascii="方正书宋_GBK" w:eastAsia="方正书宋_GBK"/>
                <w:b/>
              </w:rPr>
            </w:pPr>
          </w:p>
        </w:tc>
        <w:tc>
          <w:tcPr>
            <w:tcW w:w="0" w:type="auto"/>
            <w:shd w:val="clear" w:color="auto" w:fill="auto"/>
            <w:vAlign w:val="center"/>
          </w:tcPr>
          <w:p w14:paraId="1841128E">
            <w:pPr>
              <w:spacing w:line="300" w:lineRule="exact"/>
              <w:jc w:val="left"/>
              <w:rPr>
                <w:rFonts w:ascii="方正书宋_GBK" w:eastAsia="方正书宋_GBK"/>
                <w:b/>
              </w:rPr>
            </w:pPr>
          </w:p>
        </w:tc>
        <w:tc>
          <w:tcPr>
            <w:tcW w:w="0" w:type="auto"/>
            <w:shd w:val="clear" w:color="auto" w:fill="auto"/>
            <w:vAlign w:val="center"/>
          </w:tcPr>
          <w:p w14:paraId="0D1A419D">
            <w:pPr>
              <w:spacing w:line="300" w:lineRule="exact"/>
              <w:jc w:val="center"/>
              <w:rPr>
                <w:rFonts w:ascii="方正书宋_GBK" w:eastAsia="方正书宋_GBK"/>
                <w:b/>
              </w:rPr>
            </w:pPr>
          </w:p>
        </w:tc>
        <w:tc>
          <w:tcPr>
            <w:tcW w:w="382" w:type="dxa"/>
            <w:shd w:val="clear" w:color="auto" w:fill="auto"/>
            <w:vAlign w:val="center"/>
          </w:tcPr>
          <w:p w14:paraId="43159A1A">
            <w:pPr>
              <w:spacing w:line="300" w:lineRule="exact"/>
              <w:jc w:val="right"/>
              <w:rPr>
                <w:rFonts w:ascii="方正书宋_GBK" w:eastAsia="方正书宋_GBK"/>
                <w:b/>
              </w:rPr>
            </w:pPr>
          </w:p>
        </w:tc>
        <w:tc>
          <w:tcPr>
            <w:tcW w:w="577" w:type="dxa"/>
            <w:shd w:val="clear" w:color="auto" w:fill="auto"/>
            <w:vAlign w:val="center"/>
          </w:tcPr>
          <w:p w14:paraId="714E7D4E">
            <w:pPr>
              <w:spacing w:line="300" w:lineRule="exact"/>
              <w:jc w:val="right"/>
              <w:rPr>
                <w:rFonts w:ascii="方正书宋_GBK" w:eastAsia="方正书宋_GBK"/>
                <w:b/>
              </w:rPr>
            </w:pPr>
          </w:p>
        </w:tc>
        <w:tc>
          <w:tcPr>
            <w:tcW w:w="0" w:type="auto"/>
            <w:shd w:val="clear" w:color="auto" w:fill="auto"/>
            <w:vAlign w:val="center"/>
          </w:tcPr>
          <w:p w14:paraId="442F4B19">
            <w:pPr>
              <w:spacing w:line="300" w:lineRule="exact"/>
              <w:jc w:val="right"/>
              <w:rPr>
                <w:rFonts w:ascii="方正书宋_GBK" w:eastAsia="方正书宋_GBK"/>
                <w:b/>
              </w:rPr>
            </w:pPr>
          </w:p>
        </w:tc>
        <w:tc>
          <w:tcPr>
            <w:tcW w:w="0" w:type="auto"/>
            <w:shd w:val="clear" w:color="auto" w:fill="auto"/>
            <w:vAlign w:val="center"/>
          </w:tcPr>
          <w:p w14:paraId="6E19FD94">
            <w:pPr>
              <w:spacing w:line="300" w:lineRule="exact"/>
              <w:jc w:val="right"/>
              <w:rPr>
                <w:rFonts w:ascii="方正书宋_GBK" w:eastAsia="方正书宋_GBK"/>
                <w:b/>
              </w:rPr>
            </w:pPr>
          </w:p>
        </w:tc>
        <w:tc>
          <w:tcPr>
            <w:tcW w:w="0" w:type="auto"/>
            <w:shd w:val="clear" w:color="auto" w:fill="auto"/>
            <w:vAlign w:val="center"/>
          </w:tcPr>
          <w:p w14:paraId="57713302">
            <w:pPr>
              <w:spacing w:line="300" w:lineRule="exact"/>
              <w:jc w:val="right"/>
              <w:rPr>
                <w:rFonts w:ascii="方正书宋_GBK" w:eastAsia="方正书宋_GBK"/>
                <w:b/>
              </w:rPr>
            </w:pPr>
          </w:p>
        </w:tc>
        <w:tc>
          <w:tcPr>
            <w:tcW w:w="0" w:type="auto"/>
            <w:shd w:val="clear" w:color="auto" w:fill="auto"/>
            <w:vAlign w:val="center"/>
          </w:tcPr>
          <w:p w14:paraId="2B4ED6D7">
            <w:pPr>
              <w:spacing w:line="300" w:lineRule="exact"/>
              <w:jc w:val="right"/>
              <w:rPr>
                <w:rFonts w:ascii="方正书宋_GBK" w:eastAsia="方正书宋_GBK"/>
                <w:b/>
              </w:rPr>
            </w:pPr>
          </w:p>
        </w:tc>
        <w:tc>
          <w:tcPr>
            <w:tcW w:w="0" w:type="auto"/>
            <w:shd w:val="clear" w:color="auto" w:fill="auto"/>
            <w:vAlign w:val="center"/>
          </w:tcPr>
          <w:p w14:paraId="09DDA44B">
            <w:pPr>
              <w:spacing w:line="300" w:lineRule="exact"/>
              <w:jc w:val="right"/>
              <w:rPr>
                <w:rFonts w:ascii="方正书宋_GBK" w:eastAsia="方正书宋_GBK"/>
                <w:b/>
              </w:rPr>
            </w:pPr>
          </w:p>
        </w:tc>
        <w:tc>
          <w:tcPr>
            <w:tcW w:w="0" w:type="auto"/>
            <w:shd w:val="clear" w:color="auto" w:fill="auto"/>
            <w:vAlign w:val="center"/>
          </w:tcPr>
          <w:p w14:paraId="0CD617E4">
            <w:pPr>
              <w:spacing w:line="300" w:lineRule="exact"/>
              <w:jc w:val="right"/>
              <w:rPr>
                <w:rFonts w:ascii="方正书宋_GBK" w:eastAsia="方正书宋_GBK"/>
                <w:b/>
              </w:rPr>
            </w:pPr>
          </w:p>
        </w:tc>
      </w:tr>
      <w:tr w14:paraId="072B9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9" w:hRule="atLeast"/>
        </w:trPr>
        <w:tc>
          <w:tcPr>
            <w:tcW w:w="0" w:type="auto"/>
            <w:shd w:val="clear" w:color="auto" w:fill="auto"/>
            <w:vAlign w:val="center"/>
          </w:tcPr>
          <w:p w14:paraId="4E630ACA">
            <w:pPr>
              <w:spacing w:line="300" w:lineRule="exact"/>
              <w:jc w:val="left"/>
              <w:rPr>
                <w:rFonts w:ascii="方正书宋_GBK" w:eastAsia="方正书宋_GBK"/>
                <w:b/>
              </w:rPr>
            </w:pPr>
          </w:p>
        </w:tc>
        <w:tc>
          <w:tcPr>
            <w:tcW w:w="0" w:type="auto"/>
            <w:shd w:val="clear" w:color="auto" w:fill="auto"/>
            <w:vAlign w:val="center"/>
          </w:tcPr>
          <w:p w14:paraId="570EF6F6">
            <w:pPr>
              <w:spacing w:line="300" w:lineRule="exact"/>
              <w:jc w:val="right"/>
              <w:rPr>
                <w:rFonts w:ascii="方正书宋_GBK" w:eastAsia="方正书宋_GBK"/>
                <w:b/>
              </w:rPr>
            </w:pPr>
          </w:p>
        </w:tc>
        <w:tc>
          <w:tcPr>
            <w:tcW w:w="0" w:type="auto"/>
            <w:shd w:val="clear" w:color="auto" w:fill="auto"/>
            <w:vAlign w:val="center"/>
          </w:tcPr>
          <w:p w14:paraId="10C85A8D">
            <w:pPr>
              <w:spacing w:line="300" w:lineRule="exact"/>
              <w:jc w:val="left"/>
              <w:rPr>
                <w:rFonts w:ascii="方正书宋_GBK" w:eastAsia="方正书宋_GBK"/>
                <w:b/>
              </w:rPr>
            </w:pPr>
          </w:p>
        </w:tc>
        <w:tc>
          <w:tcPr>
            <w:tcW w:w="0" w:type="auto"/>
            <w:shd w:val="clear" w:color="auto" w:fill="auto"/>
            <w:vAlign w:val="center"/>
          </w:tcPr>
          <w:p w14:paraId="57AAE694">
            <w:pPr>
              <w:spacing w:line="300" w:lineRule="exact"/>
              <w:jc w:val="left"/>
              <w:rPr>
                <w:rFonts w:ascii="方正书宋_GBK" w:eastAsia="方正书宋_GBK"/>
                <w:b/>
              </w:rPr>
            </w:pPr>
          </w:p>
        </w:tc>
        <w:tc>
          <w:tcPr>
            <w:tcW w:w="0" w:type="auto"/>
            <w:shd w:val="clear" w:color="auto" w:fill="auto"/>
            <w:vAlign w:val="center"/>
          </w:tcPr>
          <w:p w14:paraId="38C74219">
            <w:pPr>
              <w:spacing w:line="300" w:lineRule="exact"/>
              <w:jc w:val="center"/>
              <w:rPr>
                <w:rFonts w:ascii="方正书宋_GBK" w:eastAsia="方正书宋_GBK"/>
                <w:b/>
              </w:rPr>
            </w:pPr>
          </w:p>
        </w:tc>
        <w:tc>
          <w:tcPr>
            <w:tcW w:w="382" w:type="dxa"/>
            <w:shd w:val="clear" w:color="auto" w:fill="auto"/>
            <w:vAlign w:val="center"/>
          </w:tcPr>
          <w:p w14:paraId="5E296264">
            <w:pPr>
              <w:spacing w:line="300" w:lineRule="exact"/>
              <w:jc w:val="right"/>
              <w:rPr>
                <w:rFonts w:ascii="方正书宋_GBK" w:eastAsia="方正书宋_GBK"/>
                <w:b/>
              </w:rPr>
            </w:pPr>
          </w:p>
        </w:tc>
        <w:tc>
          <w:tcPr>
            <w:tcW w:w="577" w:type="dxa"/>
            <w:shd w:val="clear" w:color="auto" w:fill="auto"/>
            <w:vAlign w:val="center"/>
          </w:tcPr>
          <w:p w14:paraId="024A8297">
            <w:pPr>
              <w:spacing w:line="300" w:lineRule="exact"/>
              <w:jc w:val="right"/>
              <w:rPr>
                <w:rFonts w:ascii="方正书宋_GBK" w:eastAsia="方正书宋_GBK"/>
                <w:b/>
              </w:rPr>
            </w:pPr>
          </w:p>
        </w:tc>
        <w:tc>
          <w:tcPr>
            <w:tcW w:w="0" w:type="auto"/>
            <w:shd w:val="clear" w:color="auto" w:fill="auto"/>
            <w:vAlign w:val="center"/>
          </w:tcPr>
          <w:p w14:paraId="38499DAC">
            <w:pPr>
              <w:spacing w:line="300" w:lineRule="exact"/>
              <w:jc w:val="right"/>
              <w:rPr>
                <w:rFonts w:ascii="方正书宋_GBK" w:eastAsia="方正书宋_GBK"/>
                <w:b/>
              </w:rPr>
            </w:pPr>
          </w:p>
        </w:tc>
        <w:tc>
          <w:tcPr>
            <w:tcW w:w="0" w:type="auto"/>
            <w:shd w:val="clear" w:color="auto" w:fill="auto"/>
            <w:vAlign w:val="center"/>
          </w:tcPr>
          <w:p w14:paraId="575095D9">
            <w:pPr>
              <w:spacing w:line="300" w:lineRule="exact"/>
              <w:jc w:val="right"/>
              <w:rPr>
                <w:rFonts w:ascii="方正书宋_GBK" w:eastAsia="方正书宋_GBK"/>
                <w:b/>
              </w:rPr>
            </w:pPr>
          </w:p>
        </w:tc>
        <w:tc>
          <w:tcPr>
            <w:tcW w:w="0" w:type="auto"/>
            <w:shd w:val="clear" w:color="auto" w:fill="auto"/>
            <w:vAlign w:val="center"/>
          </w:tcPr>
          <w:p w14:paraId="777014BD">
            <w:pPr>
              <w:spacing w:line="300" w:lineRule="exact"/>
              <w:jc w:val="right"/>
              <w:rPr>
                <w:rFonts w:ascii="方正书宋_GBK" w:eastAsia="方正书宋_GBK"/>
                <w:b/>
              </w:rPr>
            </w:pPr>
          </w:p>
        </w:tc>
        <w:tc>
          <w:tcPr>
            <w:tcW w:w="0" w:type="auto"/>
            <w:shd w:val="clear" w:color="auto" w:fill="auto"/>
            <w:vAlign w:val="center"/>
          </w:tcPr>
          <w:p w14:paraId="47D675EE">
            <w:pPr>
              <w:spacing w:line="300" w:lineRule="exact"/>
              <w:jc w:val="right"/>
              <w:rPr>
                <w:rFonts w:ascii="方正书宋_GBK" w:eastAsia="方正书宋_GBK"/>
                <w:b/>
              </w:rPr>
            </w:pPr>
          </w:p>
        </w:tc>
        <w:tc>
          <w:tcPr>
            <w:tcW w:w="0" w:type="auto"/>
            <w:shd w:val="clear" w:color="auto" w:fill="auto"/>
            <w:vAlign w:val="center"/>
          </w:tcPr>
          <w:p w14:paraId="6F71674D">
            <w:pPr>
              <w:spacing w:line="300" w:lineRule="exact"/>
              <w:jc w:val="right"/>
              <w:rPr>
                <w:rFonts w:ascii="方正书宋_GBK" w:eastAsia="方正书宋_GBK"/>
                <w:b/>
              </w:rPr>
            </w:pPr>
          </w:p>
        </w:tc>
        <w:tc>
          <w:tcPr>
            <w:tcW w:w="0" w:type="auto"/>
            <w:shd w:val="clear" w:color="auto" w:fill="auto"/>
            <w:vAlign w:val="center"/>
          </w:tcPr>
          <w:p w14:paraId="7CBFA8DE">
            <w:pPr>
              <w:spacing w:line="300" w:lineRule="exact"/>
              <w:jc w:val="right"/>
              <w:rPr>
                <w:rFonts w:ascii="方正书宋_GBK" w:eastAsia="方正书宋_GBK"/>
                <w:b/>
              </w:rPr>
            </w:pPr>
          </w:p>
        </w:tc>
      </w:tr>
      <w:tr w14:paraId="7019C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9" w:hRule="atLeast"/>
        </w:trPr>
        <w:tc>
          <w:tcPr>
            <w:tcW w:w="0" w:type="auto"/>
            <w:shd w:val="clear" w:color="auto" w:fill="auto"/>
            <w:vAlign w:val="center"/>
          </w:tcPr>
          <w:p w14:paraId="4DE87CAA">
            <w:pPr>
              <w:spacing w:line="300" w:lineRule="exact"/>
              <w:jc w:val="left"/>
              <w:rPr>
                <w:rFonts w:ascii="方正书宋_GBK" w:eastAsia="方正书宋_GBK"/>
              </w:rPr>
            </w:pPr>
          </w:p>
        </w:tc>
        <w:tc>
          <w:tcPr>
            <w:tcW w:w="0" w:type="auto"/>
            <w:shd w:val="clear" w:color="auto" w:fill="auto"/>
            <w:vAlign w:val="center"/>
          </w:tcPr>
          <w:p w14:paraId="1A46D76D">
            <w:pPr>
              <w:spacing w:line="300" w:lineRule="exact"/>
              <w:jc w:val="right"/>
              <w:rPr>
                <w:rFonts w:ascii="方正书宋_GBK" w:eastAsia="方正书宋_GBK"/>
              </w:rPr>
            </w:pPr>
          </w:p>
        </w:tc>
        <w:tc>
          <w:tcPr>
            <w:tcW w:w="0" w:type="auto"/>
            <w:shd w:val="clear" w:color="auto" w:fill="auto"/>
            <w:vAlign w:val="center"/>
          </w:tcPr>
          <w:p w14:paraId="6B2ECA52">
            <w:pPr>
              <w:spacing w:line="300" w:lineRule="exact"/>
              <w:jc w:val="left"/>
              <w:rPr>
                <w:rFonts w:ascii="方正书宋_GBK" w:eastAsia="方正书宋_GBK"/>
              </w:rPr>
            </w:pPr>
          </w:p>
        </w:tc>
        <w:tc>
          <w:tcPr>
            <w:tcW w:w="0" w:type="auto"/>
            <w:shd w:val="clear" w:color="auto" w:fill="auto"/>
            <w:vAlign w:val="center"/>
          </w:tcPr>
          <w:p w14:paraId="5A84CBD4">
            <w:pPr>
              <w:spacing w:line="300" w:lineRule="exact"/>
              <w:jc w:val="left"/>
              <w:rPr>
                <w:rFonts w:ascii="方正书宋_GBK" w:eastAsia="方正书宋_GBK"/>
              </w:rPr>
            </w:pPr>
          </w:p>
        </w:tc>
        <w:tc>
          <w:tcPr>
            <w:tcW w:w="0" w:type="auto"/>
            <w:shd w:val="clear" w:color="auto" w:fill="auto"/>
            <w:vAlign w:val="center"/>
          </w:tcPr>
          <w:p w14:paraId="4C639C27">
            <w:pPr>
              <w:spacing w:line="300" w:lineRule="exact"/>
              <w:jc w:val="center"/>
              <w:rPr>
                <w:rFonts w:ascii="方正书宋_GBK" w:eastAsia="方正书宋_GBK"/>
              </w:rPr>
            </w:pPr>
          </w:p>
        </w:tc>
        <w:tc>
          <w:tcPr>
            <w:tcW w:w="382" w:type="dxa"/>
            <w:shd w:val="clear" w:color="auto" w:fill="auto"/>
            <w:vAlign w:val="center"/>
          </w:tcPr>
          <w:p w14:paraId="0CD71C6B">
            <w:pPr>
              <w:spacing w:line="300" w:lineRule="exact"/>
              <w:jc w:val="right"/>
              <w:rPr>
                <w:rFonts w:ascii="方正书宋_GBK" w:eastAsia="方正书宋_GBK"/>
              </w:rPr>
            </w:pPr>
          </w:p>
        </w:tc>
        <w:tc>
          <w:tcPr>
            <w:tcW w:w="577" w:type="dxa"/>
            <w:shd w:val="clear" w:color="auto" w:fill="auto"/>
            <w:vAlign w:val="center"/>
          </w:tcPr>
          <w:p w14:paraId="21B93D05">
            <w:pPr>
              <w:spacing w:line="300" w:lineRule="exact"/>
              <w:jc w:val="right"/>
              <w:rPr>
                <w:rFonts w:ascii="方正书宋_GBK" w:eastAsia="方正书宋_GBK"/>
              </w:rPr>
            </w:pPr>
          </w:p>
        </w:tc>
        <w:tc>
          <w:tcPr>
            <w:tcW w:w="0" w:type="auto"/>
            <w:shd w:val="clear" w:color="auto" w:fill="auto"/>
            <w:vAlign w:val="center"/>
          </w:tcPr>
          <w:p w14:paraId="68CA1051">
            <w:pPr>
              <w:spacing w:line="300" w:lineRule="exact"/>
              <w:jc w:val="right"/>
              <w:rPr>
                <w:rFonts w:ascii="方正书宋_GBK" w:eastAsia="方正书宋_GBK"/>
              </w:rPr>
            </w:pPr>
          </w:p>
        </w:tc>
        <w:tc>
          <w:tcPr>
            <w:tcW w:w="0" w:type="auto"/>
            <w:shd w:val="clear" w:color="auto" w:fill="auto"/>
            <w:vAlign w:val="center"/>
          </w:tcPr>
          <w:p w14:paraId="10210CC3">
            <w:pPr>
              <w:spacing w:line="300" w:lineRule="exact"/>
              <w:jc w:val="right"/>
              <w:rPr>
                <w:rFonts w:ascii="方正书宋_GBK" w:eastAsia="方正书宋_GBK"/>
              </w:rPr>
            </w:pPr>
          </w:p>
        </w:tc>
        <w:tc>
          <w:tcPr>
            <w:tcW w:w="0" w:type="auto"/>
            <w:shd w:val="clear" w:color="auto" w:fill="auto"/>
            <w:vAlign w:val="center"/>
          </w:tcPr>
          <w:p w14:paraId="27F73A4F">
            <w:pPr>
              <w:spacing w:line="300" w:lineRule="exact"/>
              <w:jc w:val="right"/>
              <w:rPr>
                <w:rFonts w:ascii="方正书宋_GBK" w:eastAsia="方正书宋_GBK"/>
              </w:rPr>
            </w:pPr>
          </w:p>
        </w:tc>
        <w:tc>
          <w:tcPr>
            <w:tcW w:w="0" w:type="auto"/>
            <w:shd w:val="clear" w:color="auto" w:fill="auto"/>
            <w:vAlign w:val="center"/>
          </w:tcPr>
          <w:p w14:paraId="4920EFCF">
            <w:pPr>
              <w:spacing w:line="300" w:lineRule="exact"/>
              <w:jc w:val="right"/>
              <w:rPr>
                <w:rFonts w:ascii="方正书宋_GBK" w:eastAsia="方正书宋_GBK"/>
              </w:rPr>
            </w:pPr>
          </w:p>
        </w:tc>
        <w:tc>
          <w:tcPr>
            <w:tcW w:w="0" w:type="auto"/>
            <w:shd w:val="clear" w:color="auto" w:fill="auto"/>
            <w:vAlign w:val="center"/>
          </w:tcPr>
          <w:p w14:paraId="4DD49D73">
            <w:pPr>
              <w:spacing w:line="300" w:lineRule="exact"/>
              <w:jc w:val="right"/>
              <w:rPr>
                <w:rFonts w:ascii="方正书宋_GBK" w:eastAsia="方正书宋_GBK"/>
              </w:rPr>
            </w:pPr>
          </w:p>
        </w:tc>
        <w:tc>
          <w:tcPr>
            <w:tcW w:w="0" w:type="auto"/>
            <w:shd w:val="clear" w:color="auto" w:fill="auto"/>
            <w:vAlign w:val="center"/>
          </w:tcPr>
          <w:p w14:paraId="0C0216E9">
            <w:pPr>
              <w:spacing w:line="300" w:lineRule="exact"/>
              <w:jc w:val="right"/>
              <w:rPr>
                <w:rFonts w:ascii="方正书宋_GBK" w:eastAsia="方正书宋_GBK"/>
              </w:rPr>
            </w:pPr>
          </w:p>
        </w:tc>
      </w:tr>
      <w:tr w14:paraId="3D3BF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9" w:hRule="atLeast"/>
        </w:trPr>
        <w:tc>
          <w:tcPr>
            <w:tcW w:w="0" w:type="auto"/>
            <w:shd w:val="clear" w:color="auto" w:fill="auto"/>
            <w:vAlign w:val="center"/>
          </w:tcPr>
          <w:p w14:paraId="6DB4DC90">
            <w:pPr>
              <w:spacing w:line="300" w:lineRule="exact"/>
              <w:jc w:val="left"/>
              <w:rPr>
                <w:rFonts w:ascii="方正书宋_GBK" w:eastAsia="方正书宋_GBK"/>
              </w:rPr>
            </w:pPr>
          </w:p>
        </w:tc>
        <w:tc>
          <w:tcPr>
            <w:tcW w:w="0" w:type="auto"/>
            <w:shd w:val="clear" w:color="auto" w:fill="auto"/>
            <w:vAlign w:val="center"/>
          </w:tcPr>
          <w:p w14:paraId="3863D375">
            <w:pPr>
              <w:spacing w:line="300" w:lineRule="exact"/>
              <w:jc w:val="right"/>
              <w:rPr>
                <w:rFonts w:ascii="方正书宋_GBK" w:eastAsia="方正书宋_GBK"/>
              </w:rPr>
            </w:pPr>
          </w:p>
        </w:tc>
        <w:tc>
          <w:tcPr>
            <w:tcW w:w="0" w:type="auto"/>
            <w:shd w:val="clear" w:color="auto" w:fill="auto"/>
            <w:vAlign w:val="center"/>
          </w:tcPr>
          <w:p w14:paraId="2D5D5EA4">
            <w:pPr>
              <w:spacing w:line="300" w:lineRule="exact"/>
              <w:jc w:val="left"/>
              <w:rPr>
                <w:rFonts w:ascii="方正书宋_GBK"/>
              </w:rPr>
            </w:pPr>
          </w:p>
        </w:tc>
        <w:tc>
          <w:tcPr>
            <w:tcW w:w="0" w:type="auto"/>
            <w:shd w:val="clear" w:color="auto" w:fill="auto"/>
            <w:vAlign w:val="center"/>
          </w:tcPr>
          <w:p w14:paraId="3A28F0E8">
            <w:pPr>
              <w:spacing w:line="300" w:lineRule="exact"/>
              <w:jc w:val="left"/>
              <w:rPr>
                <w:rFonts w:ascii="方正书宋_GBK" w:eastAsia="方正书宋_GBK"/>
              </w:rPr>
            </w:pPr>
          </w:p>
        </w:tc>
        <w:tc>
          <w:tcPr>
            <w:tcW w:w="0" w:type="auto"/>
            <w:shd w:val="clear" w:color="auto" w:fill="auto"/>
            <w:vAlign w:val="center"/>
          </w:tcPr>
          <w:p w14:paraId="1E1580ED">
            <w:pPr>
              <w:spacing w:line="300" w:lineRule="exact"/>
              <w:jc w:val="center"/>
              <w:rPr>
                <w:rFonts w:ascii="方正书宋_GBK"/>
              </w:rPr>
            </w:pPr>
          </w:p>
        </w:tc>
        <w:tc>
          <w:tcPr>
            <w:tcW w:w="382" w:type="dxa"/>
            <w:shd w:val="clear" w:color="auto" w:fill="auto"/>
            <w:vAlign w:val="center"/>
          </w:tcPr>
          <w:p w14:paraId="15CEC25D">
            <w:pPr>
              <w:spacing w:line="300" w:lineRule="exact"/>
              <w:jc w:val="right"/>
              <w:rPr>
                <w:rFonts w:ascii="方正书宋_GBK" w:eastAsia="方正书宋_GBK"/>
              </w:rPr>
            </w:pPr>
          </w:p>
        </w:tc>
        <w:tc>
          <w:tcPr>
            <w:tcW w:w="577" w:type="dxa"/>
            <w:shd w:val="clear" w:color="auto" w:fill="auto"/>
            <w:vAlign w:val="center"/>
          </w:tcPr>
          <w:p w14:paraId="78162B08">
            <w:pPr>
              <w:spacing w:line="300" w:lineRule="exact"/>
              <w:jc w:val="right"/>
              <w:rPr>
                <w:rFonts w:ascii="方正书宋_GBK" w:eastAsia="方正书宋_GBK"/>
              </w:rPr>
            </w:pPr>
          </w:p>
        </w:tc>
        <w:tc>
          <w:tcPr>
            <w:tcW w:w="0" w:type="auto"/>
            <w:shd w:val="clear" w:color="auto" w:fill="auto"/>
            <w:vAlign w:val="center"/>
          </w:tcPr>
          <w:p w14:paraId="030CC1F3">
            <w:pPr>
              <w:spacing w:line="300" w:lineRule="exact"/>
              <w:jc w:val="right"/>
              <w:rPr>
                <w:rFonts w:ascii="方正书宋_GBK" w:eastAsia="方正书宋_GBK"/>
              </w:rPr>
            </w:pPr>
          </w:p>
        </w:tc>
        <w:tc>
          <w:tcPr>
            <w:tcW w:w="0" w:type="auto"/>
            <w:shd w:val="clear" w:color="auto" w:fill="auto"/>
            <w:vAlign w:val="center"/>
          </w:tcPr>
          <w:p w14:paraId="5BEFD144">
            <w:pPr>
              <w:spacing w:line="300" w:lineRule="exact"/>
              <w:jc w:val="right"/>
              <w:rPr>
                <w:rFonts w:ascii="方正书宋_GBK" w:eastAsia="方正书宋_GBK"/>
              </w:rPr>
            </w:pPr>
          </w:p>
        </w:tc>
        <w:tc>
          <w:tcPr>
            <w:tcW w:w="0" w:type="auto"/>
            <w:shd w:val="clear" w:color="auto" w:fill="auto"/>
            <w:vAlign w:val="center"/>
          </w:tcPr>
          <w:p w14:paraId="585C857D">
            <w:pPr>
              <w:spacing w:line="300" w:lineRule="exact"/>
              <w:jc w:val="right"/>
              <w:rPr>
                <w:rFonts w:ascii="方正书宋_GBK" w:eastAsia="方正书宋_GBK"/>
              </w:rPr>
            </w:pPr>
          </w:p>
        </w:tc>
        <w:tc>
          <w:tcPr>
            <w:tcW w:w="0" w:type="auto"/>
            <w:shd w:val="clear" w:color="auto" w:fill="auto"/>
            <w:vAlign w:val="center"/>
          </w:tcPr>
          <w:p w14:paraId="5FD06FDC">
            <w:pPr>
              <w:spacing w:line="300" w:lineRule="exact"/>
              <w:jc w:val="right"/>
              <w:rPr>
                <w:rFonts w:ascii="方正书宋_GBK" w:eastAsia="方正书宋_GBK"/>
              </w:rPr>
            </w:pPr>
          </w:p>
        </w:tc>
        <w:tc>
          <w:tcPr>
            <w:tcW w:w="0" w:type="auto"/>
            <w:shd w:val="clear" w:color="auto" w:fill="auto"/>
            <w:vAlign w:val="center"/>
          </w:tcPr>
          <w:p w14:paraId="1828C104">
            <w:pPr>
              <w:spacing w:line="300" w:lineRule="exact"/>
              <w:jc w:val="right"/>
              <w:rPr>
                <w:rFonts w:ascii="方正书宋_GBK" w:eastAsia="方正书宋_GBK"/>
              </w:rPr>
            </w:pPr>
          </w:p>
        </w:tc>
        <w:tc>
          <w:tcPr>
            <w:tcW w:w="0" w:type="auto"/>
            <w:shd w:val="clear" w:color="auto" w:fill="auto"/>
            <w:vAlign w:val="center"/>
          </w:tcPr>
          <w:p w14:paraId="3F3AF9F3">
            <w:pPr>
              <w:spacing w:line="300" w:lineRule="exact"/>
              <w:jc w:val="right"/>
              <w:rPr>
                <w:rFonts w:ascii="方正书宋_GBK" w:eastAsia="方正书宋_GBK"/>
              </w:rPr>
            </w:pPr>
          </w:p>
        </w:tc>
      </w:tr>
    </w:tbl>
    <w:p w14:paraId="2194D57B">
      <w:pPr>
        <w:spacing w:line="360" w:lineRule="auto"/>
        <w:ind w:firstLine="640" w:firstLineChars="200"/>
        <w:rPr>
          <w:rFonts w:hint="eastAsia" w:ascii="仿宋" w:hAnsi="仿宋" w:eastAsia="仿宋"/>
          <w:sz w:val="32"/>
          <w:szCs w:val="32"/>
        </w:rPr>
      </w:pPr>
    </w:p>
    <w:p w14:paraId="0FC6A613">
      <w:pPr>
        <w:spacing w:line="360" w:lineRule="auto"/>
        <w:ind w:firstLine="640" w:firstLineChars="200"/>
        <w:rPr>
          <w:rFonts w:ascii="仿宋" w:hAnsi="仿宋" w:eastAsia="仿宋"/>
          <w:sz w:val="32"/>
          <w:szCs w:val="32"/>
        </w:rPr>
      </w:pPr>
      <w:r>
        <w:rPr>
          <w:rFonts w:ascii="仿宋" w:hAnsi="仿宋" w:eastAsia="仿宋"/>
          <w:sz w:val="32"/>
          <w:szCs w:val="32"/>
        </w:rPr>
        <w:tab/>
      </w:r>
      <w:r>
        <w:rPr>
          <w:rFonts w:ascii="仿宋" w:hAnsi="仿宋" w:eastAsia="仿宋"/>
          <w:sz w:val="32"/>
          <w:szCs w:val="32"/>
        </w:rPr>
        <w:tab/>
      </w:r>
      <w:r>
        <w:rPr>
          <w:rFonts w:ascii="仿宋" w:hAnsi="仿宋" w:eastAsia="仿宋"/>
          <w:sz w:val="32"/>
          <w:szCs w:val="32"/>
        </w:rPr>
        <w:tab/>
      </w:r>
      <w:r>
        <w:rPr>
          <w:rFonts w:ascii="仿宋" w:hAnsi="仿宋" w:eastAsia="仿宋"/>
          <w:sz w:val="32"/>
          <w:szCs w:val="32"/>
        </w:rPr>
        <w:tab/>
      </w:r>
      <w:r>
        <w:rPr>
          <w:rFonts w:ascii="仿宋" w:hAnsi="仿宋" w:eastAsia="仿宋"/>
          <w:sz w:val="32"/>
          <w:szCs w:val="32"/>
        </w:rPr>
        <w:tab/>
      </w:r>
      <w:r>
        <w:rPr>
          <w:rFonts w:ascii="仿宋" w:hAnsi="仿宋" w:eastAsia="仿宋"/>
          <w:sz w:val="32"/>
          <w:szCs w:val="32"/>
        </w:rPr>
        <w:tab/>
      </w:r>
      <w:r>
        <w:rPr>
          <w:rFonts w:ascii="仿宋" w:hAnsi="仿宋" w:eastAsia="仿宋"/>
          <w:sz w:val="32"/>
          <w:szCs w:val="32"/>
        </w:rPr>
        <w:tab/>
      </w:r>
      <w:r>
        <w:rPr>
          <w:rFonts w:ascii="仿宋" w:hAnsi="仿宋" w:eastAsia="仿宋"/>
          <w:sz w:val="32"/>
          <w:szCs w:val="32"/>
        </w:rPr>
        <w:tab/>
      </w:r>
      <w:r>
        <w:rPr>
          <w:rFonts w:ascii="仿宋" w:hAnsi="仿宋" w:eastAsia="仿宋"/>
          <w:sz w:val="32"/>
          <w:szCs w:val="32"/>
        </w:rPr>
        <w:tab/>
      </w:r>
      <w:r>
        <w:rPr>
          <w:rFonts w:ascii="仿宋" w:hAnsi="仿宋" w:eastAsia="仿宋"/>
          <w:sz w:val="32"/>
          <w:szCs w:val="32"/>
        </w:rPr>
        <w:tab/>
      </w:r>
    </w:p>
    <w:p w14:paraId="3E0DD05C">
      <w:pPr>
        <w:spacing w:line="360" w:lineRule="auto"/>
        <w:ind w:firstLine="640" w:firstLineChars="200"/>
        <w:rPr>
          <w:rFonts w:ascii="仿宋" w:hAnsi="仿宋" w:eastAsia="仿宋"/>
          <w:sz w:val="32"/>
          <w:szCs w:val="32"/>
        </w:rPr>
        <w:sectPr>
          <w:footerReference r:id="rId3" w:type="default"/>
          <w:pgSz w:w="11906" w:h="16838"/>
          <w:pgMar w:top="1440" w:right="1800" w:bottom="1440" w:left="1800" w:header="851" w:footer="992" w:gutter="0"/>
          <w:cols w:space="425" w:num="1"/>
          <w:docGrid w:type="lines" w:linePitch="312" w:charSpace="0"/>
        </w:sectPr>
      </w:pPr>
    </w:p>
    <w:p w14:paraId="5C0F657A">
      <w:pPr>
        <w:outlineLvl w:val="0"/>
        <w:rPr>
          <w:rFonts w:ascii="方正小标宋_GBK" w:eastAsia="方正小标宋_GBK"/>
          <w:sz w:val="44"/>
        </w:rPr>
      </w:pPr>
      <w:r>
        <w:rPr>
          <w:rFonts w:hint="eastAsia" w:ascii="方正小标宋_GBK" w:eastAsia="方正小标宋_GBK"/>
          <w:sz w:val="44"/>
        </w:rPr>
        <w:t>第七部分：国有资产信息</w:t>
      </w:r>
    </w:p>
    <w:p w14:paraId="5781B4BB">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w:t>
      </w:r>
      <w:r>
        <w:rPr>
          <w:rFonts w:hint="eastAsia" w:ascii="仿宋" w:hAnsi="仿宋" w:eastAsia="仿宋"/>
          <w:sz w:val="32"/>
          <w:szCs w:val="32"/>
          <w:lang w:eastAsia="zh-CN"/>
        </w:rPr>
        <w:t>部门</w:t>
      </w:r>
      <w:r>
        <w:rPr>
          <w:rFonts w:hint="eastAsia" w:ascii="仿宋" w:hAnsi="仿宋" w:eastAsia="仿宋"/>
          <w:sz w:val="32"/>
          <w:szCs w:val="32"/>
        </w:rPr>
        <w:t>固定资产总金额为77.82</w:t>
      </w:r>
      <w:r>
        <w:rPr>
          <w:rFonts w:ascii="仿宋" w:hAnsi="仿宋" w:eastAsia="仿宋"/>
          <w:sz w:val="32"/>
          <w:szCs w:val="32"/>
        </w:rPr>
        <w:t>1385</w:t>
      </w:r>
      <w:r>
        <w:rPr>
          <w:rFonts w:hint="eastAsia" w:ascii="仿宋" w:hAnsi="仿宋" w:eastAsia="仿宋"/>
          <w:sz w:val="32"/>
          <w:szCs w:val="32"/>
        </w:rPr>
        <w:t>万元（详见下表）。我</w:t>
      </w:r>
      <w:r>
        <w:rPr>
          <w:rFonts w:hint="eastAsia" w:ascii="仿宋" w:hAnsi="仿宋" w:eastAsia="仿宋"/>
          <w:sz w:val="32"/>
          <w:szCs w:val="32"/>
          <w:lang w:eastAsia="zh-CN"/>
        </w:rPr>
        <w:t>部门</w:t>
      </w:r>
      <w:r>
        <w:rPr>
          <w:rFonts w:hint="eastAsia" w:ascii="仿宋" w:hAnsi="仿宋" w:eastAsia="仿宋"/>
          <w:sz w:val="32"/>
          <w:szCs w:val="32"/>
        </w:rPr>
        <w:t>本年度无国有资产购置计划，拟购置金额为</w:t>
      </w:r>
      <w:r>
        <w:rPr>
          <w:rFonts w:ascii="仿宋" w:hAnsi="仿宋" w:eastAsia="仿宋"/>
          <w:sz w:val="32"/>
          <w:szCs w:val="32"/>
        </w:rPr>
        <w:t>0。</w:t>
      </w:r>
    </w:p>
    <w:tbl>
      <w:tblPr>
        <w:tblStyle w:val="5"/>
        <w:tblW w:w="10084" w:type="dxa"/>
        <w:jc w:val="center"/>
        <w:tblLayout w:type="autofit"/>
        <w:tblCellMar>
          <w:top w:w="0" w:type="dxa"/>
          <w:left w:w="108" w:type="dxa"/>
          <w:bottom w:w="0" w:type="dxa"/>
          <w:right w:w="108" w:type="dxa"/>
        </w:tblCellMar>
      </w:tblPr>
      <w:tblGrid>
        <w:gridCol w:w="4788"/>
        <w:gridCol w:w="1035"/>
        <w:gridCol w:w="4261"/>
      </w:tblGrid>
      <w:tr w14:paraId="1DA494A7">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14:paraId="1364D3D6">
            <w:pPr>
              <w:widowControl/>
              <w:jc w:val="center"/>
              <w:rPr>
                <w:rFonts w:ascii="宋体" w:hAnsi="宋体" w:cs="宋体"/>
                <w:kern w:val="0"/>
                <w:sz w:val="28"/>
                <w:szCs w:val="28"/>
              </w:rPr>
            </w:pPr>
            <w:r>
              <w:rPr>
                <w:rFonts w:hint="eastAsia" w:ascii="宋体" w:hAnsi="宋体"/>
                <w:sz w:val="32"/>
                <w:szCs w:val="32"/>
              </w:rPr>
              <w:t>固定资产占用情况表</w:t>
            </w:r>
          </w:p>
        </w:tc>
      </w:tr>
      <w:tr w14:paraId="73DB8FE4">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14:paraId="41A59F51">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2021</w:t>
            </w:r>
            <w:r>
              <w:rPr>
                <w:rFonts w:hint="eastAsia" w:ascii="仿宋_GB2312" w:hAnsi="仿宋" w:eastAsia="仿宋_GB2312" w:cs="宋体"/>
                <w:bCs/>
                <w:color w:val="FF0000"/>
                <w:kern w:val="0"/>
                <w:sz w:val="28"/>
                <w:szCs w:val="28"/>
              </w:rPr>
              <w:t>年12月31日</w:t>
            </w:r>
          </w:p>
        </w:tc>
      </w:tr>
      <w:tr w14:paraId="6E444DE1">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515B55D0">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14:paraId="4D5EDBF2">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14:paraId="11E4B2F1">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w:t>
            </w:r>
            <w:r>
              <w:rPr>
                <w:rFonts w:hint="eastAsia" w:ascii="仿宋_GB2312" w:hAnsi="仿宋" w:eastAsia="仿宋_GB2312" w:cs="宋体"/>
                <w:b/>
                <w:bCs/>
                <w:kern w:val="0"/>
                <w:sz w:val="24"/>
                <w:szCs w:val="24"/>
                <w:lang w:eastAsia="zh-CN"/>
              </w:rPr>
              <w:t>部门</w:t>
            </w:r>
            <w:r>
              <w:rPr>
                <w:rFonts w:hint="eastAsia" w:ascii="仿宋_GB2312" w:hAnsi="仿宋" w:eastAsia="仿宋_GB2312" w:cs="宋体"/>
                <w:b/>
                <w:bCs/>
                <w:kern w:val="0"/>
                <w:sz w:val="24"/>
                <w:szCs w:val="24"/>
              </w:rPr>
              <w:t>：万元）</w:t>
            </w:r>
          </w:p>
        </w:tc>
      </w:tr>
      <w:tr w14:paraId="0DEC7D86">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2BCD0BD6">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14:paraId="54A4AD54">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14:paraId="5A477E40">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77.821385</w:t>
            </w:r>
          </w:p>
        </w:tc>
      </w:tr>
      <w:tr w14:paraId="3B338764">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76A405AF">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14:paraId="6EE67323">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14:paraId="684114BC">
            <w:pPr>
              <w:widowControl/>
              <w:jc w:val="center"/>
              <w:rPr>
                <w:rFonts w:ascii="仿宋_GB2312" w:hAnsi="仿宋" w:eastAsia="仿宋_GB2312" w:cs="宋体"/>
                <w:kern w:val="0"/>
                <w:sz w:val="24"/>
                <w:szCs w:val="24"/>
              </w:rPr>
            </w:pPr>
          </w:p>
        </w:tc>
      </w:tr>
      <w:tr w14:paraId="5A6625F0">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A67F74">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063183AD">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14:paraId="7BA8DC23">
            <w:pPr>
              <w:jc w:val="center"/>
              <w:rPr>
                <w:rFonts w:ascii="仿宋_GB2312" w:hAnsi="仿宋" w:eastAsia="仿宋_GB2312" w:cs="宋体"/>
                <w:kern w:val="0"/>
                <w:sz w:val="24"/>
                <w:szCs w:val="24"/>
              </w:rPr>
            </w:pPr>
          </w:p>
        </w:tc>
      </w:tr>
      <w:tr w14:paraId="19600CB6">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08278C01">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14:paraId="45E0A3C5">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w:t>
            </w:r>
          </w:p>
        </w:tc>
        <w:tc>
          <w:tcPr>
            <w:tcW w:w="4261" w:type="dxa"/>
            <w:tcBorders>
              <w:top w:val="nil"/>
              <w:left w:val="nil"/>
              <w:bottom w:val="single" w:color="auto" w:sz="4" w:space="0"/>
              <w:right w:val="single" w:color="auto" w:sz="4" w:space="0"/>
            </w:tcBorders>
            <w:shd w:val="clear" w:color="auto" w:fill="auto"/>
            <w:noWrap/>
            <w:vAlign w:val="center"/>
          </w:tcPr>
          <w:p w14:paraId="4529F289">
            <w:pPr>
              <w:widowControl/>
              <w:jc w:val="center"/>
              <w:rPr>
                <w:rFonts w:ascii="仿宋_GB2312" w:hAnsi="仿宋" w:eastAsia="仿宋_GB2312" w:cs="宋体"/>
                <w:kern w:val="0"/>
                <w:sz w:val="24"/>
                <w:szCs w:val="24"/>
              </w:rPr>
            </w:pPr>
            <w:r>
              <w:rPr>
                <w:rFonts w:ascii="仿宋_GB2312" w:hAnsi="仿宋" w:eastAsia="仿宋_GB2312" w:cs="宋体"/>
                <w:kern w:val="0"/>
                <w:sz w:val="24"/>
                <w:szCs w:val="24"/>
              </w:rPr>
              <w:t>22.68</w:t>
            </w:r>
          </w:p>
        </w:tc>
      </w:tr>
      <w:tr w14:paraId="4B533517">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320D9092">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14:paraId="5CAC1A69">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14:paraId="07E81A59">
            <w:pPr>
              <w:widowControl/>
              <w:jc w:val="center"/>
              <w:rPr>
                <w:rFonts w:ascii="仿宋_GB2312" w:hAnsi="仿宋" w:eastAsia="仿宋_GB2312" w:cs="宋体"/>
                <w:kern w:val="0"/>
                <w:sz w:val="24"/>
                <w:szCs w:val="24"/>
              </w:rPr>
            </w:pPr>
          </w:p>
        </w:tc>
      </w:tr>
      <w:tr w14:paraId="475D36AF">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E9FD51">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3471E8">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9AC1A1">
            <w:pPr>
              <w:widowControl/>
              <w:jc w:val="center"/>
              <w:rPr>
                <w:rFonts w:ascii="仿宋_GB2312" w:hAnsi="仿宋" w:eastAsia="仿宋_GB2312" w:cs="宋体"/>
                <w:kern w:val="0"/>
                <w:sz w:val="24"/>
                <w:szCs w:val="24"/>
              </w:rPr>
            </w:pPr>
          </w:p>
        </w:tc>
      </w:tr>
      <w:tr w14:paraId="1AE559D4">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78DF49">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26272158">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14:paraId="17E3D127">
            <w:pPr>
              <w:widowControl/>
              <w:jc w:val="center"/>
              <w:rPr>
                <w:rFonts w:ascii="仿宋_GB2312" w:hAnsi="仿宋" w:eastAsia="仿宋_GB2312" w:cs="宋体"/>
                <w:kern w:val="0"/>
                <w:sz w:val="24"/>
                <w:szCs w:val="24"/>
              </w:rPr>
            </w:pPr>
          </w:p>
        </w:tc>
      </w:tr>
      <w:tr w14:paraId="02E7E694">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0A5035">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7D8B36D0">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14:paraId="5DB7E8CC">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55.141385</w:t>
            </w:r>
          </w:p>
        </w:tc>
      </w:tr>
    </w:tbl>
    <w:p w14:paraId="3F135A72">
      <w:pPr>
        <w:spacing w:line="360" w:lineRule="auto"/>
        <w:rPr>
          <w:rFonts w:ascii="黑体" w:hAnsi="黑体" w:eastAsia="黑体" w:cs="Times New Roman"/>
          <w:sz w:val="32"/>
          <w:szCs w:val="32"/>
        </w:rPr>
      </w:pPr>
    </w:p>
    <w:p w14:paraId="4BDE8188">
      <w:pPr>
        <w:jc w:val="center"/>
        <w:outlineLvl w:val="0"/>
        <w:rPr>
          <w:rFonts w:ascii="方正小标宋_GBK" w:eastAsia="方正小标宋_GBK"/>
          <w:sz w:val="44"/>
        </w:rPr>
      </w:pPr>
    </w:p>
    <w:p w14:paraId="7F8BE21A">
      <w:pPr>
        <w:jc w:val="center"/>
        <w:outlineLvl w:val="0"/>
        <w:rPr>
          <w:rFonts w:ascii="方正小标宋_GBK" w:eastAsia="方正小标宋_GBK"/>
          <w:sz w:val="44"/>
        </w:rPr>
      </w:pPr>
    </w:p>
    <w:p w14:paraId="7405B711">
      <w:pPr>
        <w:jc w:val="center"/>
        <w:outlineLvl w:val="0"/>
        <w:rPr>
          <w:rFonts w:ascii="方正小标宋_GBK" w:eastAsia="方正小标宋_GBK"/>
          <w:sz w:val="44"/>
        </w:rPr>
      </w:pPr>
      <w:r>
        <w:rPr>
          <w:rFonts w:hint="eastAsia" w:ascii="方正小标宋_GBK" w:eastAsia="方正小标宋_GBK"/>
          <w:sz w:val="44"/>
        </w:rPr>
        <w:t>第八部分：名词解释</w:t>
      </w:r>
    </w:p>
    <w:p w14:paraId="1C3AD932">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14:paraId="6C033FCD">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14:paraId="2E9B09E5">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14:paraId="086BF43B">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14:paraId="14F4ADFD">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w:t>
      </w:r>
      <w:r>
        <w:rPr>
          <w:rFonts w:hint="eastAsia" w:ascii="仿宋" w:hAnsi="仿宋" w:eastAsia="仿宋"/>
          <w:sz w:val="32"/>
          <w:szCs w:val="32"/>
          <w:lang w:eastAsia="zh-CN"/>
        </w:rPr>
        <w:t>部门</w:t>
      </w:r>
      <w:r>
        <w:rPr>
          <w:rFonts w:ascii="仿宋" w:hAnsi="仿宋" w:eastAsia="仿宋"/>
          <w:sz w:val="32"/>
          <w:szCs w:val="32"/>
        </w:rPr>
        <w:t>用财政拨款安排的因公出国（境）费、公务用车购置及运行费和公务接待费。其中，因公出国（境）费反映</w:t>
      </w:r>
      <w:r>
        <w:rPr>
          <w:rFonts w:hint="eastAsia" w:ascii="仿宋" w:hAnsi="仿宋" w:eastAsia="仿宋"/>
          <w:sz w:val="32"/>
          <w:szCs w:val="32"/>
          <w:lang w:eastAsia="zh-CN"/>
        </w:rPr>
        <w:t>部门</w:t>
      </w:r>
      <w:r>
        <w:rPr>
          <w:rFonts w:ascii="仿宋" w:hAnsi="仿宋" w:eastAsia="仿宋"/>
          <w:sz w:val="32"/>
          <w:szCs w:val="32"/>
        </w:rPr>
        <w:t>公务出国（境）的住宿费、旅费、伙食补助费、杂费、培训费等支出；公务用车购置及运行费反映</w:t>
      </w:r>
      <w:r>
        <w:rPr>
          <w:rFonts w:hint="eastAsia" w:ascii="仿宋" w:hAnsi="仿宋" w:eastAsia="仿宋"/>
          <w:sz w:val="32"/>
          <w:szCs w:val="32"/>
          <w:lang w:eastAsia="zh-CN"/>
        </w:rPr>
        <w:t>部门</w:t>
      </w:r>
      <w:r>
        <w:rPr>
          <w:rFonts w:ascii="仿宋" w:hAnsi="仿宋" w:eastAsia="仿宋"/>
          <w:sz w:val="32"/>
          <w:szCs w:val="32"/>
        </w:rPr>
        <w:t>公务用车购置费及租用费、燃料费、维修费、过路过桥费、保险费、安全奖励费用等支出；公务接待费反映</w:t>
      </w:r>
      <w:r>
        <w:rPr>
          <w:rFonts w:hint="eastAsia" w:ascii="仿宋" w:hAnsi="仿宋" w:eastAsia="仿宋"/>
          <w:sz w:val="32"/>
          <w:szCs w:val="32"/>
          <w:lang w:eastAsia="zh-CN"/>
        </w:rPr>
        <w:t>部门</w:t>
      </w:r>
      <w:r>
        <w:rPr>
          <w:rFonts w:ascii="仿宋" w:hAnsi="仿宋" w:eastAsia="仿宋"/>
          <w:sz w:val="32"/>
          <w:szCs w:val="32"/>
        </w:rPr>
        <w:t>按规定开支的各类公务接待（含外宾接待）支出。</w:t>
      </w:r>
    </w:p>
    <w:p w14:paraId="397C656A">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w:t>
      </w:r>
      <w:r>
        <w:rPr>
          <w:rFonts w:hint="eastAsia" w:ascii="仿宋" w:hAnsi="仿宋" w:eastAsia="仿宋"/>
          <w:sz w:val="32"/>
          <w:szCs w:val="32"/>
          <w:lang w:eastAsia="zh-CN"/>
        </w:rPr>
        <w:t>部门</w:t>
      </w:r>
      <w:r>
        <w:rPr>
          <w:rFonts w:ascii="仿宋" w:hAnsi="仿宋" w:eastAsia="仿宋"/>
          <w:sz w:val="32"/>
          <w:szCs w:val="32"/>
        </w:rPr>
        <w:t>（含参照公务员法管理的事业</w:t>
      </w:r>
      <w:r>
        <w:rPr>
          <w:rFonts w:hint="eastAsia" w:ascii="仿宋" w:hAnsi="仿宋" w:eastAsia="仿宋"/>
          <w:sz w:val="32"/>
          <w:szCs w:val="32"/>
          <w:lang w:eastAsia="zh-CN"/>
        </w:rPr>
        <w:t>部门</w:t>
      </w:r>
      <w:r>
        <w:rPr>
          <w:rFonts w:ascii="仿宋" w:hAnsi="仿宋" w:eastAsia="仿宋"/>
          <w:sz w:val="32"/>
          <w:szCs w:val="32"/>
        </w:rPr>
        <w:t>）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FC45440">
      <w:pPr>
        <w:spacing w:line="360" w:lineRule="auto"/>
        <w:jc w:val="center"/>
        <w:rPr>
          <w:rFonts w:ascii="黑体" w:hAnsi="黑体" w:eastAsia="黑体" w:cs="Times New Roman"/>
          <w:sz w:val="32"/>
          <w:szCs w:val="32"/>
        </w:rPr>
      </w:pPr>
    </w:p>
    <w:p w14:paraId="0CEC9288">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14:paraId="6AEDCCEB">
      <w:pPr>
        <w:spacing w:line="360" w:lineRule="auto"/>
        <w:ind w:firstLine="640" w:firstLineChars="200"/>
        <w:rPr>
          <w:rFonts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eastAsia="zh-CN"/>
        </w:rPr>
        <w:t>部门</w:t>
      </w:r>
      <w:r>
        <w:rPr>
          <w:rFonts w:hint="eastAsia" w:ascii="仿宋" w:hAnsi="仿宋" w:eastAsia="仿宋"/>
          <w:sz w:val="32"/>
          <w:szCs w:val="32"/>
        </w:rPr>
        <w:t>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sdtPr>
    <w:sdtContent>
      <w:p w14:paraId="39176E26">
        <w:pPr>
          <w:pStyle w:val="3"/>
          <w:jc w:val="center"/>
        </w:pPr>
        <w:r>
          <w:fldChar w:fldCharType="begin"/>
        </w:r>
        <w:r>
          <w:instrText xml:space="preserve">PAGE   \* MERGEFORMAT</w:instrText>
        </w:r>
        <w:r>
          <w:fldChar w:fldCharType="separate"/>
        </w:r>
        <w:r>
          <w:rPr>
            <w:lang w:val="zh-CN"/>
          </w:rPr>
          <w:t>15</w:t>
        </w:r>
        <w:r>
          <w:fldChar w:fldCharType="end"/>
        </w:r>
      </w:p>
    </w:sdtContent>
  </w:sdt>
  <w:p w14:paraId="3BD1C55F">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xMjE0NGUwNzYyMjQ3YTcxM2YxMWU5ZmRkOTYxZWQifQ=="/>
  </w:docVars>
  <w:rsids>
    <w:rsidRoot w:val="00055F1F"/>
    <w:rsid w:val="00013B8A"/>
    <w:rsid w:val="00044FBC"/>
    <w:rsid w:val="0005242B"/>
    <w:rsid w:val="00055F1F"/>
    <w:rsid w:val="000577EF"/>
    <w:rsid w:val="00057F18"/>
    <w:rsid w:val="000A445D"/>
    <w:rsid w:val="000C178B"/>
    <w:rsid w:val="00131DEC"/>
    <w:rsid w:val="00136AB3"/>
    <w:rsid w:val="001462BD"/>
    <w:rsid w:val="00152380"/>
    <w:rsid w:val="001638BE"/>
    <w:rsid w:val="00164810"/>
    <w:rsid w:val="00172C7A"/>
    <w:rsid w:val="001808B3"/>
    <w:rsid w:val="00181777"/>
    <w:rsid w:val="001B4688"/>
    <w:rsid w:val="001B6235"/>
    <w:rsid w:val="001F4875"/>
    <w:rsid w:val="00203397"/>
    <w:rsid w:val="00212335"/>
    <w:rsid w:val="00284A75"/>
    <w:rsid w:val="002918C6"/>
    <w:rsid w:val="00291EF3"/>
    <w:rsid w:val="00296524"/>
    <w:rsid w:val="002D02D0"/>
    <w:rsid w:val="002E01F6"/>
    <w:rsid w:val="002E1C98"/>
    <w:rsid w:val="002F1ACB"/>
    <w:rsid w:val="002F530F"/>
    <w:rsid w:val="00305E97"/>
    <w:rsid w:val="00310532"/>
    <w:rsid w:val="0031595D"/>
    <w:rsid w:val="0032782B"/>
    <w:rsid w:val="00340B3D"/>
    <w:rsid w:val="0034253A"/>
    <w:rsid w:val="003669CF"/>
    <w:rsid w:val="00367A30"/>
    <w:rsid w:val="003A06D2"/>
    <w:rsid w:val="003A4557"/>
    <w:rsid w:val="003A6366"/>
    <w:rsid w:val="003C2317"/>
    <w:rsid w:val="003C442E"/>
    <w:rsid w:val="003D1092"/>
    <w:rsid w:val="003D37CD"/>
    <w:rsid w:val="003E5531"/>
    <w:rsid w:val="003E555C"/>
    <w:rsid w:val="003E6AF3"/>
    <w:rsid w:val="0040243C"/>
    <w:rsid w:val="00406BD1"/>
    <w:rsid w:val="00411A72"/>
    <w:rsid w:val="00411D79"/>
    <w:rsid w:val="004240FC"/>
    <w:rsid w:val="00426C19"/>
    <w:rsid w:val="0043281F"/>
    <w:rsid w:val="00450FD9"/>
    <w:rsid w:val="00453CE0"/>
    <w:rsid w:val="004570E7"/>
    <w:rsid w:val="00470736"/>
    <w:rsid w:val="00470BBB"/>
    <w:rsid w:val="0048611E"/>
    <w:rsid w:val="004A2733"/>
    <w:rsid w:val="004B6929"/>
    <w:rsid w:val="004E2F43"/>
    <w:rsid w:val="004E3572"/>
    <w:rsid w:val="004F3C52"/>
    <w:rsid w:val="00510A1E"/>
    <w:rsid w:val="005158E2"/>
    <w:rsid w:val="00524204"/>
    <w:rsid w:val="00550049"/>
    <w:rsid w:val="00553F7E"/>
    <w:rsid w:val="00570142"/>
    <w:rsid w:val="00586C35"/>
    <w:rsid w:val="005B1B6F"/>
    <w:rsid w:val="005B6CCB"/>
    <w:rsid w:val="005C54AA"/>
    <w:rsid w:val="005C7B89"/>
    <w:rsid w:val="005F043D"/>
    <w:rsid w:val="00605B0A"/>
    <w:rsid w:val="0062788A"/>
    <w:rsid w:val="00641F8A"/>
    <w:rsid w:val="006478F0"/>
    <w:rsid w:val="0066383B"/>
    <w:rsid w:val="00685C2F"/>
    <w:rsid w:val="006A6FA2"/>
    <w:rsid w:val="006B5117"/>
    <w:rsid w:val="006C521D"/>
    <w:rsid w:val="006C62DF"/>
    <w:rsid w:val="006D2ED8"/>
    <w:rsid w:val="006F5104"/>
    <w:rsid w:val="006F6549"/>
    <w:rsid w:val="00735B02"/>
    <w:rsid w:val="007638A5"/>
    <w:rsid w:val="007657C8"/>
    <w:rsid w:val="00767A77"/>
    <w:rsid w:val="00771E49"/>
    <w:rsid w:val="00782208"/>
    <w:rsid w:val="00791938"/>
    <w:rsid w:val="007A5999"/>
    <w:rsid w:val="007C7FD7"/>
    <w:rsid w:val="007F3746"/>
    <w:rsid w:val="00802D52"/>
    <w:rsid w:val="00805964"/>
    <w:rsid w:val="00833132"/>
    <w:rsid w:val="00845C67"/>
    <w:rsid w:val="0086454E"/>
    <w:rsid w:val="0086575F"/>
    <w:rsid w:val="008672EA"/>
    <w:rsid w:val="00867575"/>
    <w:rsid w:val="00891680"/>
    <w:rsid w:val="008A0099"/>
    <w:rsid w:val="008A0B5F"/>
    <w:rsid w:val="008B5402"/>
    <w:rsid w:val="008D11BC"/>
    <w:rsid w:val="008E5791"/>
    <w:rsid w:val="0090527E"/>
    <w:rsid w:val="00905BB7"/>
    <w:rsid w:val="0090620C"/>
    <w:rsid w:val="00912DA4"/>
    <w:rsid w:val="00916B1E"/>
    <w:rsid w:val="009302B8"/>
    <w:rsid w:val="009305C6"/>
    <w:rsid w:val="009752AE"/>
    <w:rsid w:val="00982F3D"/>
    <w:rsid w:val="00983232"/>
    <w:rsid w:val="009A278A"/>
    <w:rsid w:val="009B6368"/>
    <w:rsid w:val="009F63C4"/>
    <w:rsid w:val="00A16957"/>
    <w:rsid w:val="00A333D8"/>
    <w:rsid w:val="00A6155C"/>
    <w:rsid w:val="00A8079E"/>
    <w:rsid w:val="00A90328"/>
    <w:rsid w:val="00A92D66"/>
    <w:rsid w:val="00AA4262"/>
    <w:rsid w:val="00AB5A90"/>
    <w:rsid w:val="00AB7449"/>
    <w:rsid w:val="00AE4AA5"/>
    <w:rsid w:val="00AE7FA9"/>
    <w:rsid w:val="00B147EB"/>
    <w:rsid w:val="00B1481A"/>
    <w:rsid w:val="00B22155"/>
    <w:rsid w:val="00B362E2"/>
    <w:rsid w:val="00B46CDD"/>
    <w:rsid w:val="00B76AA9"/>
    <w:rsid w:val="00B80FAB"/>
    <w:rsid w:val="00B81C88"/>
    <w:rsid w:val="00BA5C83"/>
    <w:rsid w:val="00BC6A7D"/>
    <w:rsid w:val="00BD4829"/>
    <w:rsid w:val="00BD6002"/>
    <w:rsid w:val="00BD719F"/>
    <w:rsid w:val="00BF5442"/>
    <w:rsid w:val="00C177A5"/>
    <w:rsid w:val="00C35FEE"/>
    <w:rsid w:val="00C50535"/>
    <w:rsid w:val="00C6153C"/>
    <w:rsid w:val="00C906EF"/>
    <w:rsid w:val="00CB476B"/>
    <w:rsid w:val="00CC7D74"/>
    <w:rsid w:val="00CD4D17"/>
    <w:rsid w:val="00CE53CD"/>
    <w:rsid w:val="00CE6D5F"/>
    <w:rsid w:val="00D02F97"/>
    <w:rsid w:val="00D1065D"/>
    <w:rsid w:val="00D45530"/>
    <w:rsid w:val="00D45A0E"/>
    <w:rsid w:val="00D45D23"/>
    <w:rsid w:val="00D723D1"/>
    <w:rsid w:val="00D80C60"/>
    <w:rsid w:val="00D8525F"/>
    <w:rsid w:val="00D93222"/>
    <w:rsid w:val="00D9476B"/>
    <w:rsid w:val="00DA0C4D"/>
    <w:rsid w:val="00DA103F"/>
    <w:rsid w:val="00DA5DA7"/>
    <w:rsid w:val="00DA7F38"/>
    <w:rsid w:val="00DE3935"/>
    <w:rsid w:val="00DE6B32"/>
    <w:rsid w:val="00DF26B8"/>
    <w:rsid w:val="00E12C68"/>
    <w:rsid w:val="00E2325B"/>
    <w:rsid w:val="00E24075"/>
    <w:rsid w:val="00E270C9"/>
    <w:rsid w:val="00E35F38"/>
    <w:rsid w:val="00E46F27"/>
    <w:rsid w:val="00E509CC"/>
    <w:rsid w:val="00E56DC0"/>
    <w:rsid w:val="00E71A04"/>
    <w:rsid w:val="00E90DA6"/>
    <w:rsid w:val="00E96342"/>
    <w:rsid w:val="00EA1A83"/>
    <w:rsid w:val="00EA2FEA"/>
    <w:rsid w:val="00EA56CB"/>
    <w:rsid w:val="00EA7853"/>
    <w:rsid w:val="00EB05F4"/>
    <w:rsid w:val="00EB5DE5"/>
    <w:rsid w:val="00EC3218"/>
    <w:rsid w:val="00EE1512"/>
    <w:rsid w:val="00F000B1"/>
    <w:rsid w:val="00F012D3"/>
    <w:rsid w:val="00F044C3"/>
    <w:rsid w:val="00F10D04"/>
    <w:rsid w:val="00F11EC2"/>
    <w:rsid w:val="00F169E3"/>
    <w:rsid w:val="00F35D4B"/>
    <w:rsid w:val="00F3746B"/>
    <w:rsid w:val="00F572CB"/>
    <w:rsid w:val="00F621AF"/>
    <w:rsid w:val="00F8024E"/>
    <w:rsid w:val="00F82447"/>
    <w:rsid w:val="00F868E5"/>
    <w:rsid w:val="00FB2F32"/>
    <w:rsid w:val="00FC3191"/>
    <w:rsid w:val="00FE0F1F"/>
    <w:rsid w:val="00FF0B38"/>
    <w:rsid w:val="00FF61F3"/>
    <w:rsid w:val="03B629A7"/>
    <w:rsid w:val="04194CE4"/>
    <w:rsid w:val="06E167E8"/>
    <w:rsid w:val="09316744"/>
    <w:rsid w:val="0A214432"/>
    <w:rsid w:val="121340A3"/>
    <w:rsid w:val="140D7CA6"/>
    <w:rsid w:val="163065E9"/>
    <w:rsid w:val="19101B98"/>
    <w:rsid w:val="1D3950A7"/>
    <w:rsid w:val="23A30A30"/>
    <w:rsid w:val="2513335E"/>
    <w:rsid w:val="25333A00"/>
    <w:rsid w:val="27733670"/>
    <w:rsid w:val="27846795"/>
    <w:rsid w:val="28315B47"/>
    <w:rsid w:val="2E69657A"/>
    <w:rsid w:val="2E870919"/>
    <w:rsid w:val="2FA753B2"/>
    <w:rsid w:val="36BF0635"/>
    <w:rsid w:val="376B1D22"/>
    <w:rsid w:val="38455ACD"/>
    <w:rsid w:val="40D34DDC"/>
    <w:rsid w:val="430C7F46"/>
    <w:rsid w:val="443E544F"/>
    <w:rsid w:val="46406CAE"/>
    <w:rsid w:val="4830496F"/>
    <w:rsid w:val="483B47F6"/>
    <w:rsid w:val="4CEA2060"/>
    <w:rsid w:val="518F170F"/>
    <w:rsid w:val="53366649"/>
    <w:rsid w:val="5BD82630"/>
    <w:rsid w:val="5D5C103F"/>
    <w:rsid w:val="5DA26CBB"/>
    <w:rsid w:val="61F97F7A"/>
    <w:rsid w:val="6DE50BDD"/>
    <w:rsid w:val="72F95449"/>
    <w:rsid w:val="747607E0"/>
    <w:rsid w:val="74FA31C0"/>
    <w:rsid w:val="7D663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customStyle="1" w:styleId="10">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1">
    <w:name w:val="单元格样式5"/>
    <w:basedOn w:val="1"/>
    <w:autoRedefine/>
    <w:qFormat/>
    <w:uiPriority w:val="0"/>
    <w:pPr>
      <w:widowControl/>
      <w:jc w:val="left"/>
    </w:pPr>
    <w:rPr>
      <w:rFonts w:ascii="方正书宋_GBK" w:hAnsi="方正书宋_GBK" w:eastAsia="方正书宋_GBK" w:cs="方正书宋_GBK"/>
      <w:b/>
      <w:kern w:val="0"/>
      <w:szCs w:val="24"/>
      <w:lang w:eastAsia="uk-UA"/>
    </w:rPr>
  </w:style>
  <w:style w:type="paragraph" w:customStyle="1" w:styleId="12">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3">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4">
    <w:name w:val="单元格样式3"/>
    <w:basedOn w:val="1"/>
    <w:autoRedefine/>
    <w:qFormat/>
    <w:uiPriority w:val="0"/>
    <w:pPr>
      <w:widowControl/>
      <w:jc w:val="center"/>
    </w:pPr>
    <w:rPr>
      <w:rFonts w:ascii="方正书宋_GBK" w:hAnsi="方正书宋_GBK" w:eastAsia="方正书宋_GBK" w:cs="方正书宋_GBK"/>
      <w:kern w:val="0"/>
      <w:szCs w:val="24"/>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01684-4162-4753-BB0C-6D096270D26A}">
  <ds:schemaRefs/>
</ds:datastoreItem>
</file>

<file path=docProps/app.xml><?xml version="1.0" encoding="utf-8"?>
<Properties xmlns="http://schemas.openxmlformats.org/officeDocument/2006/extended-properties" xmlns:vt="http://schemas.openxmlformats.org/officeDocument/2006/docPropsVTypes">
  <Template>Normal</Template>
  <Pages>19</Pages>
  <Words>6743</Words>
  <Characters>7558</Characters>
  <Lines>57</Lines>
  <Paragraphs>16</Paragraphs>
  <TotalTime>1</TotalTime>
  <ScaleCrop>false</ScaleCrop>
  <LinksUpToDate>false</LinksUpToDate>
  <CharactersWithSpaces>7685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Nancy</cp:lastModifiedBy>
  <cp:lastPrinted>2021-04-14T02:06:00Z</cp:lastPrinted>
  <dcterms:modified xsi:type="dcterms:W3CDTF">2025-04-14T07:02:36Z</dcterms:modified>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897C26FF12D047BDA9ADE8F354481690_13</vt:lpwstr>
  </property>
  <property fmtid="{D5CDD505-2E9C-101B-9397-08002B2CF9AE}" pid="4" name="KSOTemplateDocerSaveRecord">
    <vt:lpwstr>eyJoZGlkIjoiYTUxMjE0NGUwNzYyMjQ3YTcxM2YxMWU5ZmRkOTYxZWQiLCJ1c2VySWQiOiIxMjczNzE4NDgwIn0=</vt:lpwstr>
  </property>
</Properties>
</file>