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document.xml" ContentType="application/vnd.openxmlformats-officedocument.wordprocessingml.document.main+xml"/>
  <Override PartName="/word/drawings/drawing1.xml" ContentType="application/vnd.openxmlformats-officedocument.drawingml.chartshapes+xml"/>
  <Override PartName="/word/drawings/drawing2.xml" ContentType="application/vnd.openxmlformats-officedocument.drawingml.chartshap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CD72F4">
      <w:pPr>
        <w:widowControl w:val="0"/>
        <w:adjustRightInd/>
        <w:snapToGrid/>
        <w:spacing w:after="0" w:line="580" w:lineRule="exact"/>
        <w:jc w:val="center"/>
        <w:rPr>
          <w:rFonts w:hint="eastAsia" w:asciiTheme="majorEastAsia" w:hAnsiTheme="majorEastAsia" w:eastAsiaTheme="majorEastAsia" w:cstheme="majorEastAsia"/>
          <w:b/>
          <w:kern w:val="2"/>
          <w:sz w:val="44"/>
          <w:szCs w:val="44"/>
        </w:rPr>
      </w:pPr>
    </w:p>
    <w:p w14:paraId="0EDBC686">
      <w:pPr>
        <w:widowControl w:val="0"/>
        <w:adjustRightInd/>
        <w:snapToGrid/>
        <w:spacing w:after="0" w:line="580" w:lineRule="exact"/>
        <w:jc w:val="center"/>
        <w:rPr>
          <w:rFonts w:hint="eastAsia" w:asciiTheme="majorEastAsia" w:hAnsiTheme="majorEastAsia" w:eastAsiaTheme="majorEastAsia" w:cstheme="majorEastAsia"/>
          <w:b/>
          <w:kern w:val="2"/>
          <w:sz w:val="44"/>
          <w:szCs w:val="44"/>
        </w:rPr>
      </w:pPr>
    </w:p>
    <w:p w14:paraId="20FB8C36">
      <w:pPr>
        <w:widowControl w:val="0"/>
        <w:adjustRightInd/>
        <w:snapToGrid/>
        <w:spacing w:after="0" w:line="580" w:lineRule="exact"/>
        <w:jc w:val="center"/>
        <w:rPr>
          <w:rFonts w:hint="eastAsia" w:asciiTheme="majorEastAsia" w:hAnsiTheme="majorEastAsia" w:eastAsiaTheme="majorEastAsia" w:cstheme="majorEastAsia"/>
          <w:b/>
          <w:kern w:val="2"/>
          <w:sz w:val="44"/>
          <w:szCs w:val="44"/>
        </w:rPr>
      </w:pPr>
    </w:p>
    <w:p w14:paraId="480CC7D5">
      <w:pPr>
        <w:widowControl w:val="0"/>
        <w:adjustRightInd/>
        <w:snapToGrid/>
        <w:spacing w:after="0" w:line="580" w:lineRule="exact"/>
        <w:jc w:val="center"/>
        <w:rPr>
          <w:rFonts w:asciiTheme="majorEastAsia" w:hAnsiTheme="majorEastAsia" w:eastAsiaTheme="majorEastAsia" w:cstheme="majorEastAsia"/>
          <w:b/>
          <w:kern w:val="2"/>
          <w:sz w:val="44"/>
          <w:szCs w:val="44"/>
        </w:rPr>
      </w:pPr>
      <w:r>
        <w:rPr>
          <w:rFonts w:hint="eastAsia" w:asciiTheme="majorEastAsia" w:hAnsiTheme="majorEastAsia" w:eastAsiaTheme="majorEastAsia" w:cstheme="majorEastAsia"/>
          <w:b/>
          <w:kern w:val="2"/>
          <w:sz w:val="44"/>
          <w:szCs w:val="44"/>
        </w:rPr>
        <w:t>保定市徐水</w:t>
      </w:r>
      <w:r>
        <w:rPr>
          <w:rFonts w:hint="eastAsia" w:asciiTheme="majorEastAsia" w:hAnsiTheme="majorEastAsia" w:eastAsiaTheme="majorEastAsia" w:cstheme="majorEastAsia"/>
          <w:b/>
          <w:kern w:val="2"/>
          <w:sz w:val="44"/>
          <w:szCs w:val="44"/>
          <w:lang w:eastAsia="zh-CN"/>
        </w:rPr>
        <w:t>区政法委</w:t>
      </w:r>
      <w:r>
        <w:rPr>
          <w:rFonts w:hint="eastAsia" w:asciiTheme="majorEastAsia" w:hAnsiTheme="majorEastAsia" w:eastAsiaTheme="majorEastAsia" w:cstheme="majorEastAsia"/>
          <w:b/>
          <w:kern w:val="2"/>
          <w:sz w:val="44"/>
          <w:szCs w:val="44"/>
        </w:rPr>
        <w:t>202</w:t>
      </w:r>
      <w:r>
        <w:rPr>
          <w:rFonts w:asciiTheme="majorEastAsia" w:hAnsiTheme="majorEastAsia" w:eastAsiaTheme="majorEastAsia" w:cstheme="majorEastAsia"/>
          <w:b/>
          <w:kern w:val="2"/>
          <w:sz w:val="44"/>
          <w:szCs w:val="44"/>
        </w:rPr>
        <w:t>1</w:t>
      </w:r>
      <w:r>
        <w:rPr>
          <w:rFonts w:hint="eastAsia" w:asciiTheme="majorEastAsia" w:hAnsiTheme="majorEastAsia" w:eastAsiaTheme="majorEastAsia" w:cstheme="majorEastAsia"/>
          <w:b/>
          <w:kern w:val="2"/>
          <w:sz w:val="44"/>
          <w:szCs w:val="44"/>
        </w:rPr>
        <w:t>年部门</w:t>
      </w:r>
    </w:p>
    <w:p w14:paraId="17133CF5">
      <w:pPr>
        <w:widowControl w:val="0"/>
        <w:adjustRightInd/>
        <w:snapToGrid/>
        <w:spacing w:after="0" w:line="580" w:lineRule="exact"/>
        <w:jc w:val="center"/>
        <w:rPr>
          <w:rFonts w:ascii="黑体" w:hAnsi="黑体" w:eastAsia="黑体" w:cs="Times New Roman"/>
          <w:bCs/>
          <w:kern w:val="2"/>
          <w:sz w:val="48"/>
          <w:szCs w:val="48"/>
        </w:rPr>
      </w:pPr>
      <w:r>
        <w:rPr>
          <w:rFonts w:hint="eastAsia" w:asciiTheme="majorEastAsia" w:hAnsiTheme="majorEastAsia" w:eastAsiaTheme="majorEastAsia" w:cstheme="majorEastAsia"/>
          <w:b/>
          <w:kern w:val="2"/>
          <w:sz w:val="44"/>
          <w:szCs w:val="44"/>
        </w:rPr>
        <w:t>整体支出绩效评价自评报告</w:t>
      </w:r>
    </w:p>
    <w:p w14:paraId="61B81230">
      <w:pPr>
        <w:widowControl w:val="0"/>
        <w:adjustRightInd/>
        <w:snapToGrid/>
        <w:spacing w:after="0" w:line="540" w:lineRule="exact"/>
        <w:ind w:firstLine="1440" w:firstLineChars="200"/>
        <w:jc w:val="both"/>
        <w:rPr>
          <w:rFonts w:ascii="Times New Roman" w:hAnsi="Times New Roman" w:eastAsia="宋体" w:cs="Times New Roman"/>
          <w:bCs/>
          <w:kern w:val="2"/>
          <w:sz w:val="72"/>
          <w:szCs w:val="24"/>
        </w:rPr>
      </w:pPr>
    </w:p>
    <w:p w14:paraId="03AEC74A">
      <w:pPr>
        <w:widowControl w:val="0"/>
        <w:adjustRightInd/>
        <w:snapToGrid/>
        <w:spacing w:after="0" w:line="540" w:lineRule="exact"/>
        <w:ind w:firstLine="1440" w:firstLineChars="200"/>
        <w:jc w:val="both"/>
        <w:rPr>
          <w:rFonts w:ascii="Times New Roman" w:hAnsi="Times New Roman" w:eastAsia="宋体" w:cs="Times New Roman"/>
          <w:bCs/>
          <w:kern w:val="2"/>
          <w:sz w:val="72"/>
          <w:szCs w:val="24"/>
        </w:rPr>
      </w:pPr>
    </w:p>
    <w:p w14:paraId="01C7F438">
      <w:pPr>
        <w:widowControl w:val="0"/>
        <w:adjustRightInd/>
        <w:snapToGrid/>
        <w:spacing w:after="0" w:line="540" w:lineRule="exact"/>
        <w:ind w:firstLine="1440" w:firstLineChars="200"/>
        <w:jc w:val="both"/>
        <w:rPr>
          <w:rFonts w:ascii="Times New Roman" w:hAnsi="Times New Roman" w:eastAsia="宋体" w:cs="Times New Roman"/>
          <w:bCs/>
          <w:kern w:val="2"/>
          <w:sz w:val="72"/>
          <w:szCs w:val="24"/>
        </w:rPr>
      </w:pPr>
    </w:p>
    <w:p w14:paraId="39F3F056">
      <w:pPr>
        <w:widowControl w:val="0"/>
        <w:adjustRightInd/>
        <w:snapToGrid/>
        <w:spacing w:after="0" w:line="540" w:lineRule="exact"/>
        <w:ind w:firstLine="1440" w:firstLineChars="200"/>
        <w:jc w:val="both"/>
        <w:rPr>
          <w:rFonts w:ascii="Times New Roman" w:hAnsi="Times New Roman" w:eastAsia="宋体" w:cs="Times New Roman"/>
          <w:bCs/>
          <w:kern w:val="2"/>
          <w:sz w:val="72"/>
          <w:szCs w:val="24"/>
        </w:rPr>
      </w:pPr>
    </w:p>
    <w:p w14:paraId="5762EB94">
      <w:pPr>
        <w:widowControl w:val="0"/>
        <w:adjustRightInd/>
        <w:snapToGrid/>
        <w:spacing w:after="0" w:line="540" w:lineRule="exact"/>
        <w:ind w:firstLine="1440" w:firstLineChars="200"/>
        <w:jc w:val="both"/>
        <w:rPr>
          <w:rFonts w:ascii="Times New Roman" w:hAnsi="Times New Roman" w:eastAsia="宋体" w:cs="Times New Roman"/>
          <w:bCs/>
          <w:kern w:val="2"/>
          <w:sz w:val="72"/>
          <w:szCs w:val="24"/>
        </w:rPr>
      </w:pPr>
    </w:p>
    <w:p w14:paraId="704EA886">
      <w:pPr>
        <w:widowControl w:val="0"/>
        <w:adjustRightInd/>
        <w:snapToGrid/>
        <w:spacing w:after="0" w:line="540" w:lineRule="exact"/>
        <w:ind w:firstLine="1440" w:firstLineChars="200"/>
        <w:jc w:val="both"/>
        <w:rPr>
          <w:rFonts w:ascii="Times New Roman" w:hAnsi="Times New Roman" w:eastAsia="宋体" w:cs="Times New Roman"/>
          <w:bCs/>
          <w:kern w:val="2"/>
          <w:sz w:val="72"/>
          <w:szCs w:val="24"/>
        </w:rPr>
      </w:pPr>
    </w:p>
    <w:p w14:paraId="65DA234D">
      <w:pPr>
        <w:widowControl w:val="0"/>
        <w:adjustRightInd/>
        <w:snapToGrid/>
        <w:spacing w:after="0" w:line="540" w:lineRule="exact"/>
        <w:ind w:firstLine="1440" w:firstLineChars="200"/>
        <w:jc w:val="both"/>
        <w:rPr>
          <w:rFonts w:ascii="Times New Roman" w:hAnsi="Times New Roman" w:eastAsia="宋体" w:cs="Times New Roman"/>
          <w:bCs/>
          <w:kern w:val="2"/>
          <w:sz w:val="72"/>
          <w:szCs w:val="24"/>
        </w:rPr>
      </w:pPr>
    </w:p>
    <w:p w14:paraId="6AF8FF42">
      <w:pPr>
        <w:widowControl w:val="0"/>
        <w:adjustRightInd/>
        <w:snapToGrid/>
        <w:spacing w:after="0" w:line="540" w:lineRule="exact"/>
        <w:ind w:firstLine="1440" w:firstLineChars="200"/>
        <w:jc w:val="both"/>
        <w:rPr>
          <w:rFonts w:ascii="Times New Roman" w:hAnsi="Times New Roman" w:eastAsia="宋体" w:cs="Times New Roman"/>
          <w:bCs/>
          <w:kern w:val="2"/>
          <w:sz w:val="72"/>
          <w:szCs w:val="24"/>
        </w:rPr>
      </w:pPr>
    </w:p>
    <w:p w14:paraId="221B1B29">
      <w:pPr>
        <w:widowControl w:val="0"/>
        <w:adjustRightInd/>
        <w:snapToGrid/>
        <w:spacing w:after="0" w:line="540" w:lineRule="exact"/>
        <w:ind w:firstLine="1440" w:firstLineChars="200"/>
        <w:jc w:val="both"/>
        <w:rPr>
          <w:rFonts w:ascii="Times New Roman" w:hAnsi="Times New Roman" w:eastAsia="宋体" w:cs="Times New Roman"/>
          <w:bCs/>
          <w:kern w:val="2"/>
          <w:sz w:val="72"/>
          <w:szCs w:val="24"/>
        </w:rPr>
      </w:pPr>
    </w:p>
    <w:p w14:paraId="1BD3E57C">
      <w:pPr>
        <w:widowControl w:val="0"/>
        <w:adjustRightInd/>
        <w:snapToGrid/>
        <w:spacing w:after="0" w:line="540" w:lineRule="exact"/>
        <w:ind w:firstLine="1440" w:firstLineChars="200"/>
        <w:jc w:val="both"/>
        <w:rPr>
          <w:rFonts w:ascii="Times New Roman" w:hAnsi="Times New Roman" w:eastAsia="宋体" w:cs="Times New Roman"/>
          <w:bCs/>
          <w:kern w:val="2"/>
          <w:sz w:val="72"/>
          <w:szCs w:val="24"/>
        </w:rPr>
      </w:pPr>
    </w:p>
    <w:p w14:paraId="1C2E4CA6">
      <w:pPr>
        <w:widowControl w:val="0"/>
        <w:adjustRightInd/>
        <w:snapToGrid/>
        <w:spacing w:after="0" w:line="540" w:lineRule="exact"/>
        <w:ind w:firstLine="1440" w:firstLineChars="200"/>
        <w:jc w:val="both"/>
        <w:rPr>
          <w:rFonts w:ascii="Times New Roman" w:hAnsi="Times New Roman" w:eastAsia="宋体" w:cs="Times New Roman"/>
          <w:bCs/>
          <w:kern w:val="2"/>
          <w:sz w:val="72"/>
          <w:szCs w:val="24"/>
        </w:rPr>
      </w:pPr>
    </w:p>
    <w:p w14:paraId="59801B45">
      <w:pPr>
        <w:widowControl w:val="0"/>
        <w:adjustRightInd/>
        <w:snapToGrid/>
        <w:spacing w:after="0" w:line="540" w:lineRule="exact"/>
        <w:ind w:firstLine="1440" w:firstLineChars="200"/>
        <w:jc w:val="both"/>
        <w:rPr>
          <w:rFonts w:ascii="Times New Roman" w:hAnsi="Times New Roman" w:eastAsia="宋体" w:cs="Times New Roman"/>
          <w:bCs/>
          <w:kern w:val="2"/>
          <w:sz w:val="72"/>
          <w:szCs w:val="24"/>
        </w:rPr>
      </w:pPr>
    </w:p>
    <w:p w14:paraId="248C93FE">
      <w:pPr>
        <w:widowControl w:val="0"/>
        <w:adjustRightInd/>
        <w:snapToGrid/>
        <w:spacing w:after="0" w:line="540" w:lineRule="exact"/>
        <w:ind w:firstLine="1440" w:firstLineChars="200"/>
        <w:jc w:val="both"/>
        <w:rPr>
          <w:rFonts w:ascii="Times New Roman" w:hAnsi="Times New Roman" w:eastAsia="宋体" w:cs="Times New Roman"/>
          <w:bCs/>
          <w:kern w:val="2"/>
          <w:sz w:val="72"/>
          <w:szCs w:val="24"/>
        </w:rPr>
      </w:pPr>
    </w:p>
    <w:p w14:paraId="674C22EA">
      <w:pPr>
        <w:widowControl w:val="0"/>
        <w:adjustRightInd/>
        <w:snapToGrid/>
        <w:spacing w:after="0" w:line="540" w:lineRule="exact"/>
        <w:ind w:firstLine="3240" w:firstLineChars="900"/>
        <w:jc w:val="both"/>
        <w:rPr>
          <w:rFonts w:hint="eastAsia" w:cs="Times New Roman" w:asciiTheme="minorEastAsia" w:hAnsiTheme="minorEastAsia" w:eastAsiaTheme="minorEastAsia"/>
          <w:bCs/>
          <w:kern w:val="2"/>
          <w:sz w:val="36"/>
          <w:szCs w:val="36"/>
        </w:rPr>
      </w:pPr>
    </w:p>
    <w:p w14:paraId="6C218822">
      <w:pPr>
        <w:widowControl w:val="0"/>
        <w:adjustRightInd/>
        <w:snapToGrid/>
        <w:spacing w:after="0" w:line="540" w:lineRule="exact"/>
        <w:ind w:firstLine="3240" w:firstLineChars="900"/>
        <w:jc w:val="both"/>
        <w:rPr>
          <w:rFonts w:hint="eastAsia" w:cs="Times New Roman" w:asciiTheme="minorEastAsia" w:hAnsiTheme="minorEastAsia" w:eastAsiaTheme="minorEastAsia"/>
          <w:bCs/>
          <w:kern w:val="2"/>
          <w:sz w:val="36"/>
          <w:szCs w:val="36"/>
        </w:rPr>
      </w:pPr>
    </w:p>
    <w:p w14:paraId="12E8C9F9">
      <w:pPr>
        <w:widowControl w:val="0"/>
        <w:adjustRightInd/>
        <w:snapToGrid/>
        <w:spacing w:after="0" w:line="540" w:lineRule="exact"/>
        <w:ind w:firstLine="3240" w:firstLineChars="900"/>
        <w:jc w:val="both"/>
        <w:rPr>
          <w:rFonts w:cs="Times New Roman" w:asciiTheme="minorEastAsia" w:hAnsiTheme="minorEastAsia" w:eastAsiaTheme="minorEastAsia"/>
          <w:bCs/>
          <w:kern w:val="2"/>
          <w:sz w:val="36"/>
          <w:szCs w:val="36"/>
        </w:rPr>
      </w:pPr>
      <w:r>
        <w:rPr>
          <w:rFonts w:hint="eastAsia" w:cs="Times New Roman" w:asciiTheme="minorEastAsia" w:hAnsiTheme="minorEastAsia" w:eastAsiaTheme="minorEastAsia"/>
          <w:bCs/>
          <w:kern w:val="2"/>
          <w:sz w:val="36"/>
          <w:szCs w:val="36"/>
        </w:rPr>
        <w:t>20</w:t>
      </w:r>
      <w:r>
        <w:rPr>
          <w:rFonts w:cs="Times New Roman" w:asciiTheme="minorEastAsia" w:hAnsiTheme="minorEastAsia" w:eastAsiaTheme="minorEastAsia"/>
          <w:bCs/>
          <w:kern w:val="2"/>
          <w:sz w:val="36"/>
          <w:szCs w:val="36"/>
        </w:rPr>
        <w:t>22</w:t>
      </w:r>
      <w:r>
        <w:rPr>
          <w:rFonts w:hint="eastAsia" w:cs="Times New Roman" w:asciiTheme="minorEastAsia" w:hAnsiTheme="minorEastAsia" w:eastAsiaTheme="minorEastAsia"/>
          <w:bCs/>
          <w:kern w:val="2"/>
          <w:sz w:val="36"/>
          <w:szCs w:val="36"/>
        </w:rPr>
        <w:t>年</w:t>
      </w:r>
      <w:r>
        <w:rPr>
          <w:rFonts w:hint="default" w:cs="Times New Roman" w:asciiTheme="minorEastAsia" w:hAnsiTheme="minorEastAsia" w:eastAsiaTheme="minorEastAsia"/>
          <w:bCs/>
          <w:kern w:val="2"/>
          <w:sz w:val="36"/>
          <w:szCs w:val="36"/>
          <w:lang w:val="en-US"/>
        </w:rPr>
        <w:t>11</w:t>
      </w:r>
      <w:r>
        <w:rPr>
          <w:rFonts w:hint="eastAsia" w:cs="Times New Roman" w:asciiTheme="minorEastAsia" w:hAnsiTheme="minorEastAsia" w:eastAsiaTheme="minorEastAsia"/>
          <w:bCs/>
          <w:kern w:val="2"/>
          <w:sz w:val="36"/>
          <w:szCs w:val="36"/>
        </w:rPr>
        <w:t>月</w:t>
      </w:r>
    </w:p>
    <w:p w14:paraId="7CD2FB20">
      <w:pPr>
        <w:widowControl w:val="0"/>
        <w:adjustRightInd/>
        <w:snapToGrid/>
        <w:spacing w:after="0" w:line="540" w:lineRule="exact"/>
        <w:ind w:firstLine="1440" w:firstLineChars="200"/>
        <w:jc w:val="both"/>
        <w:rPr>
          <w:rFonts w:ascii="Times New Roman" w:hAnsi="Times New Roman" w:eastAsia="宋体" w:cs="Times New Roman"/>
          <w:bCs/>
          <w:kern w:val="2"/>
          <w:sz w:val="72"/>
          <w:szCs w:val="24"/>
        </w:rPr>
      </w:pPr>
    </w:p>
    <w:p w14:paraId="7BE5FAB5">
      <w:pPr>
        <w:widowControl w:val="0"/>
        <w:adjustRightInd/>
        <w:snapToGrid/>
        <w:spacing w:after="0" w:line="540" w:lineRule="exact"/>
        <w:ind w:firstLine="1440" w:firstLineChars="200"/>
        <w:jc w:val="both"/>
        <w:rPr>
          <w:rFonts w:ascii="Times New Roman" w:hAnsi="Times New Roman" w:eastAsia="宋体" w:cs="Times New Roman"/>
          <w:bCs/>
          <w:kern w:val="2"/>
          <w:sz w:val="72"/>
          <w:szCs w:val="24"/>
        </w:rPr>
      </w:pPr>
    </w:p>
    <w:p w14:paraId="017F65B0">
      <w:pPr>
        <w:widowControl w:val="0"/>
        <w:adjustRightInd/>
        <w:snapToGrid/>
        <w:spacing w:after="0" w:line="540" w:lineRule="exact"/>
        <w:ind w:firstLine="1440" w:firstLineChars="200"/>
        <w:jc w:val="both"/>
        <w:rPr>
          <w:rFonts w:ascii="Times New Roman" w:hAnsi="Times New Roman" w:eastAsia="宋体" w:cs="Times New Roman"/>
          <w:bCs/>
          <w:kern w:val="2"/>
          <w:sz w:val="72"/>
          <w:szCs w:val="24"/>
        </w:rPr>
      </w:pPr>
    </w:p>
    <w:p w14:paraId="570FD876">
      <w:pPr>
        <w:widowControl w:val="0"/>
        <w:adjustRightInd/>
        <w:snapToGrid/>
        <w:spacing w:after="0" w:line="540" w:lineRule="exact"/>
        <w:jc w:val="both"/>
        <w:rPr>
          <w:rFonts w:ascii="Times New Roman" w:hAnsi="Times New Roman" w:eastAsia="宋体" w:cs="Times New Roman"/>
          <w:bCs/>
          <w:kern w:val="2"/>
          <w:sz w:val="72"/>
          <w:szCs w:val="24"/>
        </w:rPr>
      </w:pPr>
    </w:p>
    <w:p w14:paraId="5E2DB32B">
      <w:pPr>
        <w:widowControl w:val="0"/>
        <w:adjustRightInd/>
        <w:snapToGrid/>
        <w:spacing w:after="0" w:line="540" w:lineRule="exact"/>
        <w:ind w:firstLine="1440" w:firstLineChars="200"/>
        <w:jc w:val="both"/>
        <w:rPr>
          <w:rFonts w:ascii="Times New Roman" w:hAnsi="Times New Roman" w:eastAsia="宋体" w:cs="Times New Roman"/>
          <w:bCs/>
          <w:kern w:val="2"/>
          <w:sz w:val="72"/>
          <w:szCs w:val="24"/>
        </w:rPr>
      </w:pPr>
    </w:p>
    <w:sdt>
      <w:sdtPr>
        <w:rPr>
          <w:rFonts w:ascii="Tahoma" w:hAnsi="Tahoma" w:eastAsia="微软雅黑" w:cstheme="minorBidi"/>
          <w:b w:val="0"/>
          <w:bCs w:val="0"/>
          <w:color w:val="auto"/>
          <w:sz w:val="22"/>
          <w:szCs w:val="22"/>
          <w:lang w:val="zh-CN"/>
        </w:rPr>
        <w:id w:val="8905895"/>
        <w:docPartObj>
          <w:docPartGallery w:val="Table of Contents"/>
          <w:docPartUnique/>
        </w:docPartObj>
      </w:sdtPr>
      <w:sdtEndPr>
        <w:rPr>
          <w:rFonts w:ascii="Tahoma" w:hAnsi="Tahoma" w:eastAsia="微软雅黑" w:cstheme="minorBidi"/>
          <w:b w:val="0"/>
          <w:bCs w:val="0"/>
          <w:color w:val="auto"/>
          <w:sz w:val="22"/>
          <w:szCs w:val="22"/>
          <w:lang w:val="en-US"/>
        </w:rPr>
      </w:sdtEndPr>
      <w:sdtContent>
        <w:p w14:paraId="67FF9418">
          <w:pPr>
            <w:pStyle w:val="10"/>
            <w:ind w:firstLine="440" w:firstLineChars="200"/>
            <w:jc w:val="center"/>
            <w:rPr>
              <w:color w:val="auto"/>
              <w:sz w:val="44"/>
              <w:szCs w:val="44"/>
              <w:lang w:val="zh-CN"/>
            </w:rPr>
          </w:pPr>
          <w:r>
            <w:rPr>
              <w:color w:val="auto"/>
              <w:sz w:val="44"/>
              <w:szCs w:val="44"/>
              <w:lang w:val="zh-CN"/>
            </w:rPr>
            <w:t>目</w:t>
          </w:r>
          <w:r>
            <w:rPr>
              <w:rFonts w:hint="eastAsia"/>
              <w:color w:val="auto"/>
              <w:sz w:val="44"/>
              <w:szCs w:val="44"/>
              <w:lang w:val="zh-CN"/>
            </w:rPr>
            <w:t xml:space="preserve">    </w:t>
          </w:r>
          <w:r>
            <w:rPr>
              <w:color w:val="auto"/>
              <w:sz w:val="44"/>
              <w:szCs w:val="44"/>
              <w:lang w:val="zh-CN"/>
            </w:rPr>
            <w:t>录</w:t>
          </w:r>
        </w:p>
        <w:p w14:paraId="31B63E76">
          <w:pPr>
            <w:pStyle w:val="7"/>
            <w:tabs>
              <w:tab w:val="right" w:leader="dot" w:pos="8312"/>
            </w:tabs>
            <w:spacing w:line="312" w:lineRule="auto"/>
            <w:ind w:left="0" w:leftChars="0"/>
            <w:rPr>
              <w:rFonts w:asciiTheme="majorEastAsia" w:hAnsiTheme="majorEastAsia" w:eastAsiaTheme="majorEastAsia" w:cstheme="majorEastAsia"/>
              <w:b/>
              <w:bCs/>
              <w:sz w:val="24"/>
            </w:rPr>
          </w:pP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TOC \o "1-3" \h \z \u </w:instrText>
          </w:r>
          <w:r>
            <w:rPr>
              <w:rFonts w:asciiTheme="minorEastAsia" w:hAnsiTheme="minorEastAsia" w:eastAsiaTheme="minorEastAsia"/>
              <w:sz w:val="24"/>
            </w:rPr>
            <w:fldChar w:fldCharType="separate"/>
          </w:r>
          <w:r>
            <w:fldChar w:fldCharType="begin"/>
          </w:r>
          <w:r>
            <w:instrText xml:space="preserve"> HYPERLINK \l "_Toc25184" </w:instrText>
          </w:r>
          <w:r>
            <w:fldChar w:fldCharType="separate"/>
          </w:r>
          <w:r>
            <w:rPr>
              <w:rFonts w:hint="eastAsia" w:asciiTheme="majorEastAsia" w:hAnsiTheme="majorEastAsia" w:eastAsiaTheme="majorEastAsia" w:cstheme="majorEastAsia"/>
              <w:b/>
              <w:bCs/>
              <w:sz w:val="24"/>
            </w:rPr>
            <w:t>第一部分   摘  要</w:t>
          </w:r>
          <w:r>
            <w:rPr>
              <w:rFonts w:hint="eastAsia" w:asciiTheme="majorEastAsia" w:hAnsiTheme="majorEastAsia" w:eastAsiaTheme="majorEastAsia" w:cstheme="majorEastAsia"/>
              <w:b/>
              <w:bCs/>
              <w:sz w:val="24"/>
            </w:rPr>
            <w:tab/>
          </w:r>
          <w:r>
            <w:rPr>
              <w:rFonts w:hint="eastAsia" w:asciiTheme="majorEastAsia" w:hAnsiTheme="majorEastAsia" w:eastAsiaTheme="majorEastAsia" w:cstheme="majorEastAsia"/>
              <w:b/>
              <w:bCs/>
              <w:sz w:val="24"/>
            </w:rPr>
            <w:fldChar w:fldCharType="begin"/>
          </w:r>
          <w:r>
            <w:rPr>
              <w:rFonts w:hint="eastAsia" w:asciiTheme="majorEastAsia" w:hAnsiTheme="majorEastAsia" w:eastAsiaTheme="majorEastAsia" w:cstheme="majorEastAsia"/>
              <w:b/>
              <w:bCs/>
              <w:sz w:val="24"/>
            </w:rPr>
            <w:instrText xml:space="preserve"> PAGEREF _Toc25184 </w:instrText>
          </w:r>
          <w:r>
            <w:rPr>
              <w:rFonts w:hint="eastAsia" w:asciiTheme="majorEastAsia" w:hAnsiTheme="majorEastAsia" w:eastAsiaTheme="majorEastAsia" w:cstheme="majorEastAsia"/>
              <w:b/>
              <w:bCs/>
              <w:sz w:val="24"/>
            </w:rPr>
            <w:fldChar w:fldCharType="separate"/>
          </w:r>
          <w:r>
            <w:rPr>
              <w:rFonts w:hint="eastAsia" w:asciiTheme="majorEastAsia" w:hAnsiTheme="majorEastAsia" w:eastAsiaTheme="majorEastAsia" w:cstheme="majorEastAsia"/>
              <w:b/>
              <w:bCs/>
              <w:sz w:val="24"/>
            </w:rPr>
            <w:t>1</w:t>
          </w:r>
          <w:r>
            <w:rPr>
              <w:rFonts w:hint="eastAsia" w:asciiTheme="majorEastAsia" w:hAnsiTheme="majorEastAsia" w:eastAsiaTheme="majorEastAsia" w:cstheme="majorEastAsia"/>
              <w:b/>
              <w:bCs/>
              <w:sz w:val="24"/>
            </w:rPr>
            <w:fldChar w:fldCharType="end"/>
          </w:r>
          <w:r>
            <w:rPr>
              <w:rFonts w:hint="eastAsia" w:asciiTheme="majorEastAsia" w:hAnsiTheme="majorEastAsia" w:eastAsiaTheme="majorEastAsia" w:cstheme="majorEastAsia"/>
              <w:b/>
              <w:bCs/>
              <w:sz w:val="24"/>
            </w:rPr>
            <w:fldChar w:fldCharType="end"/>
          </w:r>
        </w:p>
        <w:p w14:paraId="1ED994E5">
          <w:pPr>
            <w:pStyle w:val="7"/>
            <w:tabs>
              <w:tab w:val="right" w:leader="dot" w:pos="8312"/>
            </w:tabs>
            <w:spacing w:line="312" w:lineRule="auto"/>
            <w:ind w:left="0" w:leftChars="0"/>
            <w:rPr>
              <w:rFonts w:asciiTheme="majorEastAsia" w:hAnsiTheme="majorEastAsia" w:eastAsiaTheme="majorEastAsia" w:cstheme="majorEastAsia"/>
              <w:sz w:val="24"/>
            </w:rPr>
          </w:pPr>
          <w:r>
            <w:fldChar w:fldCharType="begin"/>
          </w:r>
          <w:r>
            <w:instrText xml:space="preserve"> HYPERLINK \l "_Toc4346" </w:instrText>
          </w:r>
          <w:r>
            <w:fldChar w:fldCharType="separate"/>
          </w:r>
          <w:r>
            <w:rPr>
              <w:rFonts w:hint="eastAsia" w:asciiTheme="majorEastAsia" w:hAnsiTheme="majorEastAsia" w:eastAsiaTheme="majorEastAsia" w:cstheme="majorEastAsia"/>
              <w:b/>
              <w:bCs/>
              <w:sz w:val="24"/>
            </w:rPr>
            <w:t>第二部分   绩效评价报告</w:t>
          </w:r>
          <w:r>
            <w:rPr>
              <w:rFonts w:hint="eastAsia" w:asciiTheme="majorEastAsia" w:hAnsiTheme="majorEastAsia" w:eastAsiaTheme="majorEastAsia" w:cstheme="majorEastAsia"/>
              <w:b/>
              <w:bCs/>
              <w:sz w:val="24"/>
            </w:rPr>
            <w:tab/>
          </w:r>
          <w:r>
            <w:rPr>
              <w:rFonts w:hint="default" w:asciiTheme="majorEastAsia" w:hAnsiTheme="majorEastAsia" w:eastAsiaTheme="majorEastAsia" w:cstheme="majorEastAsia"/>
              <w:b/>
              <w:bCs/>
              <w:sz w:val="24"/>
              <w:lang w:val="en-US"/>
            </w:rPr>
            <w:t>7</w:t>
          </w:r>
          <w:r>
            <w:rPr>
              <w:rFonts w:hint="eastAsia" w:asciiTheme="majorEastAsia" w:hAnsiTheme="majorEastAsia" w:eastAsiaTheme="majorEastAsia" w:cstheme="majorEastAsia"/>
              <w:b/>
              <w:bCs/>
              <w:sz w:val="24"/>
            </w:rPr>
            <w:fldChar w:fldCharType="end"/>
          </w:r>
        </w:p>
        <w:p w14:paraId="6CE28CFC">
          <w:pPr>
            <w:pStyle w:val="7"/>
            <w:tabs>
              <w:tab w:val="right" w:leader="dot" w:pos="8312"/>
            </w:tabs>
            <w:spacing w:line="312" w:lineRule="auto"/>
            <w:ind w:left="0" w:leftChars="0"/>
            <w:rPr>
              <w:rFonts w:asciiTheme="majorEastAsia" w:hAnsiTheme="majorEastAsia" w:eastAsiaTheme="majorEastAsia" w:cstheme="majorEastAsia"/>
              <w:b/>
              <w:bCs/>
              <w:sz w:val="24"/>
            </w:rPr>
          </w:pPr>
          <w:r>
            <w:fldChar w:fldCharType="begin"/>
          </w:r>
          <w:r>
            <w:instrText xml:space="preserve"> HYPERLINK \l "_Toc427" </w:instrText>
          </w:r>
          <w:r>
            <w:fldChar w:fldCharType="separate"/>
          </w:r>
          <w:r>
            <w:rPr>
              <w:rFonts w:hint="eastAsia" w:asciiTheme="majorEastAsia" w:hAnsiTheme="majorEastAsia" w:eastAsiaTheme="majorEastAsia" w:cstheme="majorEastAsia"/>
              <w:b/>
              <w:bCs/>
              <w:sz w:val="24"/>
            </w:rPr>
            <w:t>一、保定市徐水区</w:t>
          </w:r>
          <w:r>
            <w:rPr>
              <w:rFonts w:hint="eastAsia" w:asciiTheme="majorEastAsia" w:hAnsiTheme="majorEastAsia" w:eastAsiaTheme="majorEastAsia" w:cstheme="majorEastAsia"/>
              <w:b/>
              <w:bCs/>
              <w:sz w:val="24"/>
              <w:lang w:eastAsia="zh-CN"/>
            </w:rPr>
            <w:t>委政法委</w:t>
          </w:r>
          <w:r>
            <w:rPr>
              <w:rFonts w:hint="eastAsia" w:asciiTheme="majorEastAsia" w:hAnsiTheme="majorEastAsia" w:eastAsiaTheme="majorEastAsia" w:cstheme="majorEastAsia"/>
              <w:b/>
              <w:bCs/>
              <w:sz w:val="24"/>
            </w:rPr>
            <w:t>基本情况</w:t>
          </w:r>
          <w:r>
            <w:rPr>
              <w:rFonts w:hint="eastAsia" w:asciiTheme="majorEastAsia" w:hAnsiTheme="majorEastAsia" w:eastAsiaTheme="majorEastAsia" w:cstheme="majorEastAsia"/>
              <w:b/>
              <w:bCs/>
              <w:sz w:val="24"/>
            </w:rPr>
            <w:tab/>
          </w:r>
          <w:r>
            <w:rPr>
              <w:rFonts w:hint="default" w:asciiTheme="majorEastAsia" w:hAnsiTheme="majorEastAsia" w:eastAsiaTheme="majorEastAsia" w:cstheme="majorEastAsia"/>
              <w:b/>
              <w:bCs/>
              <w:sz w:val="24"/>
              <w:lang w:val="en-US"/>
            </w:rPr>
            <w:t>7</w:t>
          </w:r>
          <w:r>
            <w:rPr>
              <w:rFonts w:hint="eastAsia" w:asciiTheme="majorEastAsia" w:hAnsiTheme="majorEastAsia" w:eastAsiaTheme="majorEastAsia" w:cstheme="majorEastAsia"/>
              <w:b/>
              <w:bCs/>
              <w:sz w:val="24"/>
            </w:rPr>
            <w:fldChar w:fldCharType="end"/>
          </w:r>
        </w:p>
        <w:p w14:paraId="474C3C9C">
          <w:pPr>
            <w:pStyle w:val="5"/>
            <w:tabs>
              <w:tab w:val="right" w:leader="dot" w:pos="8312"/>
            </w:tabs>
            <w:spacing w:line="312" w:lineRule="auto"/>
            <w:ind w:left="0" w:leftChars="0" w:firstLine="280" w:firstLineChars="100"/>
            <w:rPr>
              <w:rFonts w:asciiTheme="majorEastAsia" w:hAnsiTheme="majorEastAsia" w:eastAsiaTheme="majorEastAsia" w:cstheme="majorEastAsia"/>
              <w:sz w:val="24"/>
            </w:rPr>
          </w:pPr>
          <w:r>
            <w:fldChar w:fldCharType="begin"/>
          </w:r>
          <w:r>
            <w:instrText xml:space="preserve"> HYPERLINK \l "_Toc11473" </w:instrText>
          </w:r>
          <w:r>
            <w:fldChar w:fldCharType="separate"/>
          </w:r>
          <w:r>
            <w:rPr>
              <w:rFonts w:hint="eastAsia" w:asciiTheme="majorEastAsia" w:hAnsiTheme="majorEastAsia" w:eastAsiaTheme="majorEastAsia" w:cstheme="majorEastAsia"/>
              <w:sz w:val="24"/>
            </w:rPr>
            <w:t>（一）部门职责和工作活动</w:t>
          </w:r>
          <w:r>
            <w:rPr>
              <w:rFonts w:hint="eastAsia" w:asciiTheme="majorEastAsia" w:hAnsiTheme="majorEastAsia" w:eastAsiaTheme="majorEastAsia" w:cstheme="majorEastAsia"/>
              <w:sz w:val="24"/>
            </w:rPr>
            <w:tab/>
          </w:r>
          <w:r>
            <w:rPr>
              <w:rFonts w:hint="default" w:asciiTheme="majorEastAsia" w:hAnsiTheme="majorEastAsia" w:eastAsiaTheme="majorEastAsia" w:cstheme="majorEastAsia"/>
              <w:sz w:val="24"/>
              <w:lang w:val="en-US"/>
            </w:rPr>
            <w:t>7</w:t>
          </w:r>
          <w:r>
            <w:rPr>
              <w:rFonts w:hint="eastAsia" w:asciiTheme="majorEastAsia" w:hAnsiTheme="majorEastAsia" w:eastAsiaTheme="majorEastAsia" w:cstheme="majorEastAsia"/>
              <w:sz w:val="24"/>
            </w:rPr>
            <w:fldChar w:fldCharType="end"/>
          </w:r>
        </w:p>
        <w:p w14:paraId="499BB9B9">
          <w:pPr>
            <w:pStyle w:val="5"/>
            <w:tabs>
              <w:tab w:val="right" w:leader="dot" w:pos="8312"/>
            </w:tabs>
            <w:spacing w:line="312" w:lineRule="auto"/>
            <w:ind w:left="0" w:leftChars="0" w:firstLine="280" w:firstLineChars="100"/>
            <w:rPr>
              <w:rFonts w:asciiTheme="majorEastAsia" w:hAnsiTheme="majorEastAsia" w:eastAsiaTheme="majorEastAsia" w:cstheme="majorEastAsia"/>
              <w:sz w:val="24"/>
            </w:rPr>
          </w:pPr>
          <w:r>
            <w:fldChar w:fldCharType="begin"/>
          </w:r>
          <w:r>
            <w:instrText xml:space="preserve"> HYPERLINK \l "_Toc7075" </w:instrText>
          </w:r>
          <w:r>
            <w:fldChar w:fldCharType="separate"/>
          </w:r>
          <w:r>
            <w:rPr>
              <w:rFonts w:hint="eastAsia" w:asciiTheme="majorEastAsia" w:hAnsiTheme="majorEastAsia" w:eastAsiaTheme="majorEastAsia" w:cstheme="majorEastAsia"/>
              <w:sz w:val="24"/>
            </w:rPr>
            <w:t>（二）部门年度发展规划总体目标和职责分类绩效目标</w:t>
          </w:r>
          <w:r>
            <w:rPr>
              <w:rFonts w:hint="eastAsia" w:asciiTheme="majorEastAsia" w:hAnsiTheme="majorEastAsia" w:eastAsiaTheme="majorEastAsia" w:cstheme="majorEastAsia"/>
              <w:sz w:val="24"/>
            </w:rPr>
            <w:tab/>
          </w:r>
          <w:r>
            <w:rPr>
              <w:rFonts w:hint="default" w:asciiTheme="majorEastAsia" w:hAnsiTheme="majorEastAsia" w:eastAsiaTheme="majorEastAsia" w:cstheme="majorEastAsia"/>
              <w:sz w:val="24"/>
              <w:lang w:val="en-US"/>
            </w:rPr>
            <w:t>7</w:t>
          </w:r>
          <w:r>
            <w:rPr>
              <w:rFonts w:hint="eastAsia" w:asciiTheme="majorEastAsia" w:hAnsiTheme="majorEastAsia" w:eastAsiaTheme="majorEastAsia" w:cstheme="majorEastAsia"/>
              <w:sz w:val="24"/>
            </w:rPr>
            <w:fldChar w:fldCharType="end"/>
          </w:r>
        </w:p>
        <w:p w14:paraId="6E582634">
          <w:pPr>
            <w:pStyle w:val="5"/>
            <w:tabs>
              <w:tab w:val="right" w:leader="dot" w:pos="8312"/>
            </w:tabs>
            <w:spacing w:line="312" w:lineRule="auto"/>
            <w:ind w:left="0" w:leftChars="0" w:firstLine="280" w:firstLineChars="100"/>
            <w:rPr>
              <w:rFonts w:asciiTheme="majorEastAsia" w:hAnsiTheme="majorEastAsia" w:eastAsiaTheme="majorEastAsia" w:cstheme="majorEastAsia"/>
              <w:sz w:val="24"/>
            </w:rPr>
          </w:pPr>
          <w:r>
            <w:fldChar w:fldCharType="begin"/>
          </w:r>
          <w:r>
            <w:instrText xml:space="preserve"> HYPERLINK \l "_Toc1678" </w:instrText>
          </w:r>
          <w:r>
            <w:fldChar w:fldCharType="separate"/>
          </w:r>
          <w:r>
            <w:rPr>
              <w:rFonts w:hint="eastAsia" w:asciiTheme="majorEastAsia" w:hAnsiTheme="majorEastAsia" w:eastAsiaTheme="majorEastAsia" w:cstheme="majorEastAsia"/>
              <w:sz w:val="24"/>
            </w:rPr>
            <w:t>（三）部门预算收入及决算收入</w:t>
          </w:r>
          <w:r>
            <w:rPr>
              <w:rFonts w:hint="eastAsia" w:asciiTheme="majorEastAsia" w:hAnsiTheme="majorEastAsia" w:eastAsiaTheme="majorEastAsia" w:cstheme="majorEastAsia"/>
              <w:sz w:val="24"/>
            </w:rPr>
            <w:tab/>
          </w:r>
          <w:r>
            <w:rPr>
              <w:rFonts w:hint="default" w:asciiTheme="majorEastAsia" w:hAnsiTheme="majorEastAsia" w:eastAsiaTheme="majorEastAsia" w:cstheme="majorEastAsia"/>
              <w:sz w:val="24"/>
              <w:lang w:val="en-US"/>
            </w:rPr>
            <w:t>8</w:t>
          </w:r>
          <w:r>
            <w:rPr>
              <w:rFonts w:hint="eastAsia" w:asciiTheme="majorEastAsia" w:hAnsiTheme="majorEastAsia" w:eastAsiaTheme="majorEastAsia" w:cstheme="majorEastAsia"/>
              <w:sz w:val="24"/>
            </w:rPr>
            <w:fldChar w:fldCharType="end"/>
          </w:r>
        </w:p>
        <w:p w14:paraId="33C92DF6">
          <w:pPr>
            <w:pStyle w:val="5"/>
            <w:tabs>
              <w:tab w:val="right" w:leader="dot" w:pos="8312"/>
            </w:tabs>
            <w:spacing w:line="312" w:lineRule="auto"/>
            <w:ind w:left="0" w:leftChars="0" w:firstLine="280" w:firstLineChars="100"/>
            <w:rPr>
              <w:rFonts w:hint="default" w:asciiTheme="majorEastAsia" w:hAnsiTheme="majorEastAsia" w:eastAsiaTheme="majorEastAsia" w:cstheme="majorEastAsia"/>
              <w:sz w:val="24"/>
              <w:lang w:val="en-US"/>
            </w:rPr>
          </w:pPr>
          <w:r>
            <w:fldChar w:fldCharType="begin"/>
          </w:r>
          <w:r>
            <w:instrText xml:space="preserve"> HYPERLINK \l "_Toc18197" </w:instrText>
          </w:r>
          <w:r>
            <w:fldChar w:fldCharType="separate"/>
          </w:r>
          <w:r>
            <w:rPr>
              <w:rFonts w:hint="eastAsia" w:asciiTheme="majorEastAsia" w:hAnsiTheme="majorEastAsia" w:eastAsiaTheme="majorEastAsia" w:cstheme="majorEastAsia"/>
              <w:sz w:val="24"/>
            </w:rPr>
            <w:t>（四）预算支出及决算支出</w:t>
          </w:r>
          <w:r>
            <w:rPr>
              <w:rFonts w:hint="eastAsia" w:asciiTheme="majorEastAsia" w:hAnsiTheme="majorEastAsia" w:eastAsiaTheme="majorEastAsia" w:cstheme="majorEastAsia"/>
              <w:sz w:val="24"/>
            </w:rPr>
            <w:tab/>
          </w:r>
          <w:r>
            <w:rPr>
              <w:rFonts w:hint="default" w:asciiTheme="majorEastAsia" w:hAnsiTheme="majorEastAsia" w:eastAsiaTheme="majorEastAsia" w:cstheme="majorEastAsia"/>
              <w:sz w:val="24"/>
              <w:lang w:val="en-US"/>
            </w:rPr>
            <w:t>1</w:t>
          </w:r>
          <w:r>
            <w:rPr>
              <w:rFonts w:hint="eastAsia" w:asciiTheme="majorEastAsia" w:hAnsiTheme="majorEastAsia" w:eastAsiaTheme="majorEastAsia" w:cstheme="majorEastAsia"/>
              <w:sz w:val="24"/>
            </w:rPr>
            <w:fldChar w:fldCharType="end"/>
          </w:r>
          <w:r>
            <w:rPr>
              <w:rFonts w:hint="default" w:asciiTheme="majorEastAsia" w:hAnsiTheme="majorEastAsia" w:eastAsiaTheme="majorEastAsia" w:cstheme="majorEastAsia"/>
              <w:sz w:val="24"/>
              <w:lang w:val="en-US"/>
            </w:rPr>
            <w:t>0</w:t>
          </w:r>
        </w:p>
        <w:p w14:paraId="6A32F872">
          <w:pPr>
            <w:pStyle w:val="5"/>
            <w:tabs>
              <w:tab w:val="right" w:leader="dot" w:pos="8312"/>
            </w:tabs>
            <w:spacing w:line="312" w:lineRule="auto"/>
            <w:ind w:left="0" w:leftChars="0" w:firstLine="280" w:firstLineChars="100"/>
            <w:rPr>
              <w:rFonts w:hint="default" w:asciiTheme="majorEastAsia" w:hAnsiTheme="majorEastAsia" w:eastAsiaTheme="majorEastAsia" w:cstheme="majorEastAsia"/>
              <w:sz w:val="24"/>
              <w:lang w:val="en-US"/>
            </w:rPr>
          </w:pPr>
          <w:r>
            <w:fldChar w:fldCharType="begin"/>
          </w:r>
          <w:r>
            <w:instrText xml:space="preserve"> HYPERLINK \l "_Toc19291" </w:instrText>
          </w:r>
          <w:r>
            <w:fldChar w:fldCharType="separate"/>
          </w:r>
          <w:r>
            <w:rPr>
              <w:rFonts w:hint="eastAsia" w:asciiTheme="majorEastAsia" w:hAnsiTheme="majorEastAsia" w:eastAsiaTheme="majorEastAsia" w:cstheme="majorEastAsia"/>
              <w:sz w:val="24"/>
            </w:rPr>
            <w:t>（五）“三公”经费预算安排及支出情况</w:t>
          </w:r>
          <w:r>
            <w:rPr>
              <w:rFonts w:hint="eastAsia" w:asciiTheme="majorEastAsia" w:hAnsiTheme="majorEastAsia" w:eastAsiaTheme="majorEastAsia" w:cstheme="majorEastAsia"/>
              <w:sz w:val="24"/>
            </w:rPr>
            <w:tab/>
          </w:r>
          <w:r>
            <w:rPr>
              <w:rFonts w:hint="default" w:asciiTheme="majorEastAsia" w:hAnsiTheme="majorEastAsia" w:eastAsiaTheme="majorEastAsia" w:cstheme="majorEastAsia"/>
              <w:sz w:val="24"/>
              <w:lang w:val="en-US"/>
            </w:rPr>
            <w:t>1</w:t>
          </w:r>
          <w:r>
            <w:rPr>
              <w:rFonts w:hint="eastAsia" w:asciiTheme="majorEastAsia" w:hAnsiTheme="majorEastAsia" w:eastAsiaTheme="majorEastAsia" w:cstheme="majorEastAsia"/>
              <w:sz w:val="24"/>
            </w:rPr>
            <w:fldChar w:fldCharType="end"/>
          </w:r>
          <w:r>
            <w:rPr>
              <w:rFonts w:hint="default" w:asciiTheme="majorEastAsia" w:hAnsiTheme="majorEastAsia" w:eastAsiaTheme="majorEastAsia" w:cstheme="majorEastAsia"/>
              <w:sz w:val="24"/>
              <w:lang w:val="en-US"/>
            </w:rPr>
            <w:t>2</w:t>
          </w:r>
        </w:p>
        <w:p w14:paraId="2CC0EBE4">
          <w:pPr>
            <w:pStyle w:val="7"/>
            <w:tabs>
              <w:tab w:val="right" w:leader="dot" w:pos="8312"/>
            </w:tabs>
            <w:spacing w:line="312" w:lineRule="auto"/>
            <w:ind w:left="0" w:leftChars="0"/>
            <w:rPr>
              <w:rFonts w:asciiTheme="majorEastAsia" w:hAnsiTheme="majorEastAsia" w:eastAsiaTheme="majorEastAsia" w:cstheme="majorEastAsia"/>
              <w:b/>
              <w:bCs/>
              <w:sz w:val="24"/>
            </w:rPr>
          </w:pPr>
          <w:r>
            <w:fldChar w:fldCharType="begin"/>
          </w:r>
          <w:r>
            <w:instrText xml:space="preserve"> HYPERLINK \l "_Toc20454" </w:instrText>
          </w:r>
          <w:r>
            <w:fldChar w:fldCharType="separate"/>
          </w:r>
          <w:r>
            <w:rPr>
              <w:rFonts w:hint="eastAsia" w:asciiTheme="majorEastAsia" w:hAnsiTheme="majorEastAsia" w:eastAsiaTheme="majorEastAsia" w:cstheme="majorEastAsia"/>
              <w:b/>
              <w:bCs/>
              <w:sz w:val="24"/>
            </w:rPr>
            <w:t>二、部门整体支出绩效评价指标体系设定情况</w:t>
          </w:r>
          <w:r>
            <w:rPr>
              <w:rFonts w:hint="eastAsia" w:asciiTheme="majorEastAsia" w:hAnsiTheme="majorEastAsia" w:eastAsiaTheme="majorEastAsia" w:cstheme="majorEastAsia"/>
              <w:b/>
              <w:bCs/>
              <w:sz w:val="24"/>
            </w:rPr>
            <w:tab/>
          </w:r>
          <w:r>
            <w:rPr>
              <w:rFonts w:hint="eastAsia" w:asciiTheme="majorEastAsia" w:hAnsiTheme="majorEastAsia" w:eastAsiaTheme="majorEastAsia" w:cstheme="majorEastAsia"/>
              <w:b/>
              <w:bCs/>
              <w:sz w:val="24"/>
            </w:rPr>
            <w:fldChar w:fldCharType="begin"/>
          </w:r>
          <w:r>
            <w:rPr>
              <w:rFonts w:hint="eastAsia" w:asciiTheme="majorEastAsia" w:hAnsiTheme="majorEastAsia" w:eastAsiaTheme="majorEastAsia" w:cstheme="majorEastAsia"/>
              <w:b/>
              <w:bCs/>
              <w:sz w:val="24"/>
            </w:rPr>
            <w:instrText xml:space="preserve"> PAGEREF _Toc20454 </w:instrText>
          </w:r>
          <w:r>
            <w:rPr>
              <w:rFonts w:hint="eastAsia" w:asciiTheme="majorEastAsia" w:hAnsiTheme="majorEastAsia" w:eastAsiaTheme="majorEastAsia" w:cstheme="majorEastAsia"/>
              <w:b/>
              <w:bCs/>
              <w:sz w:val="24"/>
            </w:rPr>
            <w:fldChar w:fldCharType="separate"/>
          </w:r>
          <w:r>
            <w:rPr>
              <w:rFonts w:hint="eastAsia" w:asciiTheme="majorEastAsia" w:hAnsiTheme="majorEastAsia" w:eastAsiaTheme="majorEastAsia" w:cstheme="majorEastAsia"/>
              <w:b/>
              <w:bCs/>
              <w:sz w:val="24"/>
            </w:rPr>
            <w:t>13</w:t>
          </w:r>
          <w:r>
            <w:rPr>
              <w:rFonts w:hint="eastAsia" w:asciiTheme="majorEastAsia" w:hAnsiTheme="majorEastAsia" w:eastAsiaTheme="majorEastAsia" w:cstheme="majorEastAsia"/>
              <w:b/>
              <w:bCs/>
              <w:sz w:val="24"/>
            </w:rPr>
            <w:fldChar w:fldCharType="end"/>
          </w:r>
          <w:r>
            <w:rPr>
              <w:rFonts w:hint="eastAsia" w:asciiTheme="majorEastAsia" w:hAnsiTheme="majorEastAsia" w:eastAsiaTheme="majorEastAsia" w:cstheme="majorEastAsia"/>
              <w:b/>
              <w:bCs/>
              <w:sz w:val="24"/>
            </w:rPr>
            <w:fldChar w:fldCharType="end"/>
          </w:r>
        </w:p>
        <w:p w14:paraId="1F1D1FA7">
          <w:pPr>
            <w:pStyle w:val="7"/>
            <w:tabs>
              <w:tab w:val="right" w:leader="dot" w:pos="8312"/>
            </w:tabs>
            <w:spacing w:line="312" w:lineRule="auto"/>
            <w:ind w:left="0" w:leftChars="0" w:firstLine="300" w:firstLineChars="100"/>
            <w:rPr>
              <w:rFonts w:asciiTheme="majorEastAsia" w:hAnsiTheme="majorEastAsia" w:eastAsiaTheme="majorEastAsia" w:cstheme="majorEastAsia"/>
              <w:sz w:val="24"/>
            </w:rPr>
          </w:pPr>
          <w:r>
            <w:fldChar w:fldCharType="begin"/>
          </w:r>
          <w:r>
            <w:instrText xml:space="preserve"> HYPERLINK \l "_Toc9569" </w:instrText>
          </w:r>
          <w:r>
            <w:fldChar w:fldCharType="separate"/>
          </w:r>
          <w:r>
            <w:rPr>
              <w:rFonts w:hint="eastAsia" w:asciiTheme="majorEastAsia" w:hAnsiTheme="majorEastAsia" w:eastAsiaTheme="majorEastAsia" w:cstheme="majorEastAsia"/>
              <w:sz w:val="24"/>
            </w:rPr>
            <w:t>（一）投入</w:t>
          </w:r>
          <w:r>
            <w:rPr>
              <w:rFonts w:hint="eastAsia" w:asciiTheme="majorEastAsia" w:hAnsiTheme="majorEastAsia" w:eastAsiaTheme="majorEastAsia" w:cstheme="majorEastAsia"/>
              <w:sz w:val="24"/>
            </w:rPr>
            <w:tab/>
          </w:r>
          <w:r>
            <w:rPr>
              <w:rFonts w:hint="eastAsia" w:asciiTheme="majorEastAsia" w:hAnsiTheme="majorEastAsia" w:eastAsiaTheme="majorEastAsia" w:cstheme="majorEastAsia"/>
              <w:sz w:val="24"/>
            </w:rPr>
            <w:fldChar w:fldCharType="begin"/>
          </w:r>
          <w:r>
            <w:rPr>
              <w:rFonts w:hint="eastAsia" w:asciiTheme="majorEastAsia" w:hAnsiTheme="majorEastAsia" w:eastAsiaTheme="majorEastAsia" w:cstheme="majorEastAsia"/>
              <w:sz w:val="24"/>
            </w:rPr>
            <w:instrText xml:space="preserve"> PAGEREF _Toc9569 </w:instrText>
          </w:r>
          <w:r>
            <w:rPr>
              <w:rFonts w:hint="eastAsia" w:asciiTheme="majorEastAsia" w:hAnsiTheme="majorEastAsia" w:eastAsiaTheme="majorEastAsia" w:cstheme="majorEastAsia"/>
              <w:sz w:val="24"/>
            </w:rPr>
            <w:fldChar w:fldCharType="separate"/>
          </w:r>
          <w:r>
            <w:rPr>
              <w:rFonts w:hint="eastAsia" w:asciiTheme="majorEastAsia" w:hAnsiTheme="majorEastAsia" w:eastAsiaTheme="majorEastAsia" w:cstheme="majorEastAsia"/>
              <w:sz w:val="24"/>
            </w:rPr>
            <w:t>14</w:t>
          </w:r>
          <w:r>
            <w:rPr>
              <w:rFonts w:hint="eastAsia" w:asciiTheme="majorEastAsia" w:hAnsiTheme="majorEastAsia" w:eastAsiaTheme="majorEastAsia" w:cstheme="majorEastAsia"/>
              <w:sz w:val="24"/>
            </w:rPr>
            <w:fldChar w:fldCharType="end"/>
          </w:r>
          <w:r>
            <w:rPr>
              <w:rFonts w:hint="eastAsia" w:asciiTheme="majorEastAsia" w:hAnsiTheme="majorEastAsia" w:eastAsiaTheme="majorEastAsia" w:cstheme="majorEastAsia"/>
              <w:sz w:val="24"/>
            </w:rPr>
            <w:fldChar w:fldCharType="end"/>
          </w:r>
        </w:p>
        <w:p w14:paraId="24F77821">
          <w:pPr>
            <w:pStyle w:val="5"/>
            <w:tabs>
              <w:tab w:val="right" w:leader="dot" w:pos="8312"/>
            </w:tabs>
            <w:spacing w:line="312" w:lineRule="auto"/>
            <w:ind w:left="0" w:leftChars="0" w:firstLine="280" w:firstLineChars="100"/>
            <w:rPr>
              <w:rFonts w:asciiTheme="majorEastAsia" w:hAnsiTheme="majorEastAsia" w:eastAsiaTheme="majorEastAsia" w:cstheme="majorEastAsia"/>
              <w:sz w:val="24"/>
            </w:rPr>
          </w:pPr>
          <w:r>
            <w:fldChar w:fldCharType="begin"/>
          </w:r>
          <w:r>
            <w:instrText xml:space="preserve"> HYPERLINK \l "_Toc30221" </w:instrText>
          </w:r>
          <w:r>
            <w:fldChar w:fldCharType="separate"/>
          </w:r>
          <w:r>
            <w:rPr>
              <w:rFonts w:hint="eastAsia" w:asciiTheme="majorEastAsia" w:hAnsiTheme="majorEastAsia" w:eastAsiaTheme="majorEastAsia" w:cstheme="majorEastAsia"/>
              <w:sz w:val="24"/>
            </w:rPr>
            <w:t>（二）过程</w:t>
          </w:r>
          <w:r>
            <w:rPr>
              <w:rFonts w:hint="eastAsia" w:asciiTheme="majorEastAsia" w:hAnsiTheme="majorEastAsia" w:eastAsiaTheme="majorEastAsia" w:cstheme="majorEastAsia"/>
              <w:sz w:val="24"/>
            </w:rPr>
            <w:tab/>
          </w:r>
          <w:r>
            <w:rPr>
              <w:rFonts w:hint="eastAsia" w:asciiTheme="majorEastAsia" w:hAnsiTheme="majorEastAsia" w:eastAsiaTheme="majorEastAsia" w:cstheme="majorEastAsia"/>
              <w:sz w:val="24"/>
            </w:rPr>
            <w:fldChar w:fldCharType="begin"/>
          </w:r>
          <w:r>
            <w:rPr>
              <w:rFonts w:hint="eastAsia" w:asciiTheme="majorEastAsia" w:hAnsiTheme="majorEastAsia" w:eastAsiaTheme="majorEastAsia" w:cstheme="majorEastAsia"/>
              <w:sz w:val="24"/>
            </w:rPr>
            <w:instrText xml:space="preserve"> PAGEREF _Toc30221 </w:instrText>
          </w:r>
          <w:r>
            <w:rPr>
              <w:rFonts w:hint="eastAsia" w:asciiTheme="majorEastAsia" w:hAnsiTheme="majorEastAsia" w:eastAsiaTheme="majorEastAsia" w:cstheme="majorEastAsia"/>
              <w:sz w:val="24"/>
            </w:rPr>
            <w:fldChar w:fldCharType="separate"/>
          </w:r>
          <w:r>
            <w:rPr>
              <w:rFonts w:hint="eastAsia" w:asciiTheme="majorEastAsia" w:hAnsiTheme="majorEastAsia" w:eastAsiaTheme="majorEastAsia" w:cstheme="majorEastAsia"/>
              <w:sz w:val="24"/>
            </w:rPr>
            <w:t>14</w:t>
          </w:r>
          <w:r>
            <w:rPr>
              <w:rFonts w:hint="eastAsia" w:asciiTheme="majorEastAsia" w:hAnsiTheme="majorEastAsia" w:eastAsiaTheme="majorEastAsia" w:cstheme="majorEastAsia"/>
              <w:sz w:val="24"/>
            </w:rPr>
            <w:fldChar w:fldCharType="end"/>
          </w:r>
          <w:r>
            <w:rPr>
              <w:rFonts w:hint="eastAsia" w:asciiTheme="majorEastAsia" w:hAnsiTheme="majorEastAsia" w:eastAsiaTheme="majorEastAsia" w:cstheme="majorEastAsia"/>
              <w:sz w:val="24"/>
            </w:rPr>
            <w:fldChar w:fldCharType="end"/>
          </w:r>
        </w:p>
        <w:p w14:paraId="01BF4E32">
          <w:pPr>
            <w:pStyle w:val="5"/>
            <w:tabs>
              <w:tab w:val="right" w:leader="dot" w:pos="8312"/>
            </w:tabs>
            <w:spacing w:line="312" w:lineRule="auto"/>
            <w:ind w:left="0" w:leftChars="0" w:firstLine="280" w:firstLineChars="100"/>
            <w:rPr>
              <w:rFonts w:asciiTheme="majorEastAsia" w:hAnsiTheme="majorEastAsia" w:eastAsiaTheme="majorEastAsia" w:cstheme="majorEastAsia"/>
              <w:sz w:val="24"/>
            </w:rPr>
          </w:pPr>
          <w:r>
            <w:fldChar w:fldCharType="begin"/>
          </w:r>
          <w:r>
            <w:instrText xml:space="preserve"> HYPERLINK \l "_Toc24932" </w:instrText>
          </w:r>
          <w:r>
            <w:fldChar w:fldCharType="separate"/>
          </w:r>
          <w:r>
            <w:rPr>
              <w:rFonts w:hint="eastAsia" w:asciiTheme="majorEastAsia" w:hAnsiTheme="majorEastAsia" w:eastAsiaTheme="majorEastAsia" w:cstheme="majorEastAsia"/>
              <w:sz w:val="24"/>
            </w:rPr>
            <w:t>（三）产出</w:t>
          </w:r>
          <w:r>
            <w:rPr>
              <w:rFonts w:hint="eastAsia" w:asciiTheme="majorEastAsia" w:hAnsiTheme="majorEastAsia" w:eastAsiaTheme="majorEastAsia" w:cstheme="majorEastAsia"/>
              <w:sz w:val="24"/>
            </w:rPr>
            <w:tab/>
          </w:r>
          <w:r>
            <w:rPr>
              <w:rFonts w:hint="eastAsia" w:asciiTheme="majorEastAsia" w:hAnsiTheme="majorEastAsia" w:eastAsiaTheme="majorEastAsia" w:cstheme="majorEastAsia"/>
              <w:sz w:val="24"/>
            </w:rPr>
            <w:fldChar w:fldCharType="begin"/>
          </w:r>
          <w:r>
            <w:rPr>
              <w:rFonts w:hint="eastAsia" w:asciiTheme="majorEastAsia" w:hAnsiTheme="majorEastAsia" w:eastAsiaTheme="majorEastAsia" w:cstheme="majorEastAsia"/>
              <w:sz w:val="24"/>
            </w:rPr>
            <w:instrText xml:space="preserve"> PAGEREF _Toc24932 </w:instrText>
          </w:r>
          <w:r>
            <w:rPr>
              <w:rFonts w:hint="eastAsia" w:asciiTheme="majorEastAsia" w:hAnsiTheme="majorEastAsia" w:eastAsiaTheme="majorEastAsia" w:cstheme="majorEastAsia"/>
              <w:sz w:val="24"/>
            </w:rPr>
            <w:fldChar w:fldCharType="separate"/>
          </w:r>
          <w:r>
            <w:rPr>
              <w:rFonts w:hint="eastAsia" w:asciiTheme="majorEastAsia" w:hAnsiTheme="majorEastAsia" w:eastAsiaTheme="majorEastAsia" w:cstheme="majorEastAsia"/>
              <w:sz w:val="24"/>
            </w:rPr>
            <w:t>15</w:t>
          </w:r>
          <w:r>
            <w:rPr>
              <w:rFonts w:hint="eastAsia" w:asciiTheme="majorEastAsia" w:hAnsiTheme="majorEastAsia" w:eastAsiaTheme="majorEastAsia" w:cstheme="majorEastAsia"/>
              <w:sz w:val="24"/>
            </w:rPr>
            <w:fldChar w:fldCharType="end"/>
          </w:r>
          <w:r>
            <w:rPr>
              <w:rFonts w:hint="eastAsia" w:asciiTheme="majorEastAsia" w:hAnsiTheme="majorEastAsia" w:eastAsiaTheme="majorEastAsia" w:cstheme="majorEastAsia"/>
              <w:sz w:val="24"/>
            </w:rPr>
            <w:fldChar w:fldCharType="end"/>
          </w:r>
        </w:p>
        <w:p w14:paraId="38D090C2">
          <w:pPr>
            <w:pStyle w:val="5"/>
            <w:tabs>
              <w:tab w:val="right" w:leader="dot" w:pos="8312"/>
            </w:tabs>
            <w:spacing w:line="312" w:lineRule="auto"/>
            <w:ind w:left="0" w:leftChars="0" w:firstLine="280" w:firstLineChars="100"/>
            <w:rPr>
              <w:rFonts w:asciiTheme="majorEastAsia" w:hAnsiTheme="majorEastAsia" w:eastAsiaTheme="majorEastAsia" w:cstheme="majorEastAsia"/>
              <w:sz w:val="24"/>
            </w:rPr>
          </w:pPr>
          <w:r>
            <w:fldChar w:fldCharType="begin"/>
          </w:r>
          <w:r>
            <w:instrText xml:space="preserve"> HYPERLINK \l "_Toc21821" </w:instrText>
          </w:r>
          <w:r>
            <w:fldChar w:fldCharType="separate"/>
          </w:r>
          <w:r>
            <w:rPr>
              <w:rFonts w:hint="eastAsia" w:asciiTheme="majorEastAsia" w:hAnsiTheme="majorEastAsia" w:eastAsiaTheme="majorEastAsia" w:cstheme="majorEastAsia"/>
              <w:sz w:val="24"/>
            </w:rPr>
            <w:t>（四）效果</w:t>
          </w:r>
          <w:r>
            <w:rPr>
              <w:rFonts w:hint="eastAsia" w:asciiTheme="majorEastAsia" w:hAnsiTheme="majorEastAsia" w:eastAsiaTheme="majorEastAsia" w:cstheme="majorEastAsia"/>
              <w:sz w:val="24"/>
            </w:rPr>
            <w:tab/>
          </w:r>
          <w:r>
            <w:rPr>
              <w:rFonts w:hint="eastAsia" w:asciiTheme="majorEastAsia" w:hAnsiTheme="majorEastAsia" w:eastAsiaTheme="majorEastAsia" w:cstheme="majorEastAsia"/>
              <w:sz w:val="24"/>
            </w:rPr>
            <w:fldChar w:fldCharType="begin"/>
          </w:r>
          <w:r>
            <w:rPr>
              <w:rFonts w:hint="eastAsia" w:asciiTheme="majorEastAsia" w:hAnsiTheme="majorEastAsia" w:eastAsiaTheme="majorEastAsia" w:cstheme="majorEastAsia"/>
              <w:sz w:val="24"/>
            </w:rPr>
            <w:instrText xml:space="preserve"> PAGEREF _Toc21821 </w:instrText>
          </w:r>
          <w:r>
            <w:rPr>
              <w:rFonts w:hint="eastAsia" w:asciiTheme="majorEastAsia" w:hAnsiTheme="majorEastAsia" w:eastAsiaTheme="majorEastAsia" w:cstheme="majorEastAsia"/>
              <w:sz w:val="24"/>
            </w:rPr>
            <w:fldChar w:fldCharType="separate"/>
          </w:r>
          <w:r>
            <w:rPr>
              <w:rFonts w:hint="eastAsia" w:asciiTheme="majorEastAsia" w:hAnsiTheme="majorEastAsia" w:eastAsiaTheme="majorEastAsia" w:cstheme="majorEastAsia"/>
              <w:sz w:val="24"/>
            </w:rPr>
            <w:t>15</w:t>
          </w:r>
          <w:r>
            <w:rPr>
              <w:rFonts w:hint="eastAsia" w:asciiTheme="majorEastAsia" w:hAnsiTheme="majorEastAsia" w:eastAsiaTheme="majorEastAsia" w:cstheme="majorEastAsia"/>
              <w:sz w:val="24"/>
            </w:rPr>
            <w:fldChar w:fldCharType="end"/>
          </w:r>
          <w:r>
            <w:rPr>
              <w:rFonts w:hint="eastAsia" w:asciiTheme="majorEastAsia" w:hAnsiTheme="majorEastAsia" w:eastAsiaTheme="majorEastAsia" w:cstheme="majorEastAsia"/>
              <w:sz w:val="24"/>
            </w:rPr>
            <w:fldChar w:fldCharType="end"/>
          </w:r>
        </w:p>
        <w:p w14:paraId="443C3505">
          <w:pPr>
            <w:pStyle w:val="7"/>
            <w:tabs>
              <w:tab w:val="right" w:leader="dot" w:pos="8312"/>
            </w:tabs>
            <w:spacing w:line="312" w:lineRule="auto"/>
            <w:ind w:left="0" w:leftChars="0"/>
            <w:rPr>
              <w:rFonts w:asciiTheme="majorEastAsia" w:hAnsiTheme="majorEastAsia" w:eastAsiaTheme="majorEastAsia" w:cstheme="majorEastAsia"/>
              <w:b/>
              <w:bCs/>
              <w:sz w:val="24"/>
            </w:rPr>
          </w:pPr>
          <w:r>
            <w:fldChar w:fldCharType="begin"/>
          </w:r>
          <w:r>
            <w:instrText xml:space="preserve"> HYPERLINK \l "_Toc11842" </w:instrText>
          </w:r>
          <w:r>
            <w:fldChar w:fldCharType="separate"/>
          </w:r>
          <w:r>
            <w:rPr>
              <w:rFonts w:hint="eastAsia" w:asciiTheme="majorEastAsia" w:hAnsiTheme="majorEastAsia" w:eastAsiaTheme="majorEastAsia" w:cstheme="majorEastAsia"/>
              <w:b/>
              <w:bCs/>
              <w:sz w:val="24"/>
            </w:rPr>
            <w:t>三、综合绩效评价工作情况</w:t>
          </w:r>
          <w:r>
            <w:rPr>
              <w:rFonts w:hint="eastAsia" w:asciiTheme="majorEastAsia" w:hAnsiTheme="majorEastAsia" w:eastAsiaTheme="majorEastAsia" w:cstheme="majorEastAsia"/>
              <w:b/>
              <w:bCs/>
              <w:sz w:val="24"/>
            </w:rPr>
            <w:tab/>
          </w:r>
          <w:r>
            <w:rPr>
              <w:rFonts w:hint="eastAsia" w:asciiTheme="majorEastAsia" w:hAnsiTheme="majorEastAsia" w:eastAsiaTheme="majorEastAsia" w:cstheme="majorEastAsia"/>
              <w:b/>
              <w:bCs/>
              <w:sz w:val="24"/>
            </w:rPr>
            <w:fldChar w:fldCharType="begin"/>
          </w:r>
          <w:r>
            <w:rPr>
              <w:rFonts w:hint="eastAsia" w:asciiTheme="majorEastAsia" w:hAnsiTheme="majorEastAsia" w:eastAsiaTheme="majorEastAsia" w:cstheme="majorEastAsia"/>
              <w:b/>
              <w:bCs/>
              <w:sz w:val="24"/>
            </w:rPr>
            <w:instrText xml:space="preserve"> PAGEREF _Toc11842 </w:instrText>
          </w:r>
          <w:r>
            <w:rPr>
              <w:rFonts w:hint="eastAsia" w:asciiTheme="majorEastAsia" w:hAnsiTheme="majorEastAsia" w:eastAsiaTheme="majorEastAsia" w:cstheme="majorEastAsia"/>
              <w:b/>
              <w:bCs/>
              <w:sz w:val="24"/>
            </w:rPr>
            <w:fldChar w:fldCharType="separate"/>
          </w:r>
          <w:r>
            <w:rPr>
              <w:rFonts w:hint="eastAsia" w:asciiTheme="majorEastAsia" w:hAnsiTheme="majorEastAsia" w:eastAsiaTheme="majorEastAsia" w:cstheme="majorEastAsia"/>
              <w:b/>
              <w:bCs/>
              <w:sz w:val="24"/>
            </w:rPr>
            <w:t>15</w:t>
          </w:r>
          <w:r>
            <w:rPr>
              <w:rFonts w:hint="eastAsia" w:asciiTheme="majorEastAsia" w:hAnsiTheme="majorEastAsia" w:eastAsiaTheme="majorEastAsia" w:cstheme="majorEastAsia"/>
              <w:b/>
              <w:bCs/>
              <w:sz w:val="24"/>
            </w:rPr>
            <w:fldChar w:fldCharType="end"/>
          </w:r>
          <w:r>
            <w:rPr>
              <w:rFonts w:hint="eastAsia" w:asciiTheme="majorEastAsia" w:hAnsiTheme="majorEastAsia" w:eastAsiaTheme="majorEastAsia" w:cstheme="majorEastAsia"/>
              <w:b/>
              <w:bCs/>
              <w:sz w:val="24"/>
            </w:rPr>
            <w:fldChar w:fldCharType="end"/>
          </w:r>
        </w:p>
        <w:p w14:paraId="4A72D7EB">
          <w:pPr>
            <w:pStyle w:val="5"/>
            <w:tabs>
              <w:tab w:val="right" w:leader="dot" w:pos="8312"/>
            </w:tabs>
            <w:spacing w:line="312" w:lineRule="auto"/>
            <w:ind w:left="0" w:leftChars="0" w:firstLine="280" w:firstLineChars="100"/>
            <w:rPr>
              <w:rFonts w:asciiTheme="majorEastAsia" w:hAnsiTheme="majorEastAsia" w:eastAsiaTheme="majorEastAsia" w:cstheme="majorEastAsia"/>
              <w:sz w:val="24"/>
            </w:rPr>
          </w:pPr>
          <w:r>
            <w:fldChar w:fldCharType="begin"/>
          </w:r>
          <w:r>
            <w:instrText xml:space="preserve"> HYPERLINK \l "_Toc17138" </w:instrText>
          </w:r>
          <w:r>
            <w:fldChar w:fldCharType="separate"/>
          </w:r>
          <w:r>
            <w:rPr>
              <w:rFonts w:hint="eastAsia" w:asciiTheme="majorEastAsia" w:hAnsiTheme="majorEastAsia" w:eastAsiaTheme="majorEastAsia" w:cstheme="majorEastAsia"/>
              <w:sz w:val="24"/>
            </w:rPr>
            <w:t>（一）绩效评价目的</w:t>
          </w:r>
          <w:r>
            <w:rPr>
              <w:rFonts w:hint="eastAsia" w:asciiTheme="majorEastAsia" w:hAnsiTheme="majorEastAsia" w:eastAsiaTheme="majorEastAsia" w:cstheme="majorEastAsia"/>
              <w:sz w:val="24"/>
            </w:rPr>
            <w:tab/>
          </w:r>
          <w:r>
            <w:rPr>
              <w:rFonts w:hint="eastAsia" w:asciiTheme="majorEastAsia" w:hAnsiTheme="majorEastAsia" w:eastAsiaTheme="majorEastAsia" w:cstheme="majorEastAsia"/>
              <w:sz w:val="24"/>
            </w:rPr>
            <w:fldChar w:fldCharType="begin"/>
          </w:r>
          <w:r>
            <w:rPr>
              <w:rFonts w:hint="eastAsia" w:asciiTheme="majorEastAsia" w:hAnsiTheme="majorEastAsia" w:eastAsiaTheme="majorEastAsia" w:cstheme="majorEastAsia"/>
              <w:sz w:val="24"/>
            </w:rPr>
            <w:instrText xml:space="preserve"> PAGEREF _Toc17138 </w:instrText>
          </w:r>
          <w:r>
            <w:rPr>
              <w:rFonts w:hint="eastAsia" w:asciiTheme="majorEastAsia" w:hAnsiTheme="majorEastAsia" w:eastAsiaTheme="majorEastAsia" w:cstheme="majorEastAsia"/>
              <w:sz w:val="24"/>
            </w:rPr>
            <w:fldChar w:fldCharType="separate"/>
          </w:r>
          <w:r>
            <w:rPr>
              <w:rFonts w:hint="eastAsia" w:asciiTheme="majorEastAsia" w:hAnsiTheme="majorEastAsia" w:eastAsiaTheme="majorEastAsia" w:cstheme="majorEastAsia"/>
              <w:sz w:val="24"/>
            </w:rPr>
            <w:t>15</w:t>
          </w:r>
          <w:r>
            <w:rPr>
              <w:rFonts w:hint="eastAsia" w:asciiTheme="majorEastAsia" w:hAnsiTheme="majorEastAsia" w:eastAsiaTheme="majorEastAsia" w:cstheme="majorEastAsia"/>
              <w:sz w:val="24"/>
            </w:rPr>
            <w:fldChar w:fldCharType="end"/>
          </w:r>
          <w:r>
            <w:rPr>
              <w:rFonts w:hint="eastAsia" w:asciiTheme="majorEastAsia" w:hAnsiTheme="majorEastAsia" w:eastAsiaTheme="majorEastAsia" w:cstheme="majorEastAsia"/>
              <w:sz w:val="24"/>
            </w:rPr>
            <w:fldChar w:fldCharType="end"/>
          </w:r>
        </w:p>
        <w:p w14:paraId="1D15B46A">
          <w:pPr>
            <w:pStyle w:val="5"/>
            <w:tabs>
              <w:tab w:val="right" w:leader="dot" w:pos="8312"/>
            </w:tabs>
            <w:spacing w:line="312" w:lineRule="auto"/>
            <w:ind w:left="0" w:leftChars="0" w:firstLine="280" w:firstLineChars="100"/>
            <w:rPr>
              <w:rFonts w:asciiTheme="majorEastAsia" w:hAnsiTheme="majorEastAsia" w:eastAsiaTheme="majorEastAsia" w:cstheme="majorEastAsia"/>
              <w:sz w:val="24"/>
            </w:rPr>
          </w:pPr>
          <w:r>
            <w:fldChar w:fldCharType="begin"/>
          </w:r>
          <w:r>
            <w:instrText xml:space="preserve"> HYPERLINK \l "_Toc11607" </w:instrText>
          </w:r>
          <w:r>
            <w:fldChar w:fldCharType="separate"/>
          </w:r>
          <w:r>
            <w:rPr>
              <w:rFonts w:hint="eastAsia" w:asciiTheme="majorEastAsia" w:hAnsiTheme="majorEastAsia" w:eastAsiaTheme="majorEastAsia" w:cstheme="majorEastAsia"/>
              <w:sz w:val="24"/>
            </w:rPr>
            <w:t>（二）绩效评价依据</w:t>
          </w:r>
          <w:r>
            <w:rPr>
              <w:rFonts w:hint="eastAsia" w:asciiTheme="majorEastAsia" w:hAnsiTheme="majorEastAsia" w:eastAsiaTheme="majorEastAsia" w:cstheme="majorEastAsia"/>
              <w:sz w:val="24"/>
            </w:rPr>
            <w:tab/>
          </w:r>
          <w:r>
            <w:rPr>
              <w:rFonts w:hint="eastAsia" w:asciiTheme="majorEastAsia" w:hAnsiTheme="majorEastAsia" w:eastAsiaTheme="majorEastAsia" w:cstheme="majorEastAsia"/>
              <w:sz w:val="24"/>
            </w:rPr>
            <w:fldChar w:fldCharType="begin"/>
          </w:r>
          <w:r>
            <w:rPr>
              <w:rFonts w:hint="eastAsia" w:asciiTheme="majorEastAsia" w:hAnsiTheme="majorEastAsia" w:eastAsiaTheme="majorEastAsia" w:cstheme="majorEastAsia"/>
              <w:sz w:val="24"/>
            </w:rPr>
            <w:instrText xml:space="preserve"> PAGEREF _Toc11607 </w:instrText>
          </w:r>
          <w:r>
            <w:rPr>
              <w:rFonts w:hint="eastAsia" w:asciiTheme="majorEastAsia" w:hAnsiTheme="majorEastAsia" w:eastAsiaTheme="majorEastAsia" w:cstheme="majorEastAsia"/>
              <w:sz w:val="24"/>
            </w:rPr>
            <w:fldChar w:fldCharType="separate"/>
          </w:r>
          <w:r>
            <w:rPr>
              <w:rFonts w:hint="eastAsia" w:asciiTheme="majorEastAsia" w:hAnsiTheme="majorEastAsia" w:eastAsiaTheme="majorEastAsia" w:cstheme="majorEastAsia"/>
              <w:sz w:val="24"/>
            </w:rPr>
            <w:t>16</w:t>
          </w:r>
          <w:r>
            <w:rPr>
              <w:rFonts w:hint="eastAsia" w:asciiTheme="majorEastAsia" w:hAnsiTheme="majorEastAsia" w:eastAsiaTheme="majorEastAsia" w:cstheme="majorEastAsia"/>
              <w:sz w:val="24"/>
            </w:rPr>
            <w:fldChar w:fldCharType="end"/>
          </w:r>
          <w:r>
            <w:rPr>
              <w:rFonts w:hint="eastAsia" w:asciiTheme="majorEastAsia" w:hAnsiTheme="majorEastAsia" w:eastAsiaTheme="majorEastAsia" w:cstheme="majorEastAsia"/>
              <w:sz w:val="24"/>
            </w:rPr>
            <w:fldChar w:fldCharType="end"/>
          </w:r>
        </w:p>
        <w:p w14:paraId="6F3BFE65">
          <w:pPr>
            <w:pStyle w:val="5"/>
            <w:tabs>
              <w:tab w:val="right" w:leader="dot" w:pos="8312"/>
            </w:tabs>
            <w:spacing w:line="312" w:lineRule="auto"/>
            <w:ind w:left="0" w:leftChars="0" w:firstLine="280" w:firstLineChars="100"/>
            <w:rPr>
              <w:rFonts w:asciiTheme="majorEastAsia" w:hAnsiTheme="majorEastAsia" w:eastAsiaTheme="majorEastAsia" w:cstheme="majorEastAsia"/>
              <w:sz w:val="24"/>
            </w:rPr>
          </w:pPr>
          <w:r>
            <w:fldChar w:fldCharType="begin"/>
          </w:r>
          <w:r>
            <w:instrText xml:space="preserve"> HYPERLINK \l "_Toc7609" </w:instrText>
          </w:r>
          <w:r>
            <w:fldChar w:fldCharType="separate"/>
          </w:r>
          <w:r>
            <w:rPr>
              <w:rFonts w:hint="eastAsia" w:asciiTheme="majorEastAsia" w:hAnsiTheme="majorEastAsia" w:eastAsiaTheme="majorEastAsia" w:cstheme="majorEastAsia"/>
              <w:sz w:val="24"/>
            </w:rPr>
            <w:t>（三）绩效评价内容</w:t>
          </w:r>
          <w:r>
            <w:rPr>
              <w:rFonts w:hint="eastAsia" w:asciiTheme="majorEastAsia" w:hAnsiTheme="majorEastAsia" w:eastAsiaTheme="majorEastAsia" w:cstheme="majorEastAsia"/>
              <w:sz w:val="24"/>
            </w:rPr>
            <w:tab/>
          </w:r>
          <w:r>
            <w:rPr>
              <w:rFonts w:hint="eastAsia" w:asciiTheme="majorEastAsia" w:hAnsiTheme="majorEastAsia" w:eastAsiaTheme="majorEastAsia" w:cstheme="majorEastAsia"/>
              <w:sz w:val="24"/>
            </w:rPr>
            <w:fldChar w:fldCharType="begin"/>
          </w:r>
          <w:r>
            <w:rPr>
              <w:rFonts w:hint="eastAsia" w:asciiTheme="majorEastAsia" w:hAnsiTheme="majorEastAsia" w:eastAsiaTheme="majorEastAsia" w:cstheme="majorEastAsia"/>
              <w:sz w:val="24"/>
            </w:rPr>
            <w:instrText xml:space="preserve"> PAGEREF _Toc7609 </w:instrText>
          </w:r>
          <w:r>
            <w:rPr>
              <w:rFonts w:hint="eastAsia" w:asciiTheme="majorEastAsia" w:hAnsiTheme="majorEastAsia" w:eastAsiaTheme="majorEastAsia" w:cstheme="majorEastAsia"/>
              <w:sz w:val="24"/>
            </w:rPr>
            <w:fldChar w:fldCharType="separate"/>
          </w:r>
          <w:r>
            <w:rPr>
              <w:rFonts w:hint="eastAsia" w:asciiTheme="majorEastAsia" w:hAnsiTheme="majorEastAsia" w:eastAsiaTheme="majorEastAsia" w:cstheme="majorEastAsia"/>
              <w:sz w:val="24"/>
            </w:rPr>
            <w:t>16</w:t>
          </w:r>
          <w:r>
            <w:rPr>
              <w:rFonts w:hint="eastAsia" w:asciiTheme="majorEastAsia" w:hAnsiTheme="majorEastAsia" w:eastAsiaTheme="majorEastAsia" w:cstheme="majorEastAsia"/>
              <w:sz w:val="24"/>
            </w:rPr>
            <w:fldChar w:fldCharType="end"/>
          </w:r>
          <w:r>
            <w:rPr>
              <w:rFonts w:hint="eastAsia" w:asciiTheme="majorEastAsia" w:hAnsiTheme="majorEastAsia" w:eastAsiaTheme="majorEastAsia" w:cstheme="majorEastAsia"/>
              <w:sz w:val="24"/>
            </w:rPr>
            <w:fldChar w:fldCharType="end"/>
          </w:r>
        </w:p>
        <w:p w14:paraId="5F2E925E">
          <w:pPr>
            <w:pStyle w:val="5"/>
            <w:tabs>
              <w:tab w:val="right" w:leader="dot" w:pos="8312"/>
            </w:tabs>
            <w:spacing w:line="312" w:lineRule="auto"/>
            <w:ind w:left="0" w:leftChars="0" w:firstLine="280" w:firstLineChars="100"/>
            <w:rPr>
              <w:rFonts w:asciiTheme="majorEastAsia" w:hAnsiTheme="majorEastAsia" w:eastAsiaTheme="majorEastAsia" w:cstheme="majorEastAsia"/>
              <w:sz w:val="24"/>
            </w:rPr>
          </w:pPr>
          <w:r>
            <w:fldChar w:fldCharType="begin"/>
          </w:r>
          <w:r>
            <w:instrText xml:space="preserve"> HYPERLINK \l "_Toc789" </w:instrText>
          </w:r>
          <w:r>
            <w:fldChar w:fldCharType="separate"/>
          </w:r>
          <w:r>
            <w:rPr>
              <w:rFonts w:hint="eastAsia" w:asciiTheme="majorEastAsia" w:hAnsiTheme="majorEastAsia" w:eastAsiaTheme="majorEastAsia" w:cstheme="majorEastAsia"/>
              <w:sz w:val="24"/>
            </w:rPr>
            <w:t>（四）绩效评价原则</w:t>
          </w:r>
          <w:r>
            <w:rPr>
              <w:rFonts w:hint="eastAsia" w:asciiTheme="majorEastAsia" w:hAnsiTheme="majorEastAsia" w:eastAsiaTheme="majorEastAsia" w:cstheme="majorEastAsia"/>
              <w:sz w:val="24"/>
            </w:rPr>
            <w:tab/>
          </w:r>
          <w:r>
            <w:rPr>
              <w:rFonts w:hint="eastAsia" w:asciiTheme="majorEastAsia" w:hAnsiTheme="majorEastAsia" w:eastAsiaTheme="majorEastAsia" w:cstheme="majorEastAsia"/>
              <w:sz w:val="24"/>
            </w:rPr>
            <w:fldChar w:fldCharType="begin"/>
          </w:r>
          <w:r>
            <w:rPr>
              <w:rFonts w:hint="eastAsia" w:asciiTheme="majorEastAsia" w:hAnsiTheme="majorEastAsia" w:eastAsiaTheme="majorEastAsia" w:cstheme="majorEastAsia"/>
              <w:sz w:val="24"/>
            </w:rPr>
            <w:instrText xml:space="preserve"> PAGEREF _Toc789 </w:instrText>
          </w:r>
          <w:r>
            <w:rPr>
              <w:rFonts w:hint="eastAsia" w:asciiTheme="majorEastAsia" w:hAnsiTheme="majorEastAsia" w:eastAsiaTheme="majorEastAsia" w:cstheme="majorEastAsia"/>
              <w:sz w:val="24"/>
            </w:rPr>
            <w:fldChar w:fldCharType="separate"/>
          </w:r>
          <w:r>
            <w:rPr>
              <w:rFonts w:hint="eastAsia" w:asciiTheme="majorEastAsia" w:hAnsiTheme="majorEastAsia" w:eastAsiaTheme="majorEastAsia" w:cstheme="majorEastAsia"/>
              <w:sz w:val="24"/>
            </w:rPr>
            <w:t>17</w:t>
          </w:r>
          <w:r>
            <w:rPr>
              <w:rFonts w:hint="eastAsia" w:asciiTheme="majorEastAsia" w:hAnsiTheme="majorEastAsia" w:eastAsiaTheme="majorEastAsia" w:cstheme="majorEastAsia"/>
              <w:sz w:val="24"/>
            </w:rPr>
            <w:fldChar w:fldCharType="end"/>
          </w:r>
          <w:r>
            <w:rPr>
              <w:rFonts w:hint="eastAsia" w:asciiTheme="majorEastAsia" w:hAnsiTheme="majorEastAsia" w:eastAsiaTheme="majorEastAsia" w:cstheme="majorEastAsia"/>
              <w:sz w:val="24"/>
            </w:rPr>
            <w:fldChar w:fldCharType="end"/>
          </w:r>
        </w:p>
        <w:p w14:paraId="6EE7A11C">
          <w:pPr>
            <w:pStyle w:val="5"/>
            <w:tabs>
              <w:tab w:val="right" w:leader="dot" w:pos="8312"/>
            </w:tabs>
            <w:spacing w:line="312" w:lineRule="auto"/>
            <w:ind w:left="0" w:leftChars="0" w:firstLine="280" w:firstLineChars="100"/>
            <w:rPr>
              <w:rFonts w:asciiTheme="majorEastAsia" w:hAnsiTheme="majorEastAsia" w:eastAsiaTheme="majorEastAsia" w:cstheme="majorEastAsia"/>
              <w:sz w:val="24"/>
            </w:rPr>
          </w:pPr>
          <w:r>
            <w:fldChar w:fldCharType="begin"/>
          </w:r>
          <w:r>
            <w:instrText xml:space="preserve"> HYPERLINK \l "_Toc8171" </w:instrText>
          </w:r>
          <w:r>
            <w:fldChar w:fldCharType="separate"/>
          </w:r>
          <w:r>
            <w:rPr>
              <w:rFonts w:hint="eastAsia" w:asciiTheme="majorEastAsia" w:hAnsiTheme="majorEastAsia" w:eastAsiaTheme="majorEastAsia" w:cstheme="majorEastAsia"/>
              <w:sz w:val="24"/>
            </w:rPr>
            <w:t>（五）绩效评价方法</w:t>
          </w:r>
          <w:r>
            <w:rPr>
              <w:rFonts w:hint="eastAsia" w:asciiTheme="majorEastAsia" w:hAnsiTheme="majorEastAsia" w:eastAsiaTheme="majorEastAsia" w:cstheme="majorEastAsia"/>
              <w:sz w:val="24"/>
            </w:rPr>
            <w:tab/>
          </w:r>
          <w:r>
            <w:rPr>
              <w:rFonts w:hint="eastAsia" w:asciiTheme="majorEastAsia" w:hAnsiTheme="majorEastAsia" w:eastAsiaTheme="majorEastAsia" w:cstheme="majorEastAsia"/>
              <w:sz w:val="24"/>
            </w:rPr>
            <w:fldChar w:fldCharType="begin"/>
          </w:r>
          <w:r>
            <w:rPr>
              <w:rFonts w:hint="eastAsia" w:asciiTheme="majorEastAsia" w:hAnsiTheme="majorEastAsia" w:eastAsiaTheme="majorEastAsia" w:cstheme="majorEastAsia"/>
              <w:sz w:val="24"/>
            </w:rPr>
            <w:instrText xml:space="preserve"> PAGEREF _Toc8171 </w:instrText>
          </w:r>
          <w:r>
            <w:rPr>
              <w:rFonts w:hint="eastAsia" w:asciiTheme="majorEastAsia" w:hAnsiTheme="majorEastAsia" w:eastAsiaTheme="majorEastAsia" w:cstheme="majorEastAsia"/>
              <w:sz w:val="24"/>
            </w:rPr>
            <w:fldChar w:fldCharType="separate"/>
          </w:r>
          <w:r>
            <w:rPr>
              <w:rFonts w:hint="eastAsia" w:asciiTheme="majorEastAsia" w:hAnsiTheme="majorEastAsia" w:eastAsiaTheme="majorEastAsia" w:cstheme="majorEastAsia"/>
              <w:sz w:val="24"/>
            </w:rPr>
            <w:t>17</w:t>
          </w:r>
          <w:r>
            <w:rPr>
              <w:rFonts w:hint="eastAsia" w:asciiTheme="majorEastAsia" w:hAnsiTheme="majorEastAsia" w:eastAsiaTheme="majorEastAsia" w:cstheme="majorEastAsia"/>
              <w:sz w:val="24"/>
            </w:rPr>
            <w:fldChar w:fldCharType="end"/>
          </w:r>
          <w:r>
            <w:rPr>
              <w:rFonts w:hint="eastAsia" w:asciiTheme="majorEastAsia" w:hAnsiTheme="majorEastAsia" w:eastAsiaTheme="majorEastAsia" w:cstheme="majorEastAsia"/>
              <w:sz w:val="24"/>
            </w:rPr>
            <w:fldChar w:fldCharType="end"/>
          </w:r>
        </w:p>
        <w:p w14:paraId="44C56756">
          <w:pPr>
            <w:pStyle w:val="5"/>
            <w:tabs>
              <w:tab w:val="right" w:leader="dot" w:pos="8312"/>
            </w:tabs>
            <w:spacing w:line="312" w:lineRule="auto"/>
            <w:ind w:left="0" w:leftChars="0" w:firstLine="280" w:firstLineChars="100"/>
            <w:rPr>
              <w:rFonts w:asciiTheme="majorEastAsia" w:hAnsiTheme="majorEastAsia" w:eastAsiaTheme="majorEastAsia" w:cstheme="majorEastAsia"/>
              <w:sz w:val="24"/>
            </w:rPr>
          </w:pPr>
          <w:r>
            <w:fldChar w:fldCharType="begin"/>
          </w:r>
          <w:r>
            <w:instrText xml:space="preserve"> HYPERLINK \l "_Toc20821" </w:instrText>
          </w:r>
          <w:r>
            <w:fldChar w:fldCharType="separate"/>
          </w:r>
          <w:r>
            <w:rPr>
              <w:rFonts w:hint="eastAsia" w:asciiTheme="majorEastAsia" w:hAnsiTheme="majorEastAsia" w:eastAsiaTheme="majorEastAsia" w:cstheme="majorEastAsia"/>
              <w:sz w:val="24"/>
            </w:rPr>
            <w:t>（六）绩效评价工作过程</w:t>
          </w:r>
          <w:r>
            <w:rPr>
              <w:rFonts w:hint="eastAsia" w:asciiTheme="majorEastAsia" w:hAnsiTheme="majorEastAsia" w:eastAsiaTheme="majorEastAsia" w:cstheme="majorEastAsia"/>
              <w:sz w:val="24"/>
            </w:rPr>
            <w:tab/>
          </w:r>
          <w:r>
            <w:rPr>
              <w:rFonts w:hint="eastAsia" w:asciiTheme="majorEastAsia" w:hAnsiTheme="majorEastAsia" w:eastAsiaTheme="majorEastAsia" w:cstheme="majorEastAsia"/>
              <w:sz w:val="24"/>
            </w:rPr>
            <w:fldChar w:fldCharType="begin"/>
          </w:r>
          <w:r>
            <w:rPr>
              <w:rFonts w:hint="eastAsia" w:asciiTheme="majorEastAsia" w:hAnsiTheme="majorEastAsia" w:eastAsiaTheme="majorEastAsia" w:cstheme="majorEastAsia"/>
              <w:sz w:val="24"/>
            </w:rPr>
            <w:instrText xml:space="preserve"> PAGEREF _Toc20821 </w:instrText>
          </w:r>
          <w:r>
            <w:rPr>
              <w:rFonts w:hint="eastAsia" w:asciiTheme="majorEastAsia" w:hAnsiTheme="majorEastAsia" w:eastAsiaTheme="majorEastAsia" w:cstheme="majorEastAsia"/>
              <w:sz w:val="24"/>
            </w:rPr>
            <w:fldChar w:fldCharType="separate"/>
          </w:r>
          <w:r>
            <w:rPr>
              <w:rFonts w:hint="eastAsia" w:asciiTheme="majorEastAsia" w:hAnsiTheme="majorEastAsia" w:eastAsiaTheme="majorEastAsia" w:cstheme="majorEastAsia"/>
              <w:sz w:val="24"/>
            </w:rPr>
            <w:t>18</w:t>
          </w:r>
          <w:r>
            <w:rPr>
              <w:rFonts w:hint="eastAsia" w:asciiTheme="majorEastAsia" w:hAnsiTheme="majorEastAsia" w:eastAsiaTheme="majorEastAsia" w:cstheme="majorEastAsia"/>
              <w:sz w:val="24"/>
            </w:rPr>
            <w:fldChar w:fldCharType="end"/>
          </w:r>
          <w:r>
            <w:rPr>
              <w:rFonts w:hint="eastAsia" w:asciiTheme="majorEastAsia" w:hAnsiTheme="majorEastAsia" w:eastAsiaTheme="majorEastAsia" w:cstheme="majorEastAsia"/>
              <w:sz w:val="24"/>
            </w:rPr>
            <w:fldChar w:fldCharType="end"/>
          </w:r>
        </w:p>
        <w:p w14:paraId="33A6A6D4">
          <w:pPr>
            <w:pStyle w:val="7"/>
            <w:tabs>
              <w:tab w:val="right" w:leader="dot" w:pos="8312"/>
            </w:tabs>
            <w:spacing w:line="312" w:lineRule="auto"/>
            <w:ind w:left="0" w:leftChars="0"/>
            <w:rPr>
              <w:rFonts w:asciiTheme="majorEastAsia" w:hAnsiTheme="majorEastAsia" w:eastAsiaTheme="majorEastAsia" w:cstheme="majorEastAsia"/>
              <w:b/>
              <w:bCs/>
              <w:sz w:val="24"/>
            </w:rPr>
          </w:pPr>
          <w:r>
            <w:fldChar w:fldCharType="begin"/>
          </w:r>
          <w:r>
            <w:instrText xml:space="preserve"> HYPERLINK \l "_Toc6467" </w:instrText>
          </w:r>
          <w:r>
            <w:fldChar w:fldCharType="separate"/>
          </w:r>
          <w:r>
            <w:rPr>
              <w:rFonts w:hint="eastAsia" w:asciiTheme="majorEastAsia" w:hAnsiTheme="majorEastAsia" w:eastAsiaTheme="majorEastAsia" w:cstheme="majorEastAsia"/>
              <w:b/>
              <w:bCs/>
              <w:sz w:val="24"/>
            </w:rPr>
            <w:t>四、绩效评价评分情况</w:t>
          </w:r>
          <w:r>
            <w:rPr>
              <w:rFonts w:hint="eastAsia" w:asciiTheme="majorEastAsia" w:hAnsiTheme="majorEastAsia" w:eastAsiaTheme="majorEastAsia" w:cstheme="majorEastAsia"/>
              <w:b/>
              <w:bCs/>
              <w:sz w:val="24"/>
            </w:rPr>
            <w:tab/>
          </w:r>
          <w:r>
            <w:rPr>
              <w:rFonts w:hint="eastAsia" w:asciiTheme="majorEastAsia" w:hAnsiTheme="majorEastAsia" w:eastAsiaTheme="majorEastAsia" w:cstheme="majorEastAsia"/>
              <w:b/>
              <w:bCs/>
              <w:sz w:val="24"/>
            </w:rPr>
            <w:fldChar w:fldCharType="begin"/>
          </w:r>
          <w:r>
            <w:rPr>
              <w:rFonts w:hint="eastAsia" w:asciiTheme="majorEastAsia" w:hAnsiTheme="majorEastAsia" w:eastAsiaTheme="majorEastAsia" w:cstheme="majorEastAsia"/>
              <w:b/>
              <w:bCs/>
              <w:sz w:val="24"/>
            </w:rPr>
            <w:instrText xml:space="preserve"> PAGEREF _Toc6467 </w:instrText>
          </w:r>
          <w:r>
            <w:rPr>
              <w:rFonts w:hint="eastAsia" w:asciiTheme="majorEastAsia" w:hAnsiTheme="majorEastAsia" w:eastAsiaTheme="majorEastAsia" w:cstheme="majorEastAsia"/>
              <w:b/>
              <w:bCs/>
              <w:sz w:val="24"/>
            </w:rPr>
            <w:fldChar w:fldCharType="separate"/>
          </w:r>
          <w:r>
            <w:rPr>
              <w:rFonts w:hint="eastAsia" w:asciiTheme="majorEastAsia" w:hAnsiTheme="majorEastAsia" w:eastAsiaTheme="majorEastAsia" w:cstheme="majorEastAsia"/>
              <w:b/>
              <w:bCs/>
              <w:sz w:val="24"/>
            </w:rPr>
            <w:t>19</w:t>
          </w:r>
          <w:r>
            <w:rPr>
              <w:rFonts w:hint="eastAsia" w:asciiTheme="majorEastAsia" w:hAnsiTheme="majorEastAsia" w:eastAsiaTheme="majorEastAsia" w:cstheme="majorEastAsia"/>
              <w:b/>
              <w:bCs/>
              <w:sz w:val="24"/>
            </w:rPr>
            <w:fldChar w:fldCharType="end"/>
          </w:r>
          <w:r>
            <w:rPr>
              <w:rFonts w:hint="eastAsia" w:asciiTheme="majorEastAsia" w:hAnsiTheme="majorEastAsia" w:eastAsiaTheme="majorEastAsia" w:cstheme="majorEastAsia"/>
              <w:b/>
              <w:bCs/>
              <w:sz w:val="24"/>
            </w:rPr>
            <w:fldChar w:fldCharType="end"/>
          </w:r>
        </w:p>
        <w:p w14:paraId="364EA214">
          <w:pPr>
            <w:pStyle w:val="5"/>
            <w:tabs>
              <w:tab w:val="right" w:leader="dot" w:pos="8312"/>
            </w:tabs>
            <w:spacing w:line="312" w:lineRule="auto"/>
            <w:ind w:left="0" w:leftChars="0" w:firstLine="280" w:firstLineChars="100"/>
            <w:rPr>
              <w:rFonts w:asciiTheme="majorEastAsia" w:hAnsiTheme="majorEastAsia" w:eastAsiaTheme="majorEastAsia" w:cstheme="majorEastAsia"/>
              <w:sz w:val="24"/>
            </w:rPr>
          </w:pPr>
          <w:r>
            <w:fldChar w:fldCharType="begin"/>
          </w:r>
          <w:r>
            <w:instrText xml:space="preserve"> HYPERLINK \l "_Toc4390" </w:instrText>
          </w:r>
          <w:r>
            <w:fldChar w:fldCharType="separate"/>
          </w:r>
          <w:r>
            <w:rPr>
              <w:rFonts w:hint="eastAsia" w:asciiTheme="majorEastAsia" w:hAnsiTheme="majorEastAsia" w:eastAsiaTheme="majorEastAsia" w:cstheme="majorEastAsia"/>
              <w:sz w:val="24"/>
            </w:rPr>
            <w:t>（一）投入</w:t>
          </w:r>
          <w:r>
            <w:rPr>
              <w:rFonts w:hint="eastAsia" w:asciiTheme="majorEastAsia" w:hAnsiTheme="majorEastAsia" w:eastAsiaTheme="majorEastAsia" w:cstheme="majorEastAsia"/>
              <w:sz w:val="24"/>
            </w:rPr>
            <w:tab/>
          </w:r>
          <w:r>
            <w:rPr>
              <w:rFonts w:hint="eastAsia" w:asciiTheme="majorEastAsia" w:hAnsiTheme="majorEastAsia" w:eastAsiaTheme="majorEastAsia" w:cstheme="majorEastAsia"/>
              <w:sz w:val="24"/>
            </w:rPr>
            <w:fldChar w:fldCharType="begin"/>
          </w:r>
          <w:r>
            <w:rPr>
              <w:rFonts w:hint="eastAsia" w:asciiTheme="majorEastAsia" w:hAnsiTheme="majorEastAsia" w:eastAsiaTheme="majorEastAsia" w:cstheme="majorEastAsia"/>
              <w:sz w:val="24"/>
            </w:rPr>
            <w:instrText xml:space="preserve"> PAGEREF _Toc4390 </w:instrText>
          </w:r>
          <w:r>
            <w:rPr>
              <w:rFonts w:hint="eastAsia" w:asciiTheme="majorEastAsia" w:hAnsiTheme="majorEastAsia" w:eastAsiaTheme="majorEastAsia" w:cstheme="majorEastAsia"/>
              <w:sz w:val="24"/>
            </w:rPr>
            <w:fldChar w:fldCharType="separate"/>
          </w:r>
          <w:r>
            <w:rPr>
              <w:rFonts w:hint="eastAsia" w:asciiTheme="majorEastAsia" w:hAnsiTheme="majorEastAsia" w:eastAsiaTheme="majorEastAsia" w:cstheme="majorEastAsia"/>
              <w:sz w:val="24"/>
            </w:rPr>
            <w:t>19</w:t>
          </w:r>
          <w:r>
            <w:rPr>
              <w:rFonts w:hint="eastAsia" w:asciiTheme="majorEastAsia" w:hAnsiTheme="majorEastAsia" w:eastAsiaTheme="majorEastAsia" w:cstheme="majorEastAsia"/>
              <w:sz w:val="24"/>
            </w:rPr>
            <w:fldChar w:fldCharType="end"/>
          </w:r>
          <w:r>
            <w:rPr>
              <w:rFonts w:hint="eastAsia" w:asciiTheme="majorEastAsia" w:hAnsiTheme="majorEastAsia" w:eastAsiaTheme="majorEastAsia" w:cstheme="majorEastAsia"/>
              <w:sz w:val="24"/>
            </w:rPr>
            <w:fldChar w:fldCharType="end"/>
          </w:r>
        </w:p>
        <w:p w14:paraId="597F16E1">
          <w:pPr>
            <w:pStyle w:val="5"/>
            <w:tabs>
              <w:tab w:val="right" w:leader="dot" w:pos="8312"/>
            </w:tabs>
            <w:spacing w:line="312" w:lineRule="auto"/>
            <w:ind w:left="0" w:leftChars="0" w:firstLine="280" w:firstLineChars="100"/>
            <w:rPr>
              <w:rFonts w:asciiTheme="majorEastAsia" w:hAnsiTheme="majorEastAsia" w:eastAsiaTheme="majorEastAsia" w:cstheme="majorEastAsia"/>
              <w:sz w:val="24"/>
            </w:rPr>
          </w:pPr>
          <w:r>
            <w:fldChar w:fldCharType="begin"/>
          </w:r>
          <w:r>
            <w:instrText xml:space="preserve"> HYPERLINK \l "_Toc19940" </w:instrText>
          </w:r>
          <w:r>
            <w:fldChar w:fldCharType="separate"/>
          </w:r>
          <w:r>
            <w:rPr>
              <w:rFonts w:hint="eastAsia" w:asciiTheme="majorEastAsia" w:hAnsiTheme="majorEastAsia" w:eastAsiaTheme="majorEastAsia" w:cstheme="majorEastAsia"/>
              <w:sz w:val="24"/>
            </w:rPr>
            <w:t>（二）过程</w:t>
          </w:r>
          <w:r>
            <w:rPr>
              <w:rFonts w:hint="eastAsia" w:asciiTheme="majorEastAsia" w:hAnsiTheme="majorEastAsia" w:eastAsiaTheme="majorEastAsia" w:cstheme="majorEastAsia"/>
              <w:sz w:val="24"/>
            </w:rPr>
            <w:tab/>
          </w:r>
          <w:r>
            <w:rPr>
              <w:rFonts w:hint="eastAsia" w:asciiTheme="majorEastAsia" w:hAnsiTheme="majorEastAsia" w:eastAsiaTheme="majorEastAsia" w:cstheme="majorEastAsia"/>
              <w:sz w:val="24"/>
            </w:rPr>
            <w:fldChar w:fldCharType="begin"/>
          </w:r>
          <w:r>
            <w:rPr>
              <w:rFonts w:hint="eastAsia" w:asciiTheme="majorEastAsia" w:hAnsiTheme="majorEastAsia" w:eastAsiaTheme="majorEastAsia" w:cstheme="majorEastAsia"/>
              <w:sz w:val="24"/>
            </w:rPr>
            <w:instrText xml:space="preserve"> PAGEREF _Toc19940 </w:instrText>
          </w:r>
          <w:r>
            <w:rPr>
              <w:rFonts w:hint="eastAsia" w:asciiTheme="majorEastAsia" w:hAnsiTheme="majorEastAsia" w:eastAsiaTheme="majorEastAsia" w:cstheme="majorEastAsia"/>
              <w:sz w:val="24"/>
            </w:rPr>
            <w:fldChar w:fldCharType="separate"/>
          </w:r>
          <w:r>
            <w:rPr>
              <w:rFonts w:hint="eastAsia" w:asciiTheme="majorEastAsia" w:hAnsiTheme="majorEastAsia" w:eastAsiaTheme="majorEastAsia" w:cstheme="majorEastAsia"/>
              <w:sz w:val="24"/>
            </w:rPr>
            <w:t>23</w:t>
          </w:r>
          <w:r>
            <w:rPr>
              <w:rFonts w:hint="eastAsia" w:asciiTheme="majorEastAsia" w:hAnsiTheme="majorEastAsia" w:eastAsiaTheme="majorEastAsia" w:cstheme="majorEastAsia"/>
              <w:sz w:val="24"/>
            </w:rPr>
            <w:fldChar w:fldCharType="end"/>
          </w:r>
          <w:r>
            <w:rPr>
              <w:rFonts w:hint="eastAsia" w:asciiTheme="majorEastAsia" w:hAnsiTheme="majorEastAsia" w:eastAsiaTheme="majorEastAsia" w:cstheme="majorEastAsia"/>
              <w:sz w:val="24"/>
            </w:rPr>
            <w:fldChar w:fldCharType="end"/>
          </w:r>
        </w:p>
        <w:p w14:paraId="69951FE1">
          <w:pPr>
            <w:pStyle w:val="5"/>
            <w:tabs>
              <w:tab w:val="right" w:leader="dot" w:pos="8312"/>
            </w:tabs>
            <w:spacing w:line="312" w:lineRule="auto"/>
            <w:ind w:left="0" w:leftChars="0" w:firstLine="280" w:firstLineChars="100"/>
            <w:rPr>
              <w:rFonts w:asciiTheme="majorEastAsia" w:hAnsiTheme="majorEastAsia" w:eastAsiaTheme="majorEastAsia" w:cstheme="majorEastAsia"/>
              <w:sz w:val="24"/>
            </w:rPr>
          </w:pPr>
          <w:r>
            <w:fldChar w:fldCharType="begin"/>
          </w:r>
          <w:r>
            <w:instrText xml:space="preserve"> HYPERLINK \l "_Toc12330" </w:instrText>
          </w:r>
          <w:r>
            <w:fldChar w:fldCharType="separate"/>
          </w:r>
          <w:r>
            <w:rPr>
              <w:rFonts w:hint="eastAsia" w:asciiTheme="majorEastAsia" w:hAnsiTheme="majorEastAsia" w:eastAsiaTheme="majorEastAsia" w:cstheme="majorEastAsia"/>
              <w:sz w:val="24"/>
            </w:rPr>
            <w:t>（三）产出</w:t>
          </w:r>
          <w:r>
            <w:rPr>
              <w:rFonts w:hint="eastAsia" w:asciiTheme="majorEastAsia" w:hAnsiTheme="majorEastAsia" w:eastAsiaTheme="majorEastAsia" w:cstheme="majorEastAsia"/>
              <w:sz w:val="24"/>
            </w:rPr>
            <w:tab/>
          </w:r>
          <w:r>
            <w:rPr>
              <w:rFonts w:hint="eastAsia" w:asciiTheme="majorEastAsia" w:hAnsiTheme="majorEastAsia" w:eastAsiaTheme="majorEastAsia" w:cstheme="majorEastAsia"/>
              <w:sz w:val="24"/>
            </w:rPr>
            <w:fldChar w:fldCharType="begin"/>
          </w:r>
          <w:r>
            <w:rPr>
              <w:rFonts w:hint="eastAsia" w:asciiTheme="majorEastAsia" w:hAnsiTheme="majorEastAsia" w:eastAsiaTheme="majorEastAsia" w:cstheme="majorEastAsia"/>
              <w:sz w:val="24"/>
            </w:rPr>
            <w:instrText xml:space="preserve"> PAGEREF _Toc12330 </w:instrText>
          </w:r>
          <w:r>
            <w:rPr>
              <w:rFonts w:hint="eastAsia" w:asciiTheme="majorEastAsia" w:hAnsiTheme="majorEastAsia" w:eastAsiaTheme="majorEastAsia" w:cstheme="majorEastAsia"/>
              <w:sz w:val="24"/>
            </w:rPr>
            <w:fldChar w:fldCharType="separate"/>
          </w:r>
          <w:r>
            <w:rPr>
              <w:rFonts w:hint="eastAsia" w:asciiTheme="majorEastAsia" w:hAnsiTheme="majorEastAsia" w:eastAsiaTheme="majorEastAsia" w:cstheme="majorEastAsia"/>
              <w:sz w:val="24"/>
            </w:rPr>
            <w:t>29</w:t>
          </w:r>
          <w:r>
            <w:rPr>
              <w:rFonts w:hint="eastAsia" w:asciiTheme="majorEastAsia" w:hAnsiTheme="majorEastAsia" w:eastAsiaTheme="majorEastAsia" w:cstheme="majorEastAsia"/>
              <w:sz w:val="24"/>
            </w:rPr>
            <w:fldChar w:fldCharType="end"/>
          </w:r>
          <w:r>
            <w:rPr>
              <w:rFonts w:hint="eastAsia" w:asciiTheme="majorEastAsia" w:hAnsiTheme="majorEastAsia" w:eastAsiaTheme="majorEastAsia" w:cstheme="majorEastAsia"/>
              <w:sz w:val="24"/>
            </w:rPr>
            <w:fldChar w:fldCharType="end"/>
          </w:r>
        </w:p>
        <w:p w14:paraId="6888B3A3">
          <w:pPr>
            <w:pStyle w:val="5"/>
            <w:tabs>
              <w:tab w:val="right" w:leader="dot" w:pos="8312"/>
            </w:tabs>
            <w:spacing w:line="312" w:lineRule="auto"/>
            <w:ind w:left="0" w:leftChars="0" w:firstLine="280" w:firstLineChars="100"/>
            <w:rPr>
              <w:rFonts w:hint="default" w:asciiTheme="majorEastAsia" w:hAnsiTheme="majorEastAsia" w:eastAsiaTheme="majorEastAsia" w:cstheme="majorEastAsia"/>
              <w:sz w:val="24"/>
              <w:lang w:val="en-US"/>
            </w:rPr>
          </w:pPr>
          <w:r>
            <w:fldChar w:fldCharType="begin"/>
          </w:r>
          <w:r>
            <w:instrText xml:space="preserve"> HYPERLINK \l "_Toc28363" </w:instrText>
          </w:r>
          <w:r>
            <w:fldChar w:fldCharType="separate"/>
          </w:r>
          <w:r>
            <w:rPr>
              <w:rFonts w:hint="eastAsia" w:asciiTheme="majorEastAsia" w:hAnsiTheme="majorEastAsia" w:eastAsiaTheme="majorEastAsia" w:cstheme="majorEastAsia"/>
              <w:sz w:val="24"/>
            </w:rPr>
            <w:t>（四）效果</w:t>
          </w:r>
          <w:r>
            <w:rPr>
              <w:rFonts w:hint="eastAsia" w:asciiTheme="majorEastAsia" w:hAnsiTheme="majorEastAsia" w:eastAsiaTheme="majorEastAsia" w:cstheme="majorEastAsia"/>
              <w:sz w:val="24"/>
            </w:rPr>
            <w:tab/>
          </w:r>
          <w:r>
            <w:rPr>
              <w:rFonts w:hint="default" w:asciiTheme="majorEastAsia" w:hAnsiTheme="majorEastAsia" w:eastAsiaTheme="majorEastAsia" w:cstheme="majorEastAsia"/>
              <w:sz w:val="24"/>
              <w:lang w:val="en-US"/>
            </w:rPr>
            <w:t>3</w:t>
          </w:r>
          <w:r>
            <w:rPr>
              <w:rFonts w:hint="eastAsia" w:asciiTheme="majorEastAsia" w:hAnsiTheme="majorEastAsia" w:eastAsiaTheme="majorEastAsia" w:cstheme="majorEastAsia"/>
              <w:sz w:val="24"/>
            </w:rPr>
            <w:fldChar w:fldCharType="end"/>
          </w:r>
          <w:r>
            <w:rPr>
              <w:rFonts w:hint="default" w:asciiTheme="majorEastAsia" w:hAnsiTheme="majorEastAsia" w:eastAsiaTheme="majorEastAsia" w:cstheme="majorEastAsia"/>
              <w:sz w:val="24"/>
              <w:lang w:val="en-US"/>
            </w:rPr>
            <w:t>1</w:t>
          </w:r>
        </w:p>
        <w:p w14:paraId="3FC23479">
          <w:pPr>
            <w:pStyle w:val="7"/>
            <w:tabs>
              <w:tab w:val="right" w:leader="dot" w:pos="8312"/>
            </w:tabs>
            <w:spacing w:line="312" w:lineRule="auto"/>
            <w:ind w:left="0" w:leftChars="0"/>
            <w:rPr>
              <w:rFonts w:hint="default" w:asciiTheme="majorEastAsia" w:hAnsiTheme="majorEastAsia" w:eastAsiaTheme="majorEastAsia" w:cstheme="majorEastAsia"/>
              <w:sz w:val="24"/>
              <w:lang w:val="en-US"/>
            </w:rPr>
          </w:pPr>
          <w:r>
            <w:fldChar w:fldCharType="begin"/>
          </w:r>
          <w:r>
            <w:instrText xml:space="preserve"> HYPERLINK \l "_Toc13757" </w:instrText>
          </w:r>
          <w:r>
            <w:fldChar w:fldCharType="separate"/>
          </w:r>
          <w:r>
            <w:rPr>
              <w:rFonts w:hint="eastAsia" w:asciiTheme="majorEastAsia" w:hAnsiTheme="majorEastAsia" w:eastAsiaTheme="majorEastAsia" w:cstheme="majorEastAsia"/>
              <w:b/>
              <w:bCs/>
              <w:sz w:val="24"/>
            </w:rPr>
            <w:t>五、绩效评价发现的问题</w:t>
          </w:r>
          <w:r>
            <w:rPr>
              <w:rFonts w:hint="eastAsia" w:asciiTheme="majorEastAsia" w:hAnsiTheme="majorEastAsia" w:eastAsiaTheme="majorEastAsia" w:cstheme="majorEastAsia"/>
              <w:b/>
              <w:bCs/>
              <w:sz w:val="24"/>
            </w:rPr>
            <w:tab/>
          </w:r>
          <w:r>
            <w:rPr>
              <w:rFonts w:hint="default" w:asciiTheme="majorEastAsia" w:hAnsiTheme="majorEastAsia" w:eastAsiaTheme="majorEastAsia" w:cstheme="majorEastAsia"/>
              <w:b/>
              <w:bCs/>
              <w:sz w:val="24"/>
              <w:lang w:val="en-US"/>
            </w:rPr>
            <w:t>3</w:t>
          </w:r>
          <w:r>
            <w:rPr>
              <w:rFonts w:hint="eastAsia" w:asciiTheme="majorEastAsia" w:hAnsiTheme="majorEastAsia" w:eastAsiaTheme="majorEastAsia" w:cstheme="majorEastAsia"/>
              <w:b/>
              <w:bCs/>
              <w:sz w:val="24"/>
            </w:rPr>
            <w:fldChar w:fldCharType="end"/>
          </w:r>
          <w:r>
            <w:rPr>
              <w:rFonts w:hint="default" w:asciiTheme="majorEastAsia" w:hAnsiTheme="majorEastAsia" w:eastAsiaTheme="majorEastAsia" w:cstheme="majorEastAsia"/>
              <w:b/>
              <w:bCs/>
              <w:sz w:val="24"/>
              <w:lang w:val="en-US"/>
            </w:rPr>
            <w:t>2</w:t>
          </w:r>
        </w:p>
        <w:p w14:paraId="52A17AC4">
          <w:pPr>
            <w:pStyle w:val="7"/>
            <w:tabs>
              <w:tab w:val="right" w:leader="dot" w:pos="8312"/>
            </w:tabs>
            <w:spacing w:line="312" w:lineRule="auto"/>
            <w:ind w:left="0" w:leftChars="0"/>
            <w:rPr>
              <w:b/>
              <w:bCs/>
            </w:rPr>
          </w:pPr>
          <w:r>
            <w:fldChar w:fldCharType="begin"/>
          </w:r>
          <w:r>
            <w:instrText xml:space="preserve"> HYPERLINK \l "_Toc20723" </w:instrText>
          </w:r>
          <w:r>
            <w:fldChar w:fldCharType="separate"/>
          </w:r>
          <w:r>
            <w:rPr>
              <w:rFonts w:hint="eastAsia" w:asciiTheme="majorEastAsia" w:hAnsiTheme="majorEastAsia" w:eastAsiaTheme="majorEastAsia" w:cstheme="majorEastAsia"/>
              <w:b/>
              <w:bCs/>
              <w:sz w:val="24"/>
            </w:rPr>
            <w:t>六、绩效评价意见及建议</w:t>
          </w:r>
          <w:r>
            <w:rPr>
              <w:rFonts w:hint="eastAsia" w:asciiTheme="majorEastAsia" w:hAnsiTheme="majorEastAsia" w:eastAsiaTheme="majorEastAsia" w:cstheme="majorEastAsia"/>
              <w:b/>
              <w:bCs/>
              <w:sz w:val="24"/>
            </w:rPr>
            <w:tab/>
          </w:r>
          <w:r>
            <w:rPr>
              <w:rFonts w:hint="eastAsia" w:asciiTheme="majorEastAsia" w:hAnsiTheme="majorEastAsia" w:eastAsiaTheme="majorEastAsia" w:cstheme="majorEastAsia"/>
              <w:b/>
              <w:bCs/>
              <w:sz w:val="24"/>
            </w:rPr>
            <w:fldChar w:fldCharType="begin"/>
          </w:r>
          <w:r>
            <w:rPr>
              <w:rFonts w:hint="eastAsia" w:asciiTheme="majorEastAsia" w:hAnsiTheme="majorEastAsia" w:eastAsiaTheme="majorEastAsia" w:cstheme="majorEastAsia"/>
              <w:b/>
              <w:bCs/>
              <w:sz w:val="24"/>
            </w:rPr>
            <w:instrText xml:space="preserve"> PAGEREF _Toc20723 </w:instrText>
          </w:r>
          <w:r>
            <w:rPr>
              <w:rFonts w:hint="eastAsia" w:asciiTheme="majorEastAsia" w:hAnsiTheme="majorEastAsia" w:eastAsiaTheme="majorEastAsia" w:cstheme="majorEastAsia"/>
              <w:b/>
              <w:bCs/>
              <w:sz w:val="24"/>
            </w:rPr>
            <w:fldChar w:fldCharType="separate"/>
          </w:r>
          <w:r>
            <w:rPr>
              <w:rFonts w:hint="eastAsia" w:asciiTheme="majorEastAsia" w:hAnsiTheme="majorEastAsia" w:eastAsiaTheme="majorEastAsia" w:cstheme="majorEastAsia"/>
              <w:b/>
              <w:bCs/>
              <w:sz w:val="24"/>
            </w:rPr>
            <w:t>32</w:t>
          </w:r>
          <w:r>
            <w:rPr>
              <w:rFonts w:hint="eastAsia" w:asciiTheme="majorEastAsia" w:hAnsiTheme="majorEastAsia" w:eastAsiaTheme="majorEastAsia" w:cstheme="majorEastAsia"/>
              <w:b/>
              <w:bCs/>
              <w:sz w:val="24"/>
            </w:rPr>
            <w:fldChar w:fldCharType="end"/>
          </w:r>
          <w:r>
            <w:rPr>
              <w:rFonts w:hint="eastAsia" w:asciiTheme="majorEastAsia" w:hAnsiTheme="majorEastAsia" w:eastAsiaTheme="majorEastAsia" w:cstheme="majorEastAsia"/>
              <w:b/>
              <w:bCs/>
              <w:sz w:val="24"/>
            </w:rPr>
            <w:fldChar w:fldCharType="end"/>
          </w:r>
        </w:p>
        <w:p w14:paraId="6369EE3B">
          <w:pPr>
            <w:spacing w:line="312" w:lineRule="auto"/>
            <w:ind w:firstLine="440" w:firstLineChars="200"/>
            <w:jc w:val="both"/>
            <w:sectPr>
              <w:footerReference r:id="rId4" w:type="default"/>
              <w:pgSz w:w="11906" w:h="16838"/>
              <w:pgMar w:top="1440" w:right="1797" w:bottom="1191" w:left="1797" w:header="709" w:footer="709" w:gutter="0"/>
              <w:pgNumType w:start="1"/>
              <w:cols w:space="708" w:num="1"/>
              <w:docGrid w:linePitch="360" w:charSpace="0"/>
            </w:sectPr>
          </w:pPr>
          <w:r>
            <w:rPr>
              <w:rFonts w:asciiTheme="minorEastAsia" w:hAnsiTheme="minorEastAsia" w:eastAsiaTheme="minorEastAsia"/>
              <w:szCs w:val="24"/>
            </w:rPr>
            <w:fldChar w:fldCharType="end"/>
          </w:r>
        </w:p>
      </w:sdtContent>
    </w:sdt>
    <w:p w14:paraId="0FAADFEA">
      <w:pPr>
        <w:pStyle w:val="3"/>
        <w:spacing w:line="540" w:lineRule="exact"/>
        <w:jc w:val="center"/>
        <w:rPr>
          <w:rFonts w:ascii="黑体" w:hAnsi="黑体"/>
          <w:b w:val="0"/>
        </w:rPr>
      </w:pPr>
      <w:bookmarkStart w:id="0" w:name="_Toc25184"/>
      <w:r>
        <w:rPr>
          <w:rFonts w:hint="eastAsia" w:ascii="黑体" w:hAnsi="黑体"/>
          <w:b w:val="0"/>
        </w:rPr>
        <w:t>第一部分   摘  要</w:t>
      </w:r>
      <w:bookmarkEnd w:id="0"/>
    </w:p>
    <w:p w14:paraId="440AD966">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为深入贯彻落实中共中央国务院《关于全面实施预算绩效管理的意见》、中共河北省委河北省人民政府《关于全面实施预算绩效管理的实施意见》、河北省财政厅《全面实施预算绩效管理推进工作方案》的精神，进一步加强和规范预算绩效运行监控工作，确保绩效目标如期保质保量实现，提高预算执行效率和财政资金使用效益，我单位对</w:t>
      </w:r>
      <w:r>
        <w:rPr>
          <w:rFonts w:ascii="仿宋_GB2312" w:eastAsia="仿宋_GB2312" w:cs="DengXian-Regular"/>
          <w:sz w:val="32"/>
          <w:szCs w:val="32"/>
        </w:rPr>
        <w:t>2021</w:t>
      </w:r>
      <w:r>
        <w:rPr>
          <w:rFonts w:hint="eastAsia" w:ascii="仿宋_GB2312" w:eastAsia="仿宋_GB2312" w:cs="DengXian-Regular"/>
          <w:sz w:val="32"/>
          <w:szCs w:val="32"/>
        </w:rPr>
        <w:t>年部门整体支出情况开展了绩效自评价工作。</w:t>
      </w:r>
    </w:p>
    <w:p w14:paraId="44701BB7">
      <w:pPr>
        <w:spacing w:line="58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保定市徐水区</w:t>
      </w:r>
      <w:r>
        <w:rPr>
          <w:rFonts w:hint="eastAsia" w:ascii="仿宋_GB2312" w:eastAsia="仿宋_GB2312" w:cs="DengXian-Regular"/>
          <w:sz w:val="32"/>
          <w:szCs w:val="32"/>
          <w:lang w:eastAsia="zh-CN"/>
        </w:rPr>
        <w:t>政法委</w:t>
      </w:r>
      <w:r>
        <w:rPr>
          <w:rFonts w:hint="eastAsia" w:ascii="仿宋_GB2312" w:eastAsia="仿宋_GB2312" w:cs="DengXian-Regular"/>
          <w:sz w:val="32"/>
          <w:szCs w:val="32"/>
        </w:rPr>
        <w:t>为正科级行政单位，经费保障形式为财政拨款，下设4个股室，分别为</w:t>
      </w:r>
      <w:r>
        <w:rPr>
          <w:rFonts w:hint="eastAsia" w:ascii="仿宋_GB2312" w:eastAsia="仿宋_GB2312"/>
          <w:sz w:val="32"/>
          <w:szCs w:val="32"/>
        </w:rPr>
        <w:t>办公室、政治工作室、综治指导室、维稳指导室，</w:t>
      </w:r>
      <w:r>
        <w:rPr>
          <w:rFonts w:hint="eastAsia" w:ascii="仿宋_GB2312" w:eastAsia="仿宋_GB2312" w:cs="DengXian-Regular"/>
          <w:sz w:val="32"/>
          <w:szCs w:val="32"/>
        </w:rPr>
        <w:t>主要职责有：根据中共保定市徐水区委办公室《中共保定市徐水区委办公室关于印发&lt;中共保定市徐水区委政法委员会职能配置、内设机构和人员编制规定&gt;的通知》（徐办字[2019]34号），保定市徐水区委政法委员会的主要职责：</w:t>
      </w:r>
    </w:p>
    <w:p w14:paraId="6496FC6A">
      <w:pPr>
        <w:spacing w:after="0" w:line="360" w:lineRule="auto"/>
        <w:ind w:firstLine="640" w:firstLineChars="200"/>
        <w:jc w:val="both"/>
        <w:textAlignment w:val="baseline"/>
        <w:rPr>
          <w:rFonts w:hint="eastAsia" w:ascii="仿宋_GB2312" w:eastAsia="仿宋_GB2312" w:cs="DengXian-Regular"/>
          <w:sz w:val="32"/>
          <w:szCs w:val="32"/>
        </w:rPr>
      </w:pPr>
      <w:r>
        <w:rPr>
          <w:rFonts w:hint="eastAsia" w:ascii="仿宋_GB2312" w:eastAsia="仿宋_GB2312" w:cs="DengXian-Regular"/>
          <w:sz w:val="32"/>
          <w:szCs w:val="32"/>
        </w:rPr>
        <w:t>（一）深入贯彻习近平新时代中国特色社会主义思想，坚持党对政法工作的绝对领导，坚决执行党的路线方针政策和党中央重大决策部署，推动完善和落实政治轮训和政治督察制度。</w:t>
      </w:r>
    </w:p>
    <w:p w14:paraId="277B446F">
      <w:pPr>
        <w:spacing w:after="0" w:line="360" w:lineRule="auto"/>
        <w:ind w:firstLine="640" w:firstLineChars="200"/>
        <w:jc w:val="both"/>
        <w:textAlignment w:val="baseline"/>
        <w:rPr>
          <w:rFonts w:hint="eastAsia" w:ascii="仿宋_GB2312" w:eastAsia="仿宋_GB2312" w:cs="DengXian-Regular"/>
          <w:sz w:val="32"/>
          <w:szCs w:val="32"/>
        </w:rPr>
      </w:pPr>
      <w:r>
        <w:rPr>
          <w:rFonts w:hint="eastAsia" w:ascii="仿宋_GB2312" w:eastAsia="仿宋_GB2312" w:cs="DengXian-Regular"/>
          <w:sz w:val="32"/>
          <w:szCs w:val="32"/>
        </w:rPr>
        <w:t>（二）贯彻党中央以及上级党组织决定，研究协调政法单位之间、政法单位和有关部门之间有关重大事项，统一政法单位思想和行动。</w:t>
      </w:r>
    </w:p>
    <w:p w14:paraId="4244FBDB">
      <w:pPr>
        <w:spacing w:after="0" w:line="360" w:lineRule="auto"/>
        <w:ind w:firstLine="640" w:firstLineChars="200"/>
        <w:jc w:val="both"/>
        <w:textAlignment w:val="baseline"/>
        <w:rPr>
          <w:rFonts w:hint="eastAsia" w:ascii="仿宋_GB2312" w:eastAsia="仿宋_GB2312" w:cs="DengXian-Regular"/>
          <w:sz w:val="32"/>
          <w:szCs w:val="32"/>
        </w:rPr>
      </w:pPr>
      <w:r>
        <w:rPr>
          <w:rFonts w:hint="eastAsia" w:ascii="仿宋_GB2312" w:eastAsia="仿宋_GB2312" w:cs="DengXian-Regular"/>
          <w:sz w:val="32"/>
          <w:szCs w:val="32"/>
        </w:rPr>
        <w:t>（三）加强对政法领域重大实践和理论问题调查研究，提出重大决策部署和改革措施的意见和建议，协助区委决策和统筹推进政法改革等各项工作。</w:t>
      </w:r>
    </w:p>
    <w:p w14:paraId="5B31FDB7">
      <w:pPr>
        <w:spacing w:after="0" w:line="360" w:lineRule="auto"/>
        <w:ind w:firstLine="640" w:firstLineChars="200"/>
        <w:jc w:val="both"/>
        <w:textAlignment w:val="baseline"/>
        <w:rPr>
          <w:rFonts w:hint="eastAsia" w:ascii="仿宋_GB2312" w:eastAsia="仿宋_GB2312" w:cs="DengXian-Regular"/>
          <w:sz w:val="32"/>
          <w:szCs w:val="32"/>
        </w:rPr>
      </w:pPr>
      <w:r>
        <w:rPr>
          <w:rFonts w:hint="eastAsia" w:ascii="仿宋_GB2312" w:eastAsia="仿宋_GB2312" w:cs="DengXian-Regular"/>
          <w:sz w:val="32"/>
          <w:szCs w:val="32"/>
        </w:rPr>
        <w:t>（四）了解掌握和分析研判社会稳定形势、政法工作情况动态，创新完善多部门参与的平安建设工作协调机制，协调推动预防、化解影响稳定的社会矛盾和风险，协调应对和妥善处置重大突发事件，协调指导政法单位和相关部门做好反邪教工作。</w:t>
      </w:r>
    </w:p>
    <w:p w14:paraId="27D27417">
      <w:pPr>
        <w:spacing w:after="0" w:line="360" w:lineRule="auto"/>
        <w:ind w:firstLine="640" w:firstLineChars="200"/>
        <w:jc w:val="both"/>
        <w:textAlignment w:val="baseline"/>
        <w:rPr>
          <w:rFonts w:hint="eastAsia" w:ascii="仿宋_GB2312" w:eastAsia="仿宋_GB2312" w:cs="DengXian-Regular"/>
          <w:sz w:val="32"/>
          <w:szCs w:val="32"/>
        </w:rPr>
      </w:pPr>
      <w:r>
        <w:rPr>
          <w:rFonts w:hint="eastAsia" w:ascii="仿宋_GB2312" w:eastAsia="仿宋_GB2312" w:cs="DengXian-Regular"/>
          <w:sz w:val="32"/>
          <w:szCs w:val="32"/>
        </w:rPr>
        <w:t>（五）加强对政法工作的督查，统筹协调社会治安综合治理、维护社会稳定等有关国家法律法规和政策的实施工作。</w:t>
      </w:r>
    </w:p>
    <w:p w14:paraId="4BF1D167">
      <w:pPr>
        <w:spacing w:after="0" w:line="360" w:lineRule="auto"/>
        <w:ind w:firstLine="640" w:firstLineChars="200"/>
        <w:jc w:val="both"/>
        <w:textAlignment w:val="baseline"/>
        <w:rPr>
          <w:rFonts w:hint="eastAsia" w:ascii="仿宋_GB2312" w:eastAsia="仿宋_GB2312" w:cs="DengXian-Regular"/>
          <w:sz w:val="32"/>
          <w:szCs w:val="32"/>
        </w:rPr>
      </w:pPr>
      <w:r>
        <w:rPr>
          <w:rFonts w:hint="eastAsia" w:ascii="仿宋_GB2312" w:eastAsia="仿宋_GB2312" w:cs="DengXian-Regular"/>
          <w:sz w:val="32"/>
          <w:szCs w:val="32"/>
        </w:rPr>
        <w:t>（六）支持和监督政法单位依法行使职权，检查政法单位执行党的路线方针政策、党中央重大决策部署和国家法律法规的情况，指导和协调政法单位密切配合，完善与纪检监察机关工作衔接和协作配合机制，推进严格执法、公正司法。</w:t>
      </w:r>
    </w:p>
    <w:p w14:paraId="201A6656">
      <w:pPr>
        <w:spacing w:after="0" w:line="360" w:lineRule="auto"/>
        <w:ind w:firstLine="640" w:firstLineChars="200"/>
        <w:jc w:val="both"/>
        <w:textAlignment w:val="baseline"/>
        <w:rPr>
          <w:rFonts w:hint="eastAsia" w:ascii="仿宋_GB2312" w:eastAsia="仿宋_GB2312" w:cs="DengXian-Regular"/>
          <w:sz w:val="32"/>
          <w:szCs w:val="32"/>
        </w:rPr>
      </w:pPr>
      <w:r>
        <w:rPr>
          <w:rFonts w:hint="eastAsia" w:ascii="仿宋_GB2312" w:eastAsia="仿宋_GB2312" w:cs="DengXian-Regular"/>
          <w:sz w:val="32"/>
          <w:szCs w:val="32"/>
        </w:rPr>
        <w:t>（七）指导和推动政法单位党的建设和政法队伍建设，协助区委及其组织部门加强政法单位领导班子和干部队伍建设，协助区委和纪检监察机关做好监督检查、审查调查工作，派员列席同级政法单位党组（党委）民主生活会。</w:t>
      </w:r>
    </w:p>
    <w:p w14:paraId="6E9D71B2">
      <w:pPr>
        <w:spacing w:after="0" w:line="360" w:lineRule="auto"/>
        <w:ind w:firstLine="640" w:firstLineChars="200"/>
        <w:jc w:val="both"/>
        <w:textAlignment w:val="baseline"/>
        <w:rPr>
          <w:rFonts w:hint="eastAsia" w:ascii="仿宋_GB2312" w:eastAsia="仿宋_GB2312" w:cs="DengXian-Regular"/>
          <w:sz w:val="32"/>
          <w:szCs w:val="32"/>
        </w:rPr>
      </w:pPr>
      <w:r>
        <w:rPr>
          <w:rFonts w:hint="eastAsia" w:ascii="仿宋_GB2312" w:eastAsia="仿宋_GB2312" w:cs="DengXian-Regular"/>
          <w:sz w:val="32"/>
          <w:szCs w:val="32"/>
        </w:rPr>
        <w:t>（八）落实中央和地方各级全面依法治国领导机构的决策部署，支持配合其办事机构工作；指导政法单位加强国家政治安全战略研究、法治中国建设重大问题研究，提出建议和工作意见，指导和协调政法单位维护政治安全工作和执法司法相关工作。</w:t>
      </w:r>
    </w:p>
    <w:p w14:paraId="1ABDC55E">
      <w:pPr>
        <w:spacing w:after="0" w:line="360" w:lineRule="auto"/>
        <w:ind w:firstLine="640" w:firstLineChars="200"/>
        <w:jc w:val="both"/>
        <w:textAlignment w:val="baseline"/>
        <w:rPr>
          <w:rFonts w:hint="eastAsia" w:ascii="仿宋_GB2312" w:eastAsia="仿宋_GB2312" w:cs="DengXian-Regular"/>
          <w:sz w:val="32"/>
          <w:szCs w:val="32"/>
        </w:rPr>
      </w:pPr>
      <w:r>
        <w:rPr>
          <w:rFonts w:hint="eastAsia" w:ascii="仿宋_GB2312" w:eastAsia="仿宋_GB2312" w:cs="DengXian-Regular"/>
          <w:sz w:val="32"/>
          <w:szCs w:val="32"/>
        </w:rPr>
        <w:t>（九）掌握分析政法舆情动态，指导和协调政法单位和有关部门做好依法办理、宣传报道和舆论引导等相关工作。</w:t>
      </w:r>
    </w:p>
    <w:p w14:paraId="7691FABC">
      <w:pPr>
        <w:spacing w:after="0" w:line="360" w:lineRule="auto"/>
        <w:ind w:firstLine="640" w:firstLineChars="200"/>
        <w:jc w:val="both"/>
        <w:textAlignment w:val="baseline"/>
        <w:rPr>
          <w:rFonts w:hint="eastAsia" w:ascii="仿宋_GB2312" w:eastAsia="仿宋_GB2312" w:cs="DengXian-Regular"/>
          <w:sz w:val="32"/>
          <w:szCs w:val="32"/>
        </w:rPr>
      </w:pPr>
      <w:r>
        <w:rPr>
          <w:rFonts w:hint="eastAsia" w:ascii="仿宋_GB2312" w:eastAsia="仿宋_GB2312" w:cs="DengXian-Regular"/>
          <w:sz w:val="32"/>
          <w:szCs w:val="32"/>
        </w:rPr>
        <w:t>（十）组织研究政法改革中带有方向性、倾向性和普遍性的重大问题，深化政法改革，联系区委全面依法治区委员会办公室。</w:t>
      </w:r>
    </w:p>
    <w:p w14:paraId="387AFA07">
      <w:pPr>
        <w:spacing w:after="0" w:line="360" w:lineRule="auto"/>
        <w:ind w:firstLine="640" w:firstLineChars="200"/>
        <w:jc w:val="both"/>
        <w:textAlignment w:val="baseline"/>
        <w:rPr>
          <w:rFonts w:hint="eastAsia" w:ascii="仿宋_GB2312" w:eastAsia="仿宋_GB2312" w:cs="DengXian-Regular"/>
          <w:sz w:val="32"/>
          <w:szCs w:val="32"/>
        </w:rPr>
      </w:pPr>
      <w:r>
        <w:rPr>
          <w:rFonts w:hint="eastAsia" w:ascii="仿宋_GB2312" w:eastAsia="仿宋_GB2312" w:cs="DengXian-Regular"/>
          <w:sz w:val="32"/>
          <w:szCs w:val="32"/>
        </w:rPr>
        <w:t>（十一）统筹推动全区政法系统信息化工作，指导政法智能化建设。</w:t>
      </w:r>
    </w:p>
    <w:p w14:paraId="09EACEB6">
      <w:pPr>
        <w:spacing w:after="0" w:line="360" w:lineRule="auto"/>
        <w:ind w:firstLine="640" w:firstLineChars="200"/>
        <w:jc w:val="both"/>
        <w:textAlignment w:val="baseline"/>
        <w:rPr>
          <w:rFonts w:hint="eastAsia" w:ascii="仿宋_GB2312" w:eastAsia="仿宋_GB2312" w:cs="DengXian-Regular"/>
          <w:sz w:val="32"/>
          <w:szCs w:val="32"/>
        </w:rPr>
      </w:pPr>
      <w:r>
        <w:rPr>
          <w:rFonts w:hint="eastAsia" w:ascii="仿宋_GB2312" w:eastAsia="仿宋_GB2312" w:cs="DengXian-Regular"/>
          <w:sz w:val="32"/>
          <w:szCs w:val="32"/>
        </w:rPr>
        <w:t>（十二）完成区委和上级党委政法委员会交办的其他任务。</w:t>
      </w:r>
    </w:p>
    <w:p w14:paraId="7DB4F4BE">
      <w:pPr>
        <w:spacing w:after="0" w:line="360" w:lineRule="auto"/>
        <w:ind w:firstLine="640" w:firstLineChars="200"/>
        <w:jc w:val="both"/>
        <w:textAlignment w:val="baseline"/>
        <w:rPr>
          <w:rFonts w:hint="eastAsia" w:ascii="仿宋_GB2312" w:eastAsia="仿宋_GB2312" w:cs="DengXian-Regular"/>
          <w:sz w:val="32"/>
          <w:szCs w:val="32"/>
        </w:rPr>
      </w:pPr>
      <w:r>
        <w:rPr>
          <w:rFonts w:hint="eastAsia" w:ascii="仿宋_GB2312" w:eastAsia="仿宋_GB2312" w:cs="DengXian-Regular"/>
          <w:sz w:val="32"/>
          <w:szCs w:val="32"/>
        </w:rPr>
        <w:t>承担主体责任，负责全区政法工作。</w:t>
      </w:r>
    </w:p>
    <w:p w14:paraId="5E68D1F3">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绩效评价是制定科学合理的评价方法、评价标准和指标体系，对财政资金的使用及产生的效益进行客观、公正的评价。通过部门整体支出绩效评价工作了解部门绩效目标和指标的设置及完成情况；部门整体资金预算情况、实际收支及结转结余情况；部门履职对社会发展所带来的直接或间接影响及服务对象对部门履职效果的满意程度，促使相关部门根据绩效评价过程中发现的问题，及时整改并总结经验，提高部门管理水平，牢固树立预算绩效理念，强化部门支出责任，提高预算执行效率和财政资金使用效益。</w:t>
      </w:r>
    </w:p>
    <w:p w14:paraId="445BE1E3">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评价工作经过了前期准备、绩效评价实施方案和指标体系制定、组织实施、绩效评价报告撰写四个阶段。</w:t>
      </w:r>
    </w:p>
    <w:p w14:paraId="147376B7">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按照中共河北省委河北省人民政府《关于全面实施预算绩效管理的实施意见》的相关规定，以河北省财政厅《全面实施预算绩效管理推进工作方案》、《保定市徐水区部门预算绩效运行监控工作规程》中的相关工作要求作为评价标准，采取定量和定性评价相结合的方法，对资料进行审核、分析，实事求是、客观公正地完成了</w:t>
      </w:r>
      <w:r>
        <w:rPr>
          <w:rFonts w:hint="eastAsia" w:ascii="仿宋_GB2312" w:eastAsia="仿宋_GB2312" w:cs="DengXian-Regular"/>
          <w:sz w:val="32"/>
          <w:szCs w:val="32"/>
          <w:lang w:eastAsia="zh-CN"/>
        </w:rPr>
        <w:t>保定市徐水区政法委</w:t>
      </w:r>
      <w:r>
        <w:rPr>
          <w:rFonts w:hint="eastAsia" w:ascii="仿宋_GB2312" w:eastAsia="仿宋_GB2312" w:cs="DengXian-Regular"/>
          <w:sz w:val="32"/>
          <w:szCs w:val="32"/>
        </w:rPr>
        <w:t>202</w:t>
      </w:r>
      <w:r>
        <w:rPr>
          <w:rFonts w:ascii="仿宋_GB2312" w:eastAsia="仿宋_GB2312" w:cs="DengXian-Regular"/>
          <w:sz w:val="32"/>
          <w:szCs w:val="32"/>
        </w:rPr>
        <w:t>1</w:t>
      </w:r>
      <w:r>
        <w:rPr>
          <w:rFonts w:hint="eastAsia" w:ascii="仿宋_GB2312" w:eastAsia="仿宋_GB2312" w:cs="DengXian-Regular"/>
          <w:sz w:val="32"/>
          <w:szCs w:val="32"/>
        </w:rPr>
        <w:t>年部门整体支出绩效评价工作。</w:t>
      </w:r>
    </w:p>
    <w:p w14:paraId="5FACEEB9">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区</w:t>
      </w:r>
      <w:r>
        <w:rPr>
          <w:rFonts w:hint="eastAsia" w:ascii="仿宋_GB2312" w:eastAsia="仿宋_GB2312" w:cs="DengXian-Regular"/>
          <w:sz w:val="32"/>
          <w:szCs w:val="32"/>
          <w:lang w:eastAsia="zh-CN"/>
        </w:rPr>
        <w:t>政法委</w:t>
      </w:r>
      <w:r>
        <w:rPr>
          <w:rFonts w:hint="eastAsia" w:ascii="仿宋_GB2312" w:eastAsia="仿宋_GB2312" w:cs="DengXian-Regular"/>
          <w:sz w:val="32"/>
          <w:szCs w:val="32"/>
        </w:rPr>
        <w:t>202</w:t>
      </w:r>
      <w:r>
        <w:rPr>
          <w:rFonts w:ascii="仿宋_GB2312" w:eastAsia="仿宋_GB2312" w:cs="DengXian-Regular"/>
          <w:sz w:val="32"/>
          <w:szCs w:val="32"/>
        </w:rPr>
        <w:t>1</w:t>
      </w:r>
      <w:r>
        <w:rPr>
          <w:rFonts w:hint="eastAsia" w:ascii="仿宋_GB2312" w:eastAsia="仿宋_GB2312" w:cs="DengXian-Regular"/>
          <w:sz w:val="32"/>
          <w:szCs w:val="32"/>
        </w:rPr>
        <w:t>年部门整体支出绩效评价指标体系共设置4个一级指标、7个二级指标、27个三级指标，从投入、过程、产出、效果四个方面对区</w:t>
      </w:r>
      <w:r>
        <w:rPr>
          <w:rFonts w:hint="eastAsia" w:ascii="仿宋_GB2312" w:eastAsia="仿宋_GB2312" w:cs="DengXian-Regular"/>
          <w:sz w:val="32"/>
          <w:szCs w:val="32"/>
          <w:lang w:eastAsia="zh-CN"/>
        </w:rPr>
        <w:t>政法委</w:t>
      </w:r>
      <w:r>
        <w:rPr>
          <w:rFonts w:hint="eastAsia" w:ascii="仿宋_GB2312" w:eastAsia="仿宋_GB2312" w:cs="DengXian-Regular"/>
          <w:sz w:val="32"/>
          <w:szCs w:val="32"/>
        </w:rPr>
        <w:t>部门整体支出情况评分定级。指标体系设定满分为100分，绩效评价分值≥90为“优”；80≤分值＜90为“良”；60≤分值＜80为“合格”；60分以下为“差”。</w:t>
      </w:r>
    </w:p>
    <w:p w14:paraId="6FA789A2">
      <w:pPr>
        <w:spacing w:after="0" w:line="360" w:lineRule="auto"/>
        <w:ind w:firstLine="640" w:firstLineChars="200"/>
        <w:jc w:val="both"/>
        <w:textAlignment w:val="baseline"/>
        <w:rPr>
          <w:rFonts w:ascii="仿宋_GB2312" w:eastAsia="仿宋_GB2312" w:cs="DengXian-Regular"/>
          <w:sz w:val="32"/>
          <w:szCs w:val="32"/>
          <w:highlight w:val="yellow"/>
        </w:rPr>
      </w:pPr>
      <w:r>
        <w:rPr>
          <w:rFonts w:hint="eastAsia" w:ascii="仿宋_GB2312" w:eastAsia="仿宋_GB2312" w:cs="DengXian-Regular"/>
          <w:sz w:val="32"/>
          <w:szCs w:val="32"/>
        </w:rPr>
        <w:t>区</w:t>
      </w:r>
      <w:r>
        <w:rPr>
          <w:rFonts w:hint="eastAsia" w:ascii="仿宋_GB2312" w:eastAsia="仿宋_GB2312" w:cs="DengXian-Regular"/>
          <w:sz w:val="32"/>
          <w:szCs w:val="32"/>
          <w:lang w:eastAsia="zh-CN"/>
        </w:rPr>
        <w:t>政法委</w:t>
      </w:r>
      <w:r>
        <w:rPr>
          <w:rFonts w:hint="eastAsia" w:ascii="仿宋_GB2312" w:eastAsia="仿宋_GB2312" w:cs="DengXian-Regular"/>
          <w:sz w:val="32"/>
          <w:szCs w:val="32"/>
        </w:rPr>
        <w:t>202</w:t>
      </w:r>
      <w:r>
        <w:rPr>
          <w:rFonts w:ascii="仿宋_GB2312" w:eastAsia="仿宋_GB2312" w:cs="DengXian-Regular"/>
          <w:sz w:val="32"/>
          <w:szCs w:val="32"/>
        </w:rPr>
        <w:t>1</w:t>
      </w:r>
      <w:r>
        <w:rPr>
          <w:rFonts w:hint="eastAsia" w:ascii="仿宋_GB2312" w:eastAsia="仿宋_GB2312" w:cs="DengXian-Regular"/>
          <w:sz w:val="32"/>
          <w:szCs w:val="32"/>
        </w:rPr>
        <w:t>年部门整体支出综合评价得分为</w:t>
      </w:r>
      <w:r>
        <w:rPr>
          <w:rFonts w:hint="default" w:ascii="仿宋_GB2312" w:eastAsia="仿宋_GB2312" w:cs="DengXian-Regular"/>
          <w:sz w:val="32"/>
          <w:szCs w:val="32"/>
          <w:highlight w:val="none"/>
          <w:lang w:val="en-US"/>
        </w:rPr>
        <w:t>97.6</w:t>
      </w:r>
      <w:r>
        <w:rPr>
          <w:rFonts w:hint="eastAsia" w:ascii="仿宋_GB2312" w:eastAsia="仿宋_GB2312" w:cs="DengXian-Regular"/>
          <w:sz w:val="32"/>
          <w:szCs w:val="32"/>
          <w:highlight w:val="none"/>
        </w:rPr>
        <w:t>分，评价等级为</w:t>
      </w:r>
      <w:r>
        <w:rPr>
          <w:rFonts w:hint="eastAsia" w:ascii="仿宋_GB2312" w:eastAsia="仿宋_GB2312" w:cs="DengXian-Regular"/>
          <w:sz w:val="32"/>
          <w:szCs w:val="32"/>
          <w:highlight w:val="none"/>
          <w:lang w:eastAsia="zh-CN"/>
        </w:rPr>
        <w:t>优</w:t>
      </w:r>
      <w:r>
        <w:rPr>
          <w:rFonts w:hint="eastAsia" w:ascii="仿宋_GB2312" w:eastAsia="仿宋_GB2312" w:cs="DengXian-Regular"/>
          <w:sz w:val="32"/>
          <w:szCs w:val="32"/>
          <w:highlight w:val="none"/>
        </w:rPr>
        <w:t>。</w:t>
      </w:r>
    </w:p>
    <w:p w14:paraId="5444DE14">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经评价，区</w:t>
      </w:r>
      <w:r>
        <w:rPr>
          <w:rFonts w:hint="eastAsia" w:ascii="仿宋_GB2312" w:eastAsia="仿宋_GB2312" w:cs="DengXian-Regular"/>
          <w:sz w:val="32"/>
          <w:szCs w:val="32"/>
          <w:lang w:eastAsia="zh-CN"/>
        </w:rPr>
        <w:t>政法委</w:t>
      </w:r>
      <w:r>
        <w:rPr>
          <w:rFonts w:hint="eastAsia" w:ascii="仿宋_GB2312" w:eastAsia="仿宋_GB2312" w:cs="DengXian-Regular"/>
          <w:sz w:val="32"/>
          <w:szCs w:val="32"/>
        </w:rPr>
        <w:t>202</w:t>
      </w:r>
      <w:r>
        <w:rPr>
          <w:rFonts w:ascii="仿宋_GB2312" w:eastAsia="仿宋_GB2312" w:cs="DengXian-Regular"/>
          <w:sz w:val="32"/>
          <w:szCs w:val="32"/>
        </w:rPr>
        <w:t>1</w:t>
      </w:r>
      <w:r>
        <w:rPr>
          <w:rFonts w:hint="eastAsia" w:ascii="仿宋_GB2312" w:eastAsia="仿宋_GB2312" w:cs="DengXian-Regular"/>
          <w:sz w:val="32"/>
          <w:szCs w:val="32"/>
        </w:rPr>
        <w:t>年部门预算编制完整性、项目预算细化率、在职人员控制率、收入完成率、财政拨款支出完成率、“三公经费”控制率、资金使用合规性、决算真实性、管理制度健全性、预决算信息公开、资产管理规范性、绩效自评覆盖率、绩效评价优等率、结转结余率、部门整体效益等指标完成情况较好。</w:t>
      </w:r>
    </w:p>
    <w:p w14:paraId="53F3F605">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通过本次绩效评价工作，发现我单位在以下几个方面存在一些不足之处，具体如下：</w:t>
      </w:r>
    </w:p>
    <w:p w14:paraId="480E6659">
      <w:pPr>
        <w:spacing w:after="0" w:line="360" w:lineRule="auto"/>
        <w:ind w:firstLine="640" w:firstLineChars="200"/>
        <w:jc w:val="both"/>
        <w:textAlignment w:val="baseline"/>
        <w:rPr>
          <w:rFonts w:hint="eastAsia" w:ascii="仿宋_GB2312" w:eastAsia="仿宋_GB2312" w:cs="DengXian-Regular"/>
          <w:sz w:val="32"/>
          <w:szCs w:val="32"/>
        </w:rPr>
      </w:pPr>
      <w:r>
        <w:rPr>
          <w:rFonts w:hint="eastAsia" w:ascii="仿宋_GB2312" w:eastAsia="仿宋_GB2312" w:cs="DengXian-Regular"/>
          <w:sz w:val="32"/>
          <w:szCs w:val="32"/>
        </w:rPr>
        <w:t>1.绩效指标方面</w:t>
      </w:r>
    </w:p>
    <w:p w14:paraId="183F67A9">
      <w:pPr>
        <w:spacing w:after="0" w:line="360" w:lineRule="auto"/>
        <w:ind w:firstLine="640" w:firstLineChars="200"/>
        <w:jc w:val="both"/>
        <w:textAlignment w:val="baseline"/>
        <w:rPr>
          <w:rFonts w:ascii="仿宋_GB2312" w:eastAsia="仿宋_GB2312" w:cs="DengXian-Regular"/>
          <w:color w:val="000000" w:themeColor="text1"/>
          <w:sz w:val="32"/>
          <w:szCs w:val="32"/>
          <w14:textFill>
            <w14:solidFill>
              <w14:schemeClr w14:val="tx1"/>
            </w14:solidFill>
          </w14:textFill>
        </w:rPr>
      </w:pPr>
      <w:r>
        <w:rPr>
          <w:rFonts w:hint="eastAsia" w:ascii="仿宋_GB2312" w:eastAsia="仿宋_GB2312" w:cs="DengXian-Regular"/>
          <w:color w:val="000000" w:themeColor="text1"/>
          <w:sz w:val="32"/>
          <w:szCs w:val="32"/>
          <w14:textFill>
            <w14:solidFill>
              <w14:schemeClr w14:val="tx1"/>
            </w14:solidFill>
          </w14:textFill>
        </w:rPr>
        <w:t>指标设计不清晰，导致评价结果和实际情况不一定相符。</w:t>
      </w:r>
    </w:p>
    <w:p w14:paraId="3A4A104C">
      <w:pPr>
        <w:numPr>
          <w:ilvl w:val="0"/>
          <w:numId w:val="1"/>
        </w:numPr>
        <w:spacing w:after="0" w:line="360" w:lineRule="auto"/>
        <w:ind w:firstLine="640" w:firstLineChars="200"/>
        <w:jc w:val="both"/>
        <w:textAlignment w:val="baseline"/>
        <w:rPr>
          <w:rFonts w:hint="eastAsia" w:ascii="仿宋_GB2312" w:eastAsia="仿宋_GB2312" w:cs="DengXian-Regular"/>
          <w:sz w:val="32"/>
          <w:szCs w:val="32"/>
        </w:rPr>
      </w:pPr>
      <w:r>
        <w:rPr>
          <w:rFonts w:hint="eastAsia" w:ascii="仿宋_GB2312" w:eastAsia="仿宋_GB2312" w:cs="DengXian-Regular"/>
          <w:sz w:val="32"/>
          <w:szCs w:val="32"/>
        </w:rPr>
        <w:t>预算决算比较</w:t>
      </w:r>
    </w:p>
    <w:p w14:paraId="0B475332">
      <w:pPr>
        <w:spacing w:after="0" w:line="360" w:lineRule="auto"/>
        <w:ind w:firstLine="640" w:firstLineChars="200"/>
        <w:jc w:val="both"/>
        <w:textAlignment w:val="baseline"/>
        <w:rPr>
          <w:rFonts w:ascii="仿宋_GB2312" w:eastAsia="仿宋_GB2312" w:cs="DengXian-Regular"/>
          <w:color w:val="000000" w:themeColor="text1"/>
          <w:sz w:val="32"/>
          <w:szCs w:val="32"/>
          <w14:textFill>
            <w14:solidFill>
              <w14:schemeClr w14:val="tx1"/>
            </w14:solidFill>
          </w14:textFill>
        </w:rPr>
      </w:pPr>
      <w:r>
        <w:rPr>
          <w:rFonts w:hint="eastAsia" w:ascii="仿宋_GB2312" w:eastAsia="仿宋_GB2312" w:cs="DengXian-Regular"/>
          <w:color w:val="000000" w:themeColor="text1"/>
          <w:sz w:val="32"/>
          <w:szCs w:val="32"/>
          <w14:textFill>
            <w14:solidFill>
              <w14:schemeClr w14:val="tx1"/>
            </w14:solidFill>
          </w14:textFill>
        </w:rPr>
        <w:t>编制预算存在不可控性</w:t>
      </w:r>
    </w:p>
    <w:p w14:paraId="33628F8F">
      <w:pPr>
        <w:numPr>
          <w:ilvl w:val="0"/>
          <w:numId w:val="1"/>
        </w:numPr>
        <w:spacing w:after="0" w:line="360" w:lineRule="auto"/>
        <w:ind w:left="0" w:leftChars="0" w:firstLine="640" w:firstLineChars="200"/>
        <w:jc w:val="both"/>
        <w:textAlignment w:val="baseline"/>
        <w:rPr>
          <w:rFonts w:hint="eastAsia" w:ascii="仿宋_GB2312" w:eastAsia="仿宋_GB2312" w:cs="DengXian-Regular"/>
          <w:sz w:val="32"/>
          <w:szCs w:val="32"/>
        </w:rPr>
      </w:pPr>
      <w:r>
        <w:rPr>
          <w:rFonts w:hint="eastAsia" w:ascii="仿宋_GB2312" w:eastAsia="仿宋_GB2312" w:cs="DengXian-Regular"/>
          <w:sz w:val="32"/>
          <w:szCs w:val="32"/>
        </w:rPr>
        <w:t>预算追加方面</w:t>
      </w:r>
    </w:p>
    <w:p w14:paraId="309DBCE6">
      <w:pPr>
        <w:spacing w:after="0" w:line="360" w:lineRule="auto"/>
        <w:ind w:firstLine="640" w:firstLineChars="200"/>
        <w:jc w:val="both"/>
        <w:textAlignment w:val="baseline"/>
        <w:rPr>
          <w:rFonts w:ascii="仿宋_GB2312" w:eastAsia="仿宋_GB2312" w:cs="DengXian-Regular"/>
          <w:color w:val="000000" w:themeColor="text1"/>
          <w:sz w:val="32"/>
          <w:szCs w:val="32"/>
          <w14:textFill>
            <w14:solidFill>
              <w14:schemeClr w14:val="tx1"/>
            </w14:solidFill>
          </w14:textFill>
        </w:rPr>
      </w:pPr>
      <w:r>
        <w:rPr>
          <w:rFonts w:hint="default" w:ascii="仿宋_GB2312" w:eastAsia="仿宋_GB2312" w:cs="DengXian-Regular"/>
          <w:sz w:val="32"/>
          <w:szCs w:val="32"/>
          <w:lang w:val="en-US"/>
        </w:rPr>
        <w:t xml:space="preserve"> </w:t>
      </w:r>
      <w:r>
        <w:rPr>
          <w:rFonts w:hint="eastAsia" w:ascii="仿宋_GB2312" w:eastAsia="仿宋_GB2312" w:cs="DengXian-Regular"/>
          <w:color w:val="000000" w:themeColor="text1"/>
          <w:sz w:val="32"/>
          <w:szCs w:val="32"/>
          <w14:textFill>
            <w14:solidFill>
              <w14:schemeClr w14:val="tx1"/>
            </w14:solidFill>
          </w14:textFill>
        </w:rPr>
        <w:t>执行中一般都有追加，按照指标控制率指标计算，本指标基本都大于0.</w:t>
      </w:r>
    </w:p>
    <w:p w14:paraId="044A3142">
      <w:pPr>
        <w:numPr>
          <w:ilvl w:val="0"/>
          <w:numId w:val="1"/>
        </w:numPr>
        <w:spacing w:after="0" w:line="360" w:lineRule="auto"/>
        <w:ind w:left="0" w:leftChars="0" w:firstLine="640" w:firstLineChars="200"/>
        <w:jc w:val="both"/>
        <w:textAlignment w:val="baseline"/>
        <w:rPr>
          <w:rFonts w:hint="eastAsia" w:ascii="仿宋_GB2312" w:eastAsia="仿宋_GB2312" w:cs="DengXian-Regular"/>
          <w:sz w:val="32"/>
          <w:szCs w:val="32"/>
        </w:rPr>
      </w:pPr>
      <w:r>
        <w:rPr>
          <w:rFonts w:hint="eastAsia" w:ascii="仿宋_GB2312" w:eastAsia="仿宋_GB2312" w:cs="DengXian-Regular"/>
          <w:sz w:val="32"/>
          <w:szCs w:val="32"/>
        </w:rPr>
        <w:t>政府采购方面</w:t>
      </w:r>
    </w:p>
    <w:p w14:paraId="1DDE2695">
      <w:pPr>
        <w:numPr>
          <w:ilvl w:val="0"/>
          <w:numId w:val="0"/>
        </w:numPr>
        <w:spacing w:after="0" w:line="360" w:lineRule="auto"/>
        <w:ind w:leftChars="200" w:firstLine="320" w:firstLineChars="100"/>
        <w:jc w:val="both"/>
        <w:textAlignment w:val="baseline"/>
        <w:rPr>
          <w:rFonts w:hint="eastAsia" w:ascii="仿宋_GB2312" w:eastAsia="仿宋_GB2312" w:cs="DengXian-Regular"/>
          <w:sz w:val="32"/>
          <w:szCs w:val="32"/>
        </w:rPr>
      </w:pPr>
      <w:r>
        <w:rPr>
          <w:rFonts w:hint="eastAsia" w:ascii="仿宋_GB2312" w:eastAsia="仿宋_GB2312" w:cs="DengXian-Regular"/>
          <w:color w:val="000000" w:themeColor="text1"/>
          <w:sz w:val="32"/>
          <w:szCs w:val="32"/>
          <w14:textFill>
            <w14:solidFill>
              <w14:schemeClr w14:val="tx1"/>
            </w14:solidFill>
          </w14:textFill>
        </w:rPr>
        <w:t>手续繁琐，不便操作</w:t>
      </w:r>
    </w:p>
    <w:p w14:paraId="1E8F5539">
      <w:pPr>
        <w:numPr>
          <w:ilvl w:val="0"/>
          <w:numId w:val="1"/>
        </w:numPr>
        <w:spacing w:after="0" w:line="360" w:lineRule="auto"/>
        <w:ind w:left="0" w:leftChars="0" w:firstLine="640" w:firstLineChars="200"/>
        <w:jc w:val="both"/>
        <w:textAlignment w:val="baseline"/>
        <w:rPr>
          <w:rFonts w:hint="eastAsia" w:ascii="仿宋_GB2312" w:eastAsia="仿宋_GB2312" w:cs="DengXian-Regular"/>
          <w:sz w:val="32"/>
          <w:szCs w:val="32"/>
        </w:rPr>
      </w:pPr>
      <w:r>
        <w:rPr>
          <w:rFonts w:hint="eastAsia" w:ascii="仿宋_GB2312" w:eastAsia="仿宋_GB2312" w:cs="DengXian-Regular"/>
          <w:sz w:val="32"/>
          <w:szCs w:val="32"/>
        </w:rPr>
        <w:t>项目资金使用率</w:t>
      </w:r>
    </w:p>
    <w:p w14:paraId="3E1C34D4">
      <w:pPr>
        <w:numPr>
          <w:ilvl w:val="0"/>
          <w:numId w:val="0"/>
        </w:numPr>
        <w:spacing w:after="0" w:line="360" w:lineRule="auto"/>
        <w:ind w:leftChars="200" w:firstLine="320" w:firstLineChars="100"/>
        <w:jc w:val="both"/>
        <w:textAlignment w:val="baseline"/>
        <w:rPr>
          <w:rFonts w:ascii="仿宋_GB2312" w:eastAsia="仿宋_GB2312" w:cs="DengXian-Regular"/>
          <w:color w:val="000000" w:themeColor="text1"/>
          <w:sz w:val="32"/>
          <w:szCs w:val="32"/>
          <w14:textFill>
            <w14:solidFill>
              <w14:schemeClr w14:val="tx1"/>
            </w14:solidFill>
          </w14:textFill>
        </w:rPr>
      </w:pPr>
      <w:r>
        <w:rPr>
          <w:rFonts w:hint="eastAsia" w:ascii="仿宋_GB2312" w:eastAsia="仿宋_GB2312" w:cs="DengXian-Regular"/>
          <w:color w:val="000000" w:themeColor="text1"/>
          <w:sz w:val="32"/>
          <w:szCs w:val="32"/>
          <w14:textFill>
            <w14:solidFill>
              <w14:schemeClr w14:val="tx1"/>
            </w14:solidFill>
          </w14:textFill>
        </w:rPr>
        <w:t>大部分项目能进行，但存在个别项目不能实施情况。</w:t>
      </w:r>
    </w:p>
    <w:p w14:paraId="7BFB671E">
      <w:pPr>
        <w:numPr>
          <w:ilvl w:val="0"/>
          <w:numId w:val="1"/>
        </w:numPr>
        <w:spacing w:after="0" w:line="360" w:lineRule="auto"/>
        <w:ind w:left="0" w:leftChars="0" w:firstLine="640" w:firstLineChars="200"/>
        <w:jc w:val="both"/>
        <w:textAlignment w:val="baseline"/>
        <w:rPr>
          <w:rFonts w:hint="eastAsia" w:ascii="仿宋_GB2312" w:eastAsia="仿宋_GB2312" w:cs="DengXian-Regular"/>
          <w:sz w:val="32"/>
          <w:szCs w:val="32"/>
        </w:rPr>
      </w:pPr>
      <w:r>
        <w:rPr>
          <w:rFonts w:hint="eastAsia" w:ascii="仿宋_GB2312" w:eastAsia="仿宋_GB2312" w:cs="DengXian-Regular"/>
          <w:sz w:val="32"/>
          <w:szCs w:val="32"/>
        </w:rPr>
        <w:t>部分基础数据信息方面</w:t>
      </w:r>
    </w:p>
    <w:p w14:paraId="2F84DAC9">
      <w:pPr>
        <w:numPr>
          <w:ilvl w:val="0"/>
          <w:numId w:val="0"/>
        </w:numPr>
        <w:spacing w:after="0" w:line="360" w:lineRule="auto"/>
        <w:ind w:leftChars="200"/>
        <w:jc w:val="both"/>
        <w:textAlignment w:val="baseline"/>
        <w:rPr>
          <w:rFonts w:hint="default" w:ascii="仿宋_GB2312" w:eastAsia="仿宋_GB2312" w:cs="DengXian-Regular"/>
          <w:sz w:val="32"/>
          <w:szCs w:val="32"/>
          <w:lang w:val="en-US"/>
        </w:rPr>
      </w:pPr>
      <w:r>
        <w:rPr>
          <w:rFonts w:hint="default" w:ascii="仿宋_GB2312" w:eastAsia="仿宋_GB2312" w:cs="DengXian-Regular"/>
          <w:sz w:val="32"/>
          <w:szCs w:val="32"/>
          <w:lang w:val="en-US"/>
        </w:rPr>
        <w:t xml:space="preserve"> </w:t>
      </w:r>
      <w:r>
        <w:rPr>
          <w:rFonts w:hint="eastAsia" w:ascii="仿宋_GB2312" w:eastAsia="仿宋_GB2312" w:cs="DengXian-Regular"/>
          <w:sz w:val="32"/>
          <w:szCs w:val="32"/>
        </w:rPr>
        <w:t>基础数据信息整理存档不及时</w:t>
      </w:r>
    </w:p>
    <w:p w14:paraId="36DDFEE6">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针对此次绩效评价过程中发现的问题，我们建议：</w:t>
      </w:r>
    </w:p>
    <w:p w14:paraId="17EEA504">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1.增强绩效指标设置的明确性</w:t>
      </w:r>
    </w:p>
    <w:p w14:paraId="1A7776DB">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工作活动、预算项目绩效指标应当清晰、可评价、可衡量。建议在设置职责活动绩效指标时，将绩效目标细化分解为具体的工作任务数，从而使绩效目标可量化，便于对目标实现情况进行考核。</w:t>
      </w:r>
    </w:p>
    <w:p w14:paraId="1A6AD64B">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2.提高预算编制质量</w:t>
      </w:r>
    </w:p>
    <w:p w14:paraId="08C5DE83">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部门预算编制工作要全面反映和体现部门职责，根据具体情况及时调整预算的编制，缩小预算与决算差额，减少中期预算追加，提高预算编制质量，发挥预算约束作用。</w:t>
      </w:r>
    </w:p>
    <w:p w14:paraId="12378A32">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3.强化政府采购执行</w:t>
      </w:r>
    </w:p>
    <w:p w14:paraId="183E1BCC">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建议严格按照《中华人民共和国政府采购法》及河北省2017年《政府采购集中采购目录和限额标准》的相关规定，执行政府采购，加快预算执行进度，提高政府采购效率。</w:t>
      </w:r>
      <w:bookmarkStart w:id="1" w:name="_Toc4346"/>
    </w:p>
    <w:p w14:paraId="49979A03">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4.提高项目资金使用率</w:t>
      </w:r>
    </w:p>
    <w:p w14:paraId="03355DB7">
      <w:pPr>
        <w:spacing w:after="0" w:line="360" w:lineRule="auto"/>
        <w:ind w:firstLine="640" w:firstLineChars="200"/>
        <w:jc w:val="both"/>
        <w:textAlignment w:val="baseline"/>
        <w:rPr>
          <w:rFonts w:ascii="仿宋_GB2312" w:eastAsia="仿宋_GB2312" w:cs="Times New Roman" w:hAnsiTheme="minorEastAsia"/>
          <w:sz w:val="32"/>
          <w:szCs w:val="32"/>
          <w:u w:color="000000"/>
        </w:rPr>
      </w:pPr>
      <w:r>
        <w:rPr>
          <w:rFonts w:hint="eastAsia" w:ascii="仿宋_GB2312" w:eastAsia="仿宋_GB2312" w:cs="Times New Roman" w:hAnsiTheme="minorEastAsia"/>
          <w:sz w:val="32"/>
          <w:szCs w:val="32"/>
          <w:u w:color="000000"/>
        </w:rPr>
        <w:t>建议区</w:t>
      </w:r>
      <w:r>
        <w:rPr>
          <w:rFonts w:hint="eastAsia" w:ascii="仿宋_GB2312" w:eastAsia="仿宋_GB2312" w:cs="Times New Roman" w:hAnsiTheme="minorEastAsia"/>
          <w:sz w:val="32"/>
          <w:szCs w:val="32"/>
          <w:u w:color="000000"/>
          <w:lang w:eastAsia="zh-CN"/>
        </w:rPr>
        <w:t>政法委</w:t>
      </w:r>
      <w:r>
        <w:rPr>
          <w:rFonts w:hint="eastAsia" w:ascii="仿宋_GB2312" w:eastAsia="仿宋_GB2312" w:cs="Times New Roman" w:hAnsiTheme="minorEastAsia"/>
          <w:sz w:val="32"/>
          <w:szCs w:val="32"/>
          <w:u w:color="000000"/>
        </w:rPr>
        <w:t>对项目资金进行梳理，督促项目进度和资金拨付进度，应拨付的资金及时拨付，不具备条件的资金及时收回，同时，对于按规定可以结转至下年的中央及省级项目资金，在下年的项目安排时优先考虑。</w:t>
      </w:r>
    </w:p>
    <w:p w14:paraId="0D1F6834">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5</w:t>
      </w:r>
      <w:r>
        <w:rPr>
          <w:rFonts w:ascii="仿宋_GB2312" w:eastAsia="仿宋_GB2312" w:cs="DengXian-Regular"/>
          <w:sz w:val="32"/>
          <w:szCs w:val="32"/>
        </w:rPr>
        <w:t>.完善基础信息管理</w:t>
      </w:r>
    </w:p>
    <w:p w14:paraId="7E86B512">
      <w:pPr>
        <w:spacing w:after="0" w:line="360" w:lineRule="auto"/>
        <w:ind w:firstLine="640" w:firstLineChars="200"/>
        <w:jc w:val="both"/>
        <w:textAlignment w:val="baseline"/>
        <w:rPr>
          <w:rFonts w:ascii="仿宋_GB2312" w:eastAsia="仿宋_GB2312" w:cs="DengXian-Regular"/>
          <w:sz w:val="32"/>
          <w:szCs w:val="32"/>
        </w:rPr>
      </w:pPr>
      <w:r>
        <w:rPr>
          <w:rFonts w:ascii="仿宋_GB2312" w:eastAsia="仿宋_GB2312" w:cs="DengXian-Regular"/>
          <w:sz w:val="32"/>
          <w:szCs w:val="32"/>
        </w:rPr>
        <w:t>建议严格按照档案管理的相关规定对基础数据信息档案资料及时归档保存，保证项目资料的完整性和可查阅性。</w:t>
      </w:r>
    </w:p>
    <w:p w14:paraId="7BF3B59B">
      <w:pPr>
        <w:spacing w:after="0" w:line="360" w:lineRule="auto"/>
        <w:ind w:firstLine="640" w:firstLineChars="200"/>
        <w:jc w:val="both"/>
        <w:textAlignment w:val="baseline"/>
        <w:rPr>
          <w:rFonts w:ascii="仿宋_GB2312" w:eastAsia="仿宋_GB2312" w:cs="DengXian-Regular"/>
          <w:sz w:val="32"/>
          <w:szCs w:val="32"/>
          <w:highlight w:val="none"/>
        </w:rPr>
      </w:pPr>
      <w:r>
        <w:rPr>
          <w:rFonts w:hint="eastAsia" w:ascii="仿宋_GB2312" w:eastAsia="仿宋_GB2312" w:cs="DengXian-Regular"/>
          <w:sz w:val="32"/>
          <w:szCs w:val="32"/>
          <w:highlight w:val="none"/>
        </w:rPr>
        <w:t>6.预算安排建议</w:t>
      </w:r>
    </w:p>
    <w:p w14:paraId="5C1B3242">
      <w:pPr>
        <w:spacing w:after="0" w:line="360" w:lineRule="auto"/>
        <w:ind w:firstLine="640" w:firstLineChars="200"/>
        <w:jc w:val="both"/>
        <w:textAlignment w:val="baseline"/>
        <w:rPr>
          <w:rFonts w:ascii="仿宋_GB2312" w:eastAsia="仿宋_GB2312" w:cs="DengXian-Regular"/>
          <w:sz w:val="32"/>
          <w:szCs w:val="32"/>
          <w:highlight w:val="none"/>
        </w:rPr>
      </w:pPr>
      <w:r>
        <w:rPr>
          <w:rFonts w:hint="eastAsia" w:ascii="仿宋_GB2312" w:eastAsia="仿宋_GB2312" w:cs="DengXian-Regular"/>
          <w:sz w:val="32"/>
          <w:szCs w:val="32"/>
          <w:highlight w:val="none"/>
        </w:rPr>
        <w:t>人员经费方面：</w:t>
      </w:r>
      <w:r>
        <w:rPr>
          <w:rFonts w:ascii="仿宋_GB2312" w:eastAsia="仿宋_GB2312" w:cs="DengXian-Regular"/>
          <w:sz w:val="32"/>
          <w:szCs w:val="32"/>
          <w:highlight w:val="none"/>
        </w:rPr>
        <w:t>202</w:t>
      </w:r>
      <w:r>
        <w:rPr>
          <w:rFonts w:hint="default" w:ascii="仿宋_GB2312" w:eastAsia="仿宋_GB2312" w:cs="DengXian-Regular"/>
          <w:sz w:val="32"/>
          <w:szCs w:val="32"/>
          <w:highlight w:val="none"/>
          <w:lang w:val="en-US"/>
        </w:rPr>
        <w:t>1</w:t>
      </w:r>
      <w:r>
        <w:rPr>
          <w:rFonts w:ascii="仿宋_GB2312" w:eastAsia="仿宋_GB2312" w:cs="DengXian-Regular"/>
          <w:sz w:val="32"/>
          <w:szCs w:val="32"/>
          <w:highlight w:val="none"/>
        </w:rPr>
        <w:t>年基本支出决算数较预算数</w:t>
      </w:r>
      <w:r>
        <w:rPr>
          <w:rFonts w:hint="eastAsia" w:ascii="仿宋_GB2312" w:eastAsia="仿宋_GB2312" w:cs="DengXian-Regular"/>
          <w:sz w:val="32"/>
          <w:szCs w:val="32"/>
          <w:highlight w:val="none"/>
          <w:lang w:eastAsia="zh-CN"/>
        </w:rPr>
        <w:t>减少</w:t>
      </w:r>
      <w:r>
        <w:rPr>
          <w:rFonts w:ascii="仿宋_GB2312" w:eastAsia="仿宋_GB2312" w:cs="DengXian-Regular"/>
          <w:sz w:val="32"/>
          <w:szCs w:val="32"/>
          <w:highlight w:val="none"/>
        </w:rPr>
        <w:t>比例较大，主要原因为</w:t>
      </w:r>
      <w:r>
        <w:rPr>
          <w:rFonts w:hint="default" w:ascii="仿宋_GB2312" w:eastAsia="仿宋_GB2312" w:cs="DengXian-Regular"/>
          <w:sz w:val="32"/>
          <w:szCs w:val="32"/>
          <w:highlight w:val="none"/>
          <w:lang w:val="en-US"/>
        </w:rPr>
        <w:t>2021</w:t>
      </w:r>
      <w:r>
        <w:rPr>
          <w:rFonts w:hint="eastAsia" w:ascii="仿宋_GB2312" w:eastAsia="仿宋_GB2312" w:cs="DengXian-Regular"/>
          <w:sz w:val="32"/>
          <w:szCs w:val="32"/>
          <w:highlight w:val="none"/>
          <w:lang w:val="en-US" w:eastAsia="zh-CN"/>
        </w:rPr>
        <w:t>年</w:t>
      </w:r>
      <w:r>
        <w:rPr>
          <w:rFonts w:hint="eastAsia" w:ascii="仿宋_GB2312" w:eastAsia="仿宋_GB2312" w:cs="DengXian-Regular"/>
          <w:sz w:val="32"/>
          <w:szCs w:val="32"/>
          <w:highlight w:val="none"/>
          <w:lang w:eastAsia="zh-CN"/>
        </w:rPr>
        <w:t>预算数包含</w:t>
      </w:r>
      <w:r>
        <w:rPr>
          <w:rFonts w:hint="default" w:ascii="仿宋_GB2312" w:eastAsia="仿宋_GB2312" w:cs="DengXian-Regular"/>
          <w:sz w:val="32"/>
          <w:szCs w:val="32"/>
          <w:highlight w:val="none"/>
          <w:lang w:val="en-US" w:eastAsia="zh-CN"/>
        </w:rPr>
        <w:t>2020</w:t>
      </w:r>
      <w:r>
        <w:rPr>
          <w:rFonts w:hint="eastAsia" w:ascii="仿宋_GB2312" w:eastAsia="仿宋_GB2312" w:cs="DengXian-Regular"/>
          <w:sz w:val="32"/>
          <w:szCs w:val="32"/>
          <w:highlight w:val="none"/>
          <w:lang w:val="en-US" w:eastAsia="zh-CN"/>
        </w:rPr>
        <w:t>年精神文明奖</w:t>
      </w:r>
      <w:r>
        <w:rPr>
          <w:rFonts w:ascii="仿宋_GB2312" w:eastAsia="仿宋_GB2312" w:cs="DengXian-Regular"/>
          <w:sz w:val="32"/>
          <w:szCs w:val="32"/>
          <w:highlight w:val="none"/>
        </w:rPr>
        <w:t>，</w:t>
      </w:r>
      <w:r>
        <w:rPr>
          <w:rFonts w:hint="eastAsia" w:ascii="仿宋_GB2312" w:eastAsia="仿宋_GB2312" w:cs="DengXian-Regular"/>
          <w:sz w:val="32"/>
          <w:szCs w:val="32"/>
          <w:highlight w:val="none"/>
          <w:lang w:eastAsia="zh-CN"/>
        </w:rPr>
        <w:t>决算未支出，</w:t>
      </w:r>
      <w:r>
        <w:rPr>
          <w:rFonts w:hint="default" w:ascii="仿宋_GB2312" w:eastAsia="仿宋_GB2312" w:cs="DengXian-Regular"/>
          <w:sz w:val="32"/>
          <w:szCs w:val="32"/>
          <w:highlight w:val="none"/>
          <w:lang w:val="en-US" w:eastAsia="zh-CN"/>
        </w:rPr>
        <w:t>2021</w:t>
      </w:r>
      <w:r>
        <w:rPr>
          <w:rFonts w:hint="eastAsia" w:ascii="仿宋_GB2312" w:eastAsia="仿宋_GB2312" w:cs="DengXian-Regular"/>
          <w:sz w:val="32"/>
          <w:szCs w:val="32"/>
          <w:highlight w:val="none"/>
          <w:lang w:val="en-US" w:eastAsia="zh-CN"/>
        </w:rPr>
        <w:t>预算数不包含</w:t>
      </w:r>
      <w:r>
        <w:rPr>
          <w:rFonts w:hint="default" w:ascii="仿宋_GB2312" w:eastAsia="仿宋_GB2312" w:cs="DengXian-Regular"/>
          <w:sz w:val="32"/>
          <w:szCs w:val="32"/>
          <w:highlight w:val="none"/>
          <w:lang w:val="en-US" w:eastAsia="zh-CN"/>
        </w:rPr>
        <w:t>2019</w:t>
      </w:r>
      <w:r>
        <w:rPr>
          <w:rFonts w:hint="eastAsia" w:ascii="仿宋_GB2312" w:eastAsia="仿宋_GB2312" w:cs="DengXian-Regular"/>
          <w:sz w:val="32"/>
          <w:szCs w:val="32"/>
          <w:highlight w:val="none"/>
          <w:lang w:val="en-US" w:eastAsia="zh-CN"/>
        </w:rPr>
        <w:t>年精神文件奖，决算已包含并支出。</w:t>
      </w:r>
      <w:r>
        <w:rPr>
          <w:rFonts w:ascii="仿宋_GB2312" w:eastAsia="仿宋_GB2312" w:cs="DengXian-Regular"/>
          <w:sz w:val="32"/>
          <w:szCs w:val="32"/>
          <w:highlight w:val="none"/>
        </w:rPr>
        <w:t>建议202</w:t>
      </w:r>
      <w:r>
        <w:rPr>
          <w:rFonts w:hint="default" w:ascii="仿宋_GB2312" w:eastAsia="仿宋_GB2312" w:cs="DengXian-Regular"/>
          <w:sz w:val="32"/>
          <w:szCs w:val="32"/>
          <w:highlight w:val="none"/>
          <w:lang w:val="en-US"/>
        </w:rPr>
        <w:t>2</w:t>
      </w:r>
      <w:r>
        <w:rPr>
          <w:rFonts w:ascii="仿宋_GB2312" w:eastAsia="仿宋_GB2312" w:cs="DengXian-Regular"/>
          <w:sz w:val="32"/>
          <w:szCs w:val="32"/>
          <w:highlight w:val="none"/>
        </w:rPr>
        <w:t>年预算根据</w:t>
      </w:r>
      <w:r>
        <w:rPr>
          <w:rFonts w:hint="eastAsia" w:ascii="仿宋_GB2312" w:eastAsia="仿宋_GB2312" w:cs="DengXian-Regular"/>
          <w:sz w:val="32"/>
          <w:szCs w:val="32"/>
          <w:highlight w:val="none"/>
        </w:rPr>
        <w:t>202</w:t>
      </w:r>
      <w:r>
        <w:rPr>
          <w:rFonts w:hint="default" w:ascii="仿宋_GB2312" w:eastAsia="仿宋_GB2312" w:cs="DengXian-Regular"/>
          <w:sz w:val="32"/>
          <w:szCs w:val="32"/>
          <w:highlight w:val="none"/>
          <w:lang w:val="en-US"/>
        </w:rPr>
        <w:t>1</w:t>
      </w:r>
      <w:r>
        <w:rPr>
          <w:rFonts w:hint="eastAsia" w:ascii="仿宋_GB2312" w:eastAsia="仿宋_GB2312" w:cs="DengXian-Regular"/>
          <w:sz w:val="32"/>
          <w:szCs w:val="32"/>
          <w:highlight w:val="none"/>
        </w:rPr>
        <w:t>年实际发生人员经费支出、人员数量和工资标准适当安排人员经费预算。</w:t>
      </w:r>
    </w:p>
    <w:p w14:paraId="58A2E8CE">
      <w:pPr>
        <w:spacing w:after="0" w:line="360" w:lineRule="auto"/>
        <w:ind w:firstLine="640" w:firstLineChars="200"/>
        <w:jc w:val="both"/>
        <w:textAlignment w:val="baseline"/>
        <w:rPr>
          <w:rFonts w:ascii="仿宋_GB2312" w:eastAsia="仿宋_GB2312" w:cs="DengXian-Regular"/>
          <w:sz w:val="32"/>
          <w:szCs w:val="32"/>
          <w:highlight w:val="none"/>
        </w:rPr>
      </w:pPr>
      <w:r>
        <w:rPr>
          <w:rFonts w:hint="eastAsia" w:ascii="仿宋_GB2312" w:eastAsia="仿宋_GB2312" w:cs="DengXian-Regular"/>
          <w:sz w:val="32"/>
          <w:szCs w:val="32"/>
          <w:highlight w:val="none"/>
        </w:rPr>
        <w:t>项目资金方面：</w:t>
      </w:r>
      <w:r>
        <w:rPr>
          <w:rFonts w:ascii="仿宋_GB2312" w:eastAsia="仿宋_GB2312" w:cs="DengXian-Regular"/>
          <w:sz w:val="32"/>
          <w:szCs w:val="32"/>
          <w:highlight w:val="none"/>
        </w:rPr>
        <w:t>202</w:t>
      </w:r>
      <w:r>
        <w:rPr>
          <w:rFonts w:hint="default" w:ascii="仿宋_GB2312" w:eastAsia="仿宋_GB2312" w:cs="DengXian-Regular"/>
          <w:sz w:val="32"/>
          <w:szCs w:val="32"/>
          <w:highlight w:val="none"/>
          <w:lang w:val="en-US"/>
        </w:rPr>
        <w:t>1</w:t>
      </w:r>
      <w:r>
        <w:rPr>
          <w:rFonts w:ascii="仿宋_GB2312" w:eastAsia="仿宋_GB2312" w:cs="DengXian-Regular"/>
          <w:sz w:val="32"/>
          <w:szCs w:val="32"/>
          <w:highlight w:val="none"/>
        </w:rPr>
        <w:t>年项目支出资金使用率较</w:t>
      </w:r>
      <w:r>
        <w:rPr>
          <w:rFonts w:hint="eastAsia" w:ascii="仿宋_GB2312" w:eastAsia="仿宋_GB2312" w:cs="DengXian-Regular"/>
          <w:sz w:val="32"/>
          <w:szCs w:val="32"/>
          <w:highlight w:val="none"/>
          <w:lang w:eastAsia="zh-CN"/>
        </w:rPr>
        <w:t>高</w:t>
      </w:r>
      <w:r>
        <w:rPr>
          <w:rFonts w:ascii="仿宋_GB2312" w:eastAsia="仿宋_GB2312" w:cs="DengXian-Regular"/>
          <w:sz w:val="32"/>
          <w:szCs w:val="32"/>
          <w:highlight w:val="none"/>
        </w:rPr>
        <w:t>，</w:t>
      </w:r>
      <w:r>
        <w:rPr>
          <w:rFonts w:hint="eastAsia" w:ascii="仿宋_GB2312" w:eastAsia="仿宋_GB2312" w:cs="DengXian-Regular"/>
          <w:sz w:val="32"/>
          <w:szCs w:val="32"/>
          <w:highlight w:val="none"/>
        </w:rPr>
        <w:t>针对</w:t>
      </w:r>
      <w:r>
        <w:rPr>
          <w:rFonts w:ascii="仿宋_GB2312" w:eastAsia="仿宋_GB2312" w:cs="DengXian-Regular"/>
          <w:sz w:val="32"/>
          <w:szCs w:val="32"/>
          <w:highlight w:val="none"/>
        </w:rPr>
        <w:t>部分未实施项目资金结转至下一年度</w:t>
      </w:r>
      <w:r>
        <w:rPr>
          <w:rFonts w:hint="eastAsia" w:ascii="仿宋_GB2312" w:eastAsia="仿宋_GB2312" w:cs="DengXian-Regular"/>
          <w:sz w:val="32"/>
          <w:szCs w:val="32"/>
          <w:highlight w:val="none"/>
        </w:rPr>
        <w:t>的，建议</w:t>
      </w:r>
      <w:r>
        <w:rPr>
          <w:rFonts w:ascii="仿宋_GB2312" w:eastAsia="仿宋_GB2312" w:cs="DengXian-Regular"/>
          <w:sz w:val="32"/>
          <w:szCs w:val="32"/>
          <w:highlight w:val="none"/>
        </w:rPr>
        <w:t>202</w:t>
      </w:r>
      <w:r>
        <w:rPr>
          <w:rFonts w:hint="default" w:ascii="仿宋_GB2312" w:eastAsia="仿宋_GB2312" w:cs="DengXian-Regular"/>
          <w:sz w:val="32"/>
          <w:szCs w:val="32"/>
          <w:highlight w:val="none"/>
          <w:lang w:val="en-US"/>
        </w:rPr>
        <w:t>2</w:t>
      </w:r>
      <w:r>
        <w:rPr>
          <w:rFonts w:ascii="仿宋_GB2312" w:eastAsia="仿宋_GB2312" w:cs="DengXian-Regular"/>
          <w:sz w:val="32"/>
          <w:szCs w:val="32"/>
          <w:highlight w:val="none"/>
        </w:rPr>
        <w:t>年预算不增加</w:t>
      </w:r>
      <w:r>
        <w:rPr>
          <w:rFonts w:hint="eastAsia" w:ascii="仿宋_GB2312" w:eastAsia="仿宋_GB2312" w:cs="DengXian-Regular"/>
          <w:sz w:val="32"/>
          <w:szCs w:val="32"/>
          <w:highlight w:val="none"/>
        </w:rPr>
        <w:t>该部分</w:t>
      </w:r>
      <w:r>
        <w:rPr>
          <w:rFonts w:ascii="仿宋_GB2312" w:eastAsia="仿宋_GB2312" w:cs="DengXian-Regular"/>
          <w:sz w:val="32"/>
          <w:szCs w:val="32"/>
          <w:highlight w:val="none"/>
        </w:rPr>
        <w:t>项目资金预算</w:t>
      </w:r>
      <w:r>
        <w:rPr>
          <w:rFonts w:hint="eastAsia" w:ascii="仿宋_GB2312" w:eastAsia="仿宋_GB2312" w:cs="DengXian-Regular"/>
          <w:sz w:val="32"/>
          <w:szCs w:val="32"/>
          <w:highlight w:val="none"/>
        </w:rPr>
        <w:t>；</w:t>
      </w:r>
      <w:r>
        <w:rPr>
          <w:rFonts w:ascii="仿宋_GB2312" w:eastAsia="仿宋_GB2312" w:cs="DengXian-Regular"/>
          <w:sz w:val="32"/>
          <w:szCs w:val="32"/>
          <w:highlight w:val="none"/>
        </w:rPr>
        <w:t>其他项目资金根据实际情况予以保持或适当</w:t>
      </w:r>
      <w:r>
        <w:rPr>
          <w:rFonts w:hint="eastAsia" w:ascii="仿宋_GB2312" w:eastAsia="仿宋_GB2312" w:cs="DengXian-Regular"/>
          <w:sz w:val="32"/>
          <w:szCs w:val="32"/>
          <w:highlight w:val="none"/>
        </w:rPr>
        <w:t>增减</w:t>
      </w:r>
      <w:r>
        <w:rPr>
          <w:rFonts w:ascii="仿宋_GB2312" w:eastAsia="仿宋_GB2312" w:cs="DengXian-Regular"/>
          <w:sz w:val="32"/>
          <w:szCs w:val="32"/>
          <w:highlight w:val="none"/>
        </w:rPr>
        <w:t>。</w:t>
      </w:r>
    </w:p>
    <w:p w14:paraId="07AE5333">
      <w:pPr>
        <w:pStyle w:val="3"/>
        <w:spacing w:line="540" w:lineRule="exact"/>
        <w:jc w:val="center"/>
        <w:rPr>
          <w:rFonts w:ascii="黑体" w:hAnsi="黑体"/>
          <w:b w:val="0"/>
        </w:rPr>
      </w:pPr>
      <w:r>
        <w:rPr>
          <w:rFonts w:hint="eastAsia" w:ascii="黑体" w:hAnsi="黑体"/>
          <w:b w:val="0"/>
        </w:rPr>
        <w:t>第二部分   绩效评价报告</w:t>
      </w:r>
      <w:bookmarkEnd w:id="1"/>
    </w:p>
    <w:p w14:paraId="72BA6987">
      <w:pPr>
        <w:pStyle w:val="3"/>
        <w:spacing w:before="0" w:after="0" w:line="360" w:lineRule="auto"/>
        <w:ind w:firstLine="643" w:firstLineChars="200"/>
        <w:rPr>
          <w:rFonts w:ascii="楷体" w:hAnsi="楷体" w:eastAsia="楷体" w:cs="楷体"/>
        </w:rPr>
      </w:pPr>
      <w:bookmarkStart w:id="2" w:name="_Toc492652763"/>
      <w:bookmarkStart w:id="3" w:name="_Toc427"/>
      <w:r>
        <w:rPr>
          <w:rFonts w:hint="eastAsia" w:ascii="楷体" w:hAnsi="楷体" w:eastAsia="楷体" w:cs="楷体"/>
        </w:rPr>
        <w:t>一、保定市徐水区</w:t>
      </w:r>
      <w:r>
        <w:rPr>
          <w:rFonts w:hint="eastAsia" w:ascii="楷体" w:hAnsi="楷体" w:eastAsia="楷体" w:cs="楷体"/>
          <w:lang w:eastAsia="zh-CN"/>
        </w:rPr>
        <w:t>政法委</w:t>
      </w:r>
      <w:r>
        <w:rPr>
          <w:rFonts w:hint="eastAsia" w:ascii="楷体" w:hAnsi="楷体" w:eastAsia="楷体" w:cs="楷体"/>
        </w:rPr>
        <w:t>基本情况</w:t>
      </w:r>
      <w:bookmarkEnd w:id="2"/>
      <w:bookmarkEnd w:id="3"/>
      <w:bookmarkStart w:id="4" w:name="_Toc492652764"/>
    </w:p>
    <w:p w14:paraId="6CF48FA9">
      <w:pPr>
        <w:pStyle w:val="4"/>
        <w:spacing w:before="0" w:after="0"/>
        <w:ind w:firstLine="643" w:firstLineChars="200"/>
        <w:jc w:val="both"/>
        <w:rPr>
          <w:rFonts w:ascii="仿宋_GB2312" w:hAnsi="Tahoma" w:cs="DengXian-Regular"/>
          <w:sz w:val="32"/>
        </w:rPr>
      </w:pPr>
      <w:bookmarkStart w:id="5" w:name="_Toc11473"/>
      <w:r>
        <w:rPr>
          <w:rFonts w:hint="eastAsia" w:ascii="仿宋_GB2312" w:hAnsi="Tahoma" w:cs="DengXian-Regular"/>
          <w:sz w:val="32"/>
        </w:rPr>
        <w:t>（一）部门职责和工作活动</w:t>
      </w:r>
      <w:bookmarkEnd w:id="4"/>
      <w:bookmarkEnd w:id="5"/>
    </w:p>
    <w:p w14:paraId="2231C42C">
      <w:pPr>
        <w:spacing w:line="360" w:lineRule="auto"/>
        <w:ind w:firstLine="640" w:firstLineChars="200"/>
        <w:rPr>
          <w:rFonts w:ascii="仿宋" w:hAnsi="仿宋" w:eastAsia="仿宋" w:cs="仿宋"/>
          <w:sz w:val="32"/>
          <w:szCs w:val="32"/>
        </w:rPr>
      </w:pPr>
      <w:r>
        <w:rPr>
          <w:rFonts w:hint="eastAsia" w:ascii="仿宋_GB2312" w:eastAsia="仿宋_GB2312" w:cs="DengXian-Regular"/>
          <w:sz w:val="32"/>
          <w:szCs w:val="32"/>
        </w:rPr>
        <w:t>根据中共保定市徐水区委办公室、保定市徐水区人民政府办公室关于印发《保定市徐水区</w:t>
      </w:r>
      <w:r>
        <w:rPr>
          <w:rFonts w:hint="eastAsia" w:ascii="仿宋_GB2312" w:eastAsia="仿宋_GB2312" w:cs="DengXian-Regular"/>
          <w:sz w:val="32"/>
          <w:szCs w:val="32"/>
          <w:lang w:eastAsia="zh-CN"/>
        </w:rPr>
        <w:t>政法委</w:t>
      </w:r>
      <w:r>
        <w:rPr>
          <w:rFonts w:hint="eastAsia" w:ascii="仿宋_GB2312" w:eastAsia="仿宋_GB2312" w:cs="DengXian-Regular"/>
          <w:sz w:val="32"/>
          <w:szCs w:val="32"/>
        </w:rPr>
        <w:t>职能配置内设机构和人员编制规定》的通知，区</w:t>
      </w:r>
      <w:r>
        <w:rPr>
          <w:rFonts w:hint="eastAsia" w:ascii="仿宋_GB2312" w:eastAsia="仿宋_GB2312" w:cs="DengXian-Regular"/>
          <w:sz w:val="32"/>
          <w:szCs w:val="32"/>
          <w:lang w:eastAsia="zh-CN"/>
        </w:rPr>
        <w:t>政法委</w:t>
      </w:r>
      <w:r>
        <w:rPr>
          <w:rFonts w:hint="eastAsia" w:ascii="仿宋_GB2312" w:eastAsia="仿宋_GB2312" w:cs="DengXian-Regular"/>
          <w:sz w:val="32"/>
          <w:szCs w:val="32"/>
        </w:rPr>
        <w:t>为区政府工作部门，正科级单位，下设</w:t>
      </w:r>
      <w:r>
        <w:rPr>
          <w:rFonts w:hint="default" w:ascii="仿宋_GB2312" w:eastAsia="仿宋_GB2312" w:cs="DengXian-Regular"/>
          <w:sz w:val="32"/>
          <w:szCs w:val="32"/>
          <w:lang w:val="en-US"/>
        </w:rPr>
        <w:t>4</w:t>
      </w:r>
      <w:r>
        <w:rPr>
          <w:rFonts w:hint="eastAsia" w:ascii="仿宋_GB2312" w:eastAsia="仿宋_GB2312" w:cs="DengXian-Regular"/>
          <w:sz w:val="32"/>
          <w:szCs w:val="32"/>
        </w:rPr>
        <w:t>个股室。</w:t>
      </w:r>
      <w:r>
        <w:rPr>
          <w:rFonts w:hint="eastAsia" w:ascii="仿宋_GB2312" w:eastAsia="仿宋_GB2312" w:cs="DengXian-Regular"/>
          <w:sz w:val="32"/>
          <w:szCs w:val="32"/>
          <w:lang w:eastAsia="zh-CN"/>
        </w:rPr>
        <w:t>政法委</w:t>
      </w:r>
      <w:r>
        <w:rPr>
          <w:rFonts w:hint="eastAsia" w:ascii="仿宋_GB2312" w:eastAsia="仿宋_GB2312" w:cs="DengXian-Regular"/>
          <w:sz w:val="32"/>
          <w:szCs w:val="32"/>
        </w:rPr>
        <w:t>根据绩效预算管理改革的相关要求，按照“部门职责—工作活动绩效目标”的层级设立了绩效预算架构，职责活动包括</w:t>
      </w:r>
      <w:bookmarkStart w:id="6" w:name="_Toc465149499"/>
      <w:bookmarkStart w:id="7" w:name="_Toc492652765"/>
      <w:r>
        <w:rPr>
          <w:rFonts w:hint="eastAsia" w:ascii="仿宋_GB2312" w:eastAsia="仿宋_GB2312" w:cs="DengXian-Regular"/>
          <w:sz w:val="32"/>
          <w:szCs w:val="32"/>
        </w:rPr>
        <w:t>⑴</w:t>
      </w:r>
      <w:r>
        <w:rPr>
          <w:rFonts w:hint="eastAsia" w:ascii="仿宋" w:hAnsi="仿宋" w:eastAsia="仿宋" w:cs="仿宋"/>
          <w:sz w:val="32"/>
          <w:szCs w:val="32"/>
        </w:rPr>
        <w:t>防控各类社会风险，确保社会安全稳定、⑵实现“全域覆盖、全网共享、全时可用、全程可控”、⑶确保全区铁路畅通、⑷做好对邪教人员的教育转化共4部分</w:t>
      </w:r>
      <w:r>
        <w:rPr>
          <w:rFonts w:ascii="仿宋" w:hAnsi="仿宋" w:eastAsia="仿宋" w:cs="仿宋"/>
          <w:sz w:val="32"/>
          <w:szCs w:val="32"/>
        </w:rPr>
        <w:t>。</w:t>
      </w:r>
    </w:p>
    <w:p w14:paraId="2B739687">
      <w:pPr>
        <w:pStyle w:val="4"/>
        <w:spacing w:before="0" w:after="0"/>
        <w:ind w:firstLine="643" w:firstLineChars="200"/>
        <w:jc w:val="both"/>
        <w:rPr>
          <w:rFonts w:ascii="仿宋_GB2312" w:hAnsi="Tahoma" w:cs="DengXian-Regular"/>
          <w:sz w:val="32"/>
        </w:rPr>
      </w:pPr>
      <w:bookmarkStart w:id="8" w:name="_Toc7075"/>
      <w:r>
        <w:rPr>
          <w:rFonts w:hint="eastAsia" w:ascii="仿宋_GB2312" w:hAnsi="Tahoma" w:cs="DengXian-Regular"/>
          <w:sz w:val="32"/>
        </w:rPr>
        <w:t>（二）</w:t>
      </w:r>
      <w:bookmarkEnd w:id="6"/>
      <w:r>
        <w:rPr>
          <w:rFonts w:hint="eastAsia" w:ascii="仿宋_GB2312" w:hAnsi="Tahoma" w:cs="DengXian-Regular"/>
          <w:sz w:val="32"/>
        </w:rPr>
        <w:t>部门年度发展规划总体目标和职责分类绩效目标</w:t>
      </w:r>
      <w:bookmarkEnd w:id="7"/>
      <w:bookmarkEnd w:id="8"/>
    </w:p>
    <w:p w14:paraId="4D7BAF2E">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按照202</w:t>
      </w:r>
      <w:r>
        <w:rPr>
          <w:rFonts w:ascii="仿宋_GB2312" w:eastAsia="仿宋_GB2312" w:cs="DengXian-Regular"/>
          <w:sz w:val="32"/>
          <w:szCs w:val="32"/>
        </w:rPr>
        <w:t>1</w:t>
      </w:r>
      <w:r>
        <w:rPr>
          <w:rFonts w:hint="eastAsia" w:ascii="仿宋_GB2312" w:eastAsia="仿宋_GB2312" w:cs="DengXian-Regular"/>
          <w:sz w:val="32"/>
          <w:szCs w:val="32"/>
        </w:rPr>
        <w:t>年绩效预算编制要求，</w:t>
      </w:r>
      <w:r>
        <w:rPr>
          <w:rFonts w:hint="eastAsia" w:ascii="仿宋_GB2312" w:eastAsia="仿宋_GB2312" w:cs="DengXian-Regular"/>
          <w:sz w:val="32"/>
          <w:szCs w:val="32"/>
          <w:lang w:eastAsia="zh-CN"/>
        </w:rPr>
        <w:t>政法委</w:t>
      </w:r>
      <w:r>
        <w:rPr>
          <w:rFonts w:hint="eastAsia" w:ascii="仿宋_GB2312" w:eastAsia="仿宋_GB2312" w:cs="DengXian-Regular"/>
          <w:sz w:val="32"/>
          <w:szCs w:val="32"/>
        </w:rPr>
        <w:t>设置的年度发展规划总体目标为：</w:t>
      </w:r>
    </w:p>
    <w:p w14:paraId="3A8C935B">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负责贯彻执行党和国家关于制定</w:t>
      </w:r>
      <w:r>
        <w:rPr>
          <w:rFonts w:hint="eastAsia" w:ascii="仿宋_GB2312" w:eastAsia="仿宋_GB2312" w:cs="DengXian-Regular"/>
          <w:sz w:val="32"/>
          <w:szCs w:val="32"/>
          <w:lang w:eastAsia="zh-CN"/>
        </w:rPr>
        <w:t>徐水区委政法委</w:t>
      </w:r>
      <w:r>
        <w:rPr>
          <w:rFonts w:hint="eastAsia" w:ascii="仿宋_GB2312" w:eastAsia="仿宋_GB2312" w:cs="DengXian-Regular"/>
          <w:sz w:val="32"/>
          <w:szCs w:val="32"/>
        </w:rPr>
        <w:t>工作要点，并监督实施。指导徐水</w:t>
      </w:r>
      <w:r>
        <w:rPr>
          <w:rFonts w:ascii="仿宋_GB2312" w:eastAsia="仿宋_GB2312" w:cs="DengXian-Regular"/>
          <w:sz w:val="32"/>
          <w:szCs w:val="32"/>
        </w:rPr>
        <w:t>区委政法委</w:t>
      </w:r>
      <w:r>
        <w:rPr>
          <w:rFonts w:hint="eastAsia" w:ascii="仿宋_GB2312" w:eastAsia="仿宋_GB2312" w:cs="DengXian-Regular"/>
          <w:sz w:val="32"/>
          <w:szCs w:val="32"/>
        </w:rPr>
        <w:t>各项工作。制定徐水</w:t>
      </w:r>
      <w:r>
        <w:rPr>
          <w:rFonts w:ascii="仿宋_GB2312" w:eastAsia="仿宋_GB2312" w:cs="DengXian-Regular"/>
          <w:sz w:val="32"/>
          <w:szCs w:val="32"/>
        </w:rPr>
        <w:t>区委政法委</w:t>
      </w:r>
      <w:r>
        <w:rPr>
          <w:rFonts w:hint="eastAsia" w:ascii="仿宋_GB2312" w:eastAsia="仿宋_GB2312" w:cs="DengXian-Regular"/>
          <w:sz w:val="32"/>
          <w:szCs w:val="32"/>
        </w:rPr>
        <w:t>各项规划并组织实施，指导检查徐水</w:t>
      </w:r>
      <w:r>
        <w:rPr>
          <w:rFonts w:ascii="仿宋_GB2312" w:eastAsia="仿宋_GB2312" w:cs="DengXian-Regular"/>
          <w:sz w:val="32"/>
          <w:szCs w:val="32"/>
        </w:rPr>
        <w:t>区委政法委</w:t>
      </w:r>
      <w:r>
        <w:rPr>
          <w:rFonts w:hint="eastAsia" w:ascii="仿宋_GB2312" w:eastAsia="仿宋_GB2312" w:cs="DengXian-Regular"/>
          <w:sz w:val="32"/>
          <w:szCs w:val="32"/>
        </w:rPr>
        <w:t>各项工作。负责徐水</w:t>
      </w:r>
      <w:r>
        <w:rPr>
          <w:rFonts w:ascii="仿宋_GB2312" w:eastAsia="仿宋_GB2312" w:cs="DengXian-Regular"/>
          <w:sz w:val="32"/>
          <w:szCs w:val="32"/>
        </w:rPr>
        <w:t>区委政法委</w:t>
      </w:r>
      <w:r>
        <w:rPr>
          <w:rFonts w:hint="eastAsia" w:ascii="仿宋_GB2312" w:eastAsia="仿宋_GB2312" w:cs="DengXian-Regular"/>
          <w:sz w:val="32"/>
          <w:szCs w:val="32"/>
        </w:rPr>
        <w:t>总体工作。</w:t>
      </w:r>
    </w:p>
    <w:p w14:paraId="080B2E77">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职责分类绩效目标为：</w:t>
      </w:r>
    </w:p>
    <w:p w14:paraId="6CC63854">
      <w:pPr>
        <w:spacing w:after="0" w:line="360" w:lineRule="auto"/>
        <w:ind w:firstLine="640" w:firstLineChars="200"/>
        <w:jc w:val="both"/>
        <w:textAlignment w:val="baseline"/>
        <w:rPr>
          <w:rFonts w:ascii="仿宋" w:hAnsi="仿宋" w:eastAsia="仿宋" w:cs="仿宋"/>
          <w:sz w:val="32"/>
          <w:szCs w:val="32"/>
        </w:rPr>
      </w:pPr>
      <w:bookmarkStart w:id="9" w:name="_Toc1678"/>
      <w:bookmarkStart w:id="10" w:name="_Toc465149500"/>
      <w:bookmarkStart w:id="11" w:name="_Toc492652766"/>
      <w:r>
        <w:rPr>
          <w:rFonts w:hint="eastAsia" w:ascii="仿宋_GB2312" w:eastAsia="仿宋_GB2312" w:cs="DengXian-Regular"/>
          <w:sz w:val="32"/>
          <w:szCs w:val="32"/>
        </w:rPr>
        <w:t>1.</w:t>
      </w:r>
      <w:r>
        <w:rPr>
          <w:rFonts w:hint="eastAsia"/>
        </w:rPr>
        <w:t xml:space="preserve"> </w:t>
      </w:r>
      <w:r>
        <w:rPr>
          <w:rFonts w:hint="eastAsia" w:ascii="仿宋" w:hAnsi="仿宋" w:eastAsia="仿宋" w:cs="仿宋"/>
          <w:sz w:val="32"/>
          <w:szCs w:val="32"/>
        </w:rPr>
        <w:t>通过指导、协调和督导各部门，预防减少不稳定因素的发生，有效化解不稳定隐患、群体性事件和突发事件，全力做好区内各种重大活动安保工作，确保社会稳定。</w:t>
      </w:r>
    </w:p>
    <w:p w14:paraId="73AC7425">
      <w:pPr>
        <w:spacing w:line="360" w:lineRule="auto"/>
        <w:ind w:firstLine="640" w:firstLineChars="200"/>
        <w:rPr>
          <w:rFonts w:ascii="仿宋" w:hAnsi="仿宋" w:eastAsia="仿宋" w:cs="仿宋"/>
          <w:sz w:val="32"/>
          <w:szCs w:val="32"/>
        </w:rPr>
      </w:pPr>
      <w:r>
        <w:rPr>
          <w:rFonts w:hint="eastAsia" w:ascii="仿宋_GB2312" w:eastAsia="仿宋_GB2312" w:cs="DengXian-Regular"/>
          <w:sz w:val="32"/>
          <w:szCs w:val="32"/>
        </w:rPr>
        <w:t>2.</w:t>
      </w:r>
      <w:r>
        <w:rPr>
          <w:rFonts w:hint="eastAsia"/>
        </w:rPr>
        <w:t xml:space="preserve"> </w:t>
      </w:r>
      <w:r>
        <w:rPr>
          <w:rFonts w:hint="eastAsia" w:ascii="仿宋" w:hAnsi="仿宋" w:eastAsia="仿宋" w:cs="仿宋"/>
          <w:sz w:val="32"/>
          <w:szCs w:val="32"/>
        </w:rPr>
        <w:t>充分发挥“雪亮工程”作用，实现“全域覆盖、全网共享、全时可用、全程可控”，提高全区安全系数；视频监控网络畅通，能够顺利开展工作。</w:t>
      </w:r>
    </w:p>
    <w:p w14:paraId="1814C487">
      <w:pPr>
        <w:spacing w:line="360" w:lineRule="auto"/>
        <w:ind w:firstLine="640" w:firstLineChars="200"/>
        <w:rPr>
          <w:rFonts w:ascii="仿宋" w:hAnsi="仿宋" w:eastAsia="仿宋" w:cs="仿宋"/>
          <w:sz w:val="32"/>
          <w:szCs w:val="32"/>
        </w:rPr>
      </w:pPr>
      <w:r>
        <w:rPr>
          <w:rFonts w:hint="eastAsia" w:ascii="仿宋_GB2312" w:eastAsia="仿宋_GB2312" w:cs="DengXian-Regular"/>
          <w:sz w:val="32"/>
          <w:szCs w:val="32"/>
        </w:rPr>
        <w:t>3.</w:t>
      </w:r>
      <w:r>
        <w:rPr>
          <w:rFonts w:hint="eastAsia"/>
        </w:rPr>
        <w:t xml:space="preserve"> </w:t>
      </w:r>
      <w:r>
        <w:rPr>
          <w:rFonts w:hint="eastAsia" w:ascii="仿宋" w:hAnsi="仿宋" w:eastAsia="仿宋" w:cs="仿宋"/>
          <w:sz w:val="32"/>
          <w:szCs w:val="32"/>
        </w:rPr>
        <w:t>做好全区铁路护路日常防护工作，确保全国</w:t>
      </w:r>
      <w:bookmarkStart w:id="80" w:name="_GoBack"/>
      <w:bookmarkEnd w:id="80"/>
      <w:r>
        <w:rPr>
          <w:rFonts w:hint="eastAsia" w:ascii="仿宋" w:hAnsi="仿宋" w:eastAsia="仿宋" w:cs="仿宋"/>
          <w:sz w:val="32"/>
          <w:szCs w:val="32"/>
        </w:rPr>
        <w:t>两会及其他重要节点的铁路顺利畅通；确保护路队员劳务费按月及时支付。</w:t>
      </w:r>
    </w:p>
    <w:p w14:paraId="668AEEFC">
      <w:pPr>
        <w:spacing w:line="360" w:lineRule="auto"/>
        <w:ind w:firstLine="640" w:firstLineChars="200"/>
        <w:rPr>
          <w:rFonts w:ascii="仿宋" w:hAnsi="仿宋" w:eastAsia="仿宋" w:cs="仿宋"/>
          <w:sz w:val="32"/>
          <w:szCs w:val="32"/>
        </w:rPr>
      </w:pPr>
      <w:r>
        <w:rPr>
          <w:rFonts w:hint="eastAsia" w:ascii="仿宋_GB2312" w:eastAsia="仿宋_GB2312" w:cs="DengXian-Regular"/>
          <w:sz w:val="32"/>
          <w:szCs w:val="32"/>
        </w:rPr>
        <w:t>4、</w:t>
      </w:r>
      <w:r>
        <w:rPr>
          <w:rFonts w:hint="eastAsia" w:ascii="仿宋" w:hAnsi="仿宋" w:eastAsia="仿宋" w:cs="仿宋"/>
          <w:sz w:val="32"/>
          <w:szCs w:val="32"/>
        </w:rPr>
        <w:t>做好反邪教工作的防范控制、宣传教育、深挖打击等工作，维护社会安定、政治稳定；做好对邪教人员的教育转化工作。</w:t>
      </w:r>
    </w:p>
    <w:p w14:paraId="75FA8493">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（三）部门预算收入及决算收入</w:t>
      </w:r>
      <w:bookmarkEnd w:id="9"/>
    </w:p>
    <w:p w14:paraId="3DED6D39">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202</w:t>
      </w:r>
      <w:r>
        <w:rPr>
          <w:rFonts w:ascii="仿宋_GB2312" w:eastAsia="仿宋_GB2312" w:cs="DengXian-Regular"/>
          <w:sz w:val="32"/>
          <w:szCs w:val="32"/>
        </w:rPr>
        <w:t>1</w:t>
      </w:r>
      <w:r>
        <w:rPr>
          <w:rFonts w:hint="eastAsia" w:ascii="仿宋_GB2312" w:eastAsia="仿宋_GB2312" w:cs="DengXian-Regular"/>
          <w:sz w:val="32"/>
          <w:szCs w:val="32"/>
        </w:rPr>
        <w:t>年区</w:t>
      </w:r>
      <w:r>
        <w:rPr>
          <w:rFonts w:hint="eastAsia" w:ascii="仿宋_GB2312" w:eastAsia="仿宋_GB2312" w:cs="DengXian-Regular"/>
          <w:sz w:val="32"/>
          <w:szCs w:val="32"/>
          <w:lang w:eastAsia="zh-CN"/>
        </w:rPr>
        <w:t>政法委</w:t>
      </w:r>
      <w:r>
        <w:rPr>
          <w:rFonts w:hint="eastAsia" w:ascii="仿宋_GB2312" w:eastAsia="仿宋_GB2312" w:cs="DengXian-Regular"/>
          <w:sz w:val="32"/>
          <w:szCs w:val="32"/>
        </w:rPr>
        <w:t>预算收入</w:t>
      </w:r>
      <w:r>
        <w:rPr>
          <w:rFonts w:hint="default" w:ascii="仿宋_GB2312" w:hAnsi="Times New Roman" w:eastAsia="仿宋_GB2312" w:cs="DengXian-Regular"/>
          <w:sz w:val="32"/>
          <w:szCs w:val="32"/>
          <w:lang w:val="en-US"/>
        </w:rPr>
        <w:t>1346.02</w:t>
      </w:r>
      <w:r>
        <w:rPr>
          <w:rFonts w:hint="eastAsia" w:ascii="仿宋_GB2312" w:eastAsia="仿宋_GB2312" w:cs="DengXian-Regular"/>
          <w:sz w:val="32"/>
          <w:szCs w:val="32"/>
        </w:rPr>
        <w:t>万元，均为一般公共预算拨款，其中：财政拨款</w:t>
      </w:r>
      <w:r>
        <w:rPr>
          <w:rFonts w:hint="default" w:ascii="仿宋_GB2312" w:hAnsi="Times New Roman" w:eastAsia="仿宋_GB2312" w:cs="DengXian-Regular"/>
          <w:sz w:val="32"/>
          <w:szCs w:val="32"/>
          <w:lang w:val="en-US"/>
        </w:rPr>
        <w:t>1346.02</w:t>
      </w:r>
      <w:r>
        <w:rPr>
          <w:rFonts w:hint="eastAsia" w:ascii="仿宋_GB2312" w:eastAsia="仿宋_GB2312" w:cs="DengXian-Regular"/>
          <w:sz w:val="32"/>
          <w:szCs w:val="32"/>
        </w:rPr>
        <w:t>万元</w:t>
      </w:r>
      <w:r>
        <w:rPr>
          <w:rFonts w:hint="eastAsia" w:ascii="仿宋_GB2312" w:eastAsia="仿宋_GB2312" w:cs="DengXian-Regular"/>
          <w:sz w:val="32"/>
          <w:szCs w:val="32"/>
          <w:lang w:eastAsia="zh-CN"/>
        </w:rPr>
        <w:t>。</w:t>
      </w:r>
      <w:r>
        <w:rPr>
          <w:rFonts w:hint="eastAsia" w:ascii="仿宋_GB2312" w:eastAsia="仿宋_GB2312" w:cs="DengXian-Regular"/>
          <w:sz w:val="32"/>
          <w:szCs w:val="32"/>
        </w:rPr>
        <w:t>预算收入按功能分类包含：公共安全支出</w:t>
      </w:r>
      <w:r>
        <w:rPr>
          <w:rFonts w:hint="default" w:ascii="仿宋_GB2312" w:eastAsia="仿宋_GB2312" w:cs="DengXian-Regular"/>
          <w:sz w:val="32"/>
          <w:szCs w:val="32"/>
          <w:lang w:val="en-US"/>
        </w:rPr>
        <w:t>1303.83</w:t>
      </w:r>
      <w:r>
        <w:rPr>
          <w:rFonts w:hint="eastAsia" w:ascii="仿宋_GB2312" w:eastAsia="仿宋_GB2312" w:cs="DengXian-Regular"/>
          <w:sz w:val="32"/>
          <w:szCs w:val="32"/>
        </w:rPr>
        <w:t>万元，社会保障和就业支出</w:t>
      </w:r>
      <w:r>
        <w:rPr>
          <w:rFonts w:hint="default" w:ascii="仿宋_GB2312" w:eastAsia="仿宋_GB2312" w:cs="DengXian-Regular"/>
          <w:sz w:val="32"/>
          <w:szCs w:val="32"/>
          <w:lang w:val="en-US"/>
        </w:rPr>
        <w:t>16.93</w:t>
      </w:r>
      <w:r>
        <w:rPr>
          <w:rFonts w:hint="eastAsia" w:ascii="仿宋_GB2312" w:eastAsia="仿宋_GB2312" w:cs="DengXian-Regular"/>
          <w:sz w:val="32"/>
          <w:szCs w:val="32"/>
        </w:rPr>
        <w:t>万元，医疗卫生与计划生育支出</w:t>
      </w:r>
      <w:r>
        <w:rPr>
          <w:rFonts w:hint="default" w:ascii="仿宋_GB2312" w:eastAsia="仿宋_GB2312" w:cs="DengXian-Regular"/>
          <w:sz w:val="32"/>
          <w:szCs w:val="32"/>
          <w:lang w:val="en-US"/>
        </w:rPr>
        <w:t>12.95</w:t>
      </w:r>
      <w:r>
        <w:rPr>
          <w:rFonts w:hint="eastAsia" w:ascii="仿宋_GB2312" w:eastAsia="仿宋_GB2312" w:cs="DengXian-Regular"/>
          <w:sz w:val="32"/>
          <w:szCs w:val="32"/>
        </w:rPr>
        <w:t>万元，住房保障支出</w:t>
      </w:r>
      <w:r>
        <w:rPr>
          <w:rFonts w:hint="default" w:ascii="仿宋_GB2312" w:eastAsia="仿宋_GB2312" w:cs="DengXian-Regular"/>
          <w:sz w:val="32"/>
          <w:szCs w:val="32"/>
          <w:lang w:val="en-US"/>
        </w:rPr>
        <w:t>12.31</w:t>
      </w:r>
      <w:r>
        <w:rPr>
          <w:rFonts w:hint="eastAsia" w:ascii="仿宋_GB2312" w:eastAsia="仿宋_GB2312" w:cs="DengXian-Regular"/>
          <w:sz w:val="32"/>
          <w:szCs w:val="32"/>
        </w:rPr>
        <w:t>万元。具体预算收入详见附件2。</w:t>
      </w:r>
    </w:p>
    <w:p w14:paraId="655C236A">
      <w:pPr>
        <w:spacing w:after="0" w:line="360" w:lineRule="auto"/>
        <w:ind w:firstLine="640" w:firstLineChars="200"/>
        <w:jc w:val="both"/>
        <w:textAlignment w:val="baseline"/>
        <w:rPr>
          <w:rFonts w:hint="eastAsia" w:ascii="仿宋_GB2312" w:eastAsia="仿宋_GB2312" w:cs="DengXian-Regular"/>
          <w:sz w:val="32"/>
          <w:szCs w:val="32"/>
        </w:rPr>
      </w:pPr>
      <w:r>
        <w:rPr>
          <w:rFonts w:hint="eastAsia" w:ascii="仿宋_GB2312" w:eastAsia="仿宋_GB2312" w:cs="DengXian-Regular"/>
          <w:sz w:val="32"/>
          <w:szCs w:val="32"/>
        </w:rPr>
        <w:t>202</w:t>
      </w:r>
      <w:r>
        <w:rPr>
          <w:rFonts w:ascii="仿宋_GB2312" w:eastAsia="仿宋_GB2312" w:cs="DengXian-Regular"/>
          <w:sz w:val="32"/>
          <w:szCs w:val="32"/>
        </w:rPr>
        <w:t>1</w:t>
      </w:r>
      <w:r>
        <w:rPr>
          <w:rFonts w:hint="eastAsia" w:ascii="仿宋_GB2312" w:eastAsia="仿宋_GB2312" w:cs="DengXian-Regular"/>
          <w:sz w:val="32"/>
          <w:szCs w:val="32"/>
        </w:rPr>
        <w:t>年区</w:t>
      </w:r>
      <w:r>
        <w:rPr>
          <w:rFonts w:hint="eastAsia" w:ascii="仿宋_GB2312" w:eastAsia="仿宋_GB2312" w:cs="DengXian-Regular"/>
          <w:sz w:val="32"/>
          <w:szCs w:val="32"/>
          <w:lang w:eastAsia="zh-CN"/>
        </w:rPr>
        <w:t>政法委</w:t>
      </w:r>
      <w:r>
        <w:rPr>
          <w:rFonts w:hint="eastAsia" w:ascii="仿宋_GB2312" w:eastAsia="仿宋_GB2312" w:cs="DengXian-Regular"/>
          <w:sz w:val="32"/>
          <w:szCs w:val="32"/>
        </w:rPr>
        <w:t>单位决算收入</w:t>
      </w:r>
      <w:r>
        <w:rPr>
          <w:rFonts w:hint="default" w:ascii="仿宋_GB2312" w:eastAsia="仿宋_GB2312" w:cs="DengXian-Regular"/>
          <w:sz w:val="32"/>
          <w:szCs w:val="32"/>
          <w:lang w:val="en-US"/>
        </w:rPr>
        <w:t>1092.24</w:t>
      </w:r>
      <w:r>
        <w:rPr>
          <w:rFonts w:hint="eastAsia" w:ascii="仿宋_GB2312" w:eastAsia="仿宋_GB2312" w:cs="DengXian-Regular"/>
          <w:sz w:val="32"/>
          <w:szCs w:val="32"/>
        </w:rPr>
        <w:t>万元，其中：财政拨款收入</w:t>
      </w:r>
      <w:r>
        <w:rPr>
          <w:rFonts w:hint="default" w:ascii="仿宋_GB2312" w:eastAsia="仿宋_GB2312" w:cs="DengXian-Regular"/>
          <w:sz w:val="32"/>
          <w:szCs w:val="32"/>
          <w:lang w:val="en-US"/>
        </w:rPr>
        <w:t>1092.19</w:t>
      </w:r>
      <w:r>
        <w:rPr>
          <w:rFonts w:hint="eastAsia" w:ascii="仿宋_GB2312" w:eastAsia="仿宋_GB2312" w:cs="DengXian-Regular"/>
          <w:sz w:val="32"/>
          <w:szCs w:val="32"/>
        </w:rPr>
        <w:t>万元，其他收入</w:t>
      </w:r>
      <w:r>
        <w:rPr>
          <w:rFonts w:hint="default" w:ascii="仿宋_GB2312" w:eastAsia="仿宋_GB2312" w:cs="DengXian-Regular"/>
          <w:sz w:val="32"/>
          <w:szCs w:val="32"/>
          <w:lang w:val="en-US"/>
        </w:rPr>
        <w:t>0.05</w:t>
      </w:r>
      <w:r>
        <w:rPr>
          <w:rFonts w:hint="eastAsia" w:ascii="仿宋_GB2312" w:eastAsia="仿宋_GB2312" w:cs="DengXian-Regular"/>
          <w:sz w:val="32"/>
          <w:szCs w:val="32"/>
        </w:rPr>
        <w:t>万元（全部为利息收入）。决算收入按功能分类包含：公共安全支出</w:t>
      </w:r>
      <w:r>
        <w:rPr>
          <w:rFonts w:hint="default" w:ascii="仿宋_GB2312" w:eastAsia="仿宋_GB2312" w:cs="DengXian-Regular"/>
          <w:sz w:val="32"/>
          <w:szCs w:val="32"/>
          <w:lang w:val="en-US"/>
        </w:rPr>
        <w:t>1014.40</w:t>
      </w:r>
      <w:r>
        <w:rPr>
          <w:rFonts w:hint="eastAsia" w:ascii="仿宋_GB2312" w:eastAsia="仿宋_GB2312" w:cs="DengXian-Regular"/>
          <w:sz w:val="32"/>
          <w:szCs w:val="32"/>
        </w:rPr>
        <w:t>万元，占比</w:t>
      </w:r>
      <w:r>
        <w:rPr>
          <w:rFonts w:hint="default" w:ascii="仿宋_GB2312" w:eastAsia="仿宋_GB2312" w:cs="DengXian-Regular"/>
          <w:sz w:val="32"/>
          <w:szCs w:val="32"/>
          <w:lang w:val="en-US"/>
        </w:rPr>
        <w:t>92.87</w:t>
      </w:r>
      <w:r>
        <w:rPr>
          <w:rFonts w:hint="eastAsia" w:ascii="仿宋_GB2312" w:eastAsia="仿宋_GB2312" w:cs="DengXian-Regular"/>
          <w:sz w:val="32"/>
          <w:szCs w:val="32"/>
        </w:rPr>
        <w:t>%；社会保障和就业支出</w:t>
      </w:r>
      <w:r>
        <w:rPr>
          <w:rFonts w:hint="default" w:ascii="仿宋_GB2312" w:eastAsia="仿宋_GB2312" w:cs="DengXian-Regular"/>
          <w:sz w:val="32"/>
          <w:szCs w:val="32"/>
          <w:lang w:val="en-US"/>
        </w:rPr>
        <w:t>50.11</w:t>
      </w:r>
      <w:r>
        <w:rPr>
          <w:rFonts w:hint="eastAsia" w:ascii="仿宋_GB2312" w:eastAsia="仿宋_GB2312" w:cs="DengXian-Regular"/>
          <w:sz w:val="32"/>
          <w:szCs w:val="32"/>
        </w:rPr>
        <w:t>万元，占比</w:t>
      </w:r>
      <w:r>
        <w:rPr>
          <w:rFonts w:hint="default" w:ascii="仿宋_GB2312" w:eastAsia="仿宋_GB2312" w:cs="DengXian-Regular"/>
          <w:sz w:val="32"/>
          <w:szCs w:val="32"/>
          <w:lang w:val="en-US"/>
        </w:rPr>
        <w:t>4.59</w:t>
      </w:r>
      <w:r>
        <w:rPr>
          <w:rFonts w:hint="eastAsia" w:ascii="仿宋_GB2312" w:eastAsia="仿宋_GB2312" w:cs="DengXian-Regular"/>
          <w:sz w:val="32"/>
          <w:szCs w:val="32"/>
        </w:rPr>
        <w:t>%；医疗卫生与计划生育支出</w:t>
      </w:r>
      <w:r>
        <w:rPr>
          <w:rFonts w:hint="default" w:ascii="仿宋_GB2312" w:eastAsia="仿宋_GB2312" w:cs="DengXian-Regular"/>
          <w:sz w:val="32"/>
          <w:szCs w:val="32"/>
          <w:lang w:val="en-US"/>
        </w:rPr>
        <w:t>7.48</w:t>
      </w:r>
      <w:r>
        <w:rPr>
          <w:rFonts w:hint="eastAsia" w:ascii="仿宋_GB2312" w:eastAsia="仿宋_GB2312" w:cs="DengXian-Regular"/>
          <w:sz w:val="32"/>
          <w:szCs w:val="32"/>
        </w:rPr>
        <w:t>万元，占比</w:t>
      </w:r>
      <w:r>
        <w:rPr>
          <w:rFonts w:hint="default" w:ascii="仿宋_GB2312" w:eastAsia="仿宋_GB2312" w:cs="DengXian-Regular"/>
          <w:sz w:val="32"/>
          <w:szCs w:val="32"/>
          <w:lang w:val="en-US"/>
        </w:rPr>
        <w:t>0.68</w:t>
      </w:r>
      <w:r>
        <w:rPr>
          <w:rFonts w:hint="eastAsia" w:ascii="仿宋_GB2312" w:eastAsia="仿宋_GB2312" w:cs="DengXian-Regular"/>
          <w:sz w:val="32"/>
          <w:szCs w:val="32"/>
        </w:rPr>
        <w:t>%；住房保障支出</w:t>
      </w:r>
      <w:r>
        <w:rPr>
          <w:rFonts w:hint="default" w:ascii="仿宋_GB2312" w:eastAsia="仿宋_GB2312" w:cs="DengXian-Regular"/>
          <w:sz w:val="32"/>
          <w:szCs w:val="32"/>
          <w:lang w:val="en-US"/>
        </w:rPr>
        <w:t>13.87</w:t>
      </w:r>
      <w:r>
        <w:rPr>
          <w:rFonts w:hint="eastAsia" w:ascii="仿宋_GB2312" w:eastAsia="仿宋_GB2312" w:cs="DengXian-Regular"/>
          <w:sz w:val="32"/>
          <w:szCs w:val="32"/>
        </w:rPr>
        <w:t>万元，占比</w:t>
      </w:r>
      <w:r>
        <w:rPr>
          <w:rFonts w:hint="default" w:ascii="仿宋_GB2312" w:eastAsia="仿宋_GB2312" w:cs="DengXian-Regular"/>
          <w:sz w:val="32"/>
          <w:szCs w:val="32"/>
          <w:lang w:val="en-US"/>
        </w:rPr>
        <w:t>1.27</w:t>
      </w:r>
      <w:r>
        <w:rPr>
          <w:rFonts w:hint="eastAsia" w:ascii="仿宋_GB2312" w:eastAsia="仿宋_GB2312" w:cs="DengXian-Regular"/>
          <w:sz w:val="32"/>
          <w:szCs w:val="32"/>
        </w:rPr>
        <w:t>%。具体决算收入详见附件2。</w:t>
      </w:r>
    </w:p>
    <w:p w14:paraId="75A101A0">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决算收入结构如图1。</w:t>
      </w:r>
    </w:p>
    <w:p w14:paraId="534BBE4A">
      <w:pPr>
        <w:spacing w:after="0" w:line="360" w:lineRule="auto"/>
        <w:jc w:val="center"/>
        <w:textAlignment w:val="baseline"/>
        <w:rPr>
          <w:rFonts w:ascii="仿宋_GB2312" w:eastAsia="仿宋_GB2312" w:cs="DengXian-Regular"/>
          <w:sz w:val="32"/>
          <w:szCs w:val="32"/>
        </w:rPr>
      </w:pPr>
      <w:r>
        <w:rPr>
          <w:rFonts w:hint="eastAsia" w:asciiTheme="minorEastAsia" w:hAnsiTheme="minorEastAsia" w:eastAsiaTheme="minorEastAsia" w:cstheme="minorEastAsia"/>
          <w:b/>
          <w:bCs/>
          <w:sz w:val="32"/>
          <w:szCs w:val="32"/>
        </w:rPr>
        <w:t>图1  202</w:t>
      </w:r>
      <w:r>
        <w:rPr>
          <w:rFonts w:asciiTheme="minorEastAsia" w:hAnsiTheme="minorEastAsia" w:eastAsiaTheme="minorEastAsia" w:cstheme="minorEastAsia"/>
          <w:b/>
          <w:bCs/>
          <w:sz w:val="32"/>
          <w:szCs w:val="32"/>
        </w:rPr>
        <w:t>1</w:t>
      </w:r>
      <w:r>
        <w:rPr>
          <w:rFonts w:hint="eastAsia" w:asciiTheme="minorEastAsia" w:hAnsiTheme="minorEastAsia" w:eastAsiaTheme="minorEastAsia" w:cstheme="minorEastAsia"/>
          <w:b/>
          <w:bCs/>
          <w:sz w:val="32"/>
          <w:szCs w:val="32"/>
        </w:rPr>
        <w:t>年度区</w:t>
      </w:r>
      <w:r>
        <w:rPr>
          <w:rFonts w:hint="eastAsia" w:asciiTheme="minorEastAsia" w:hAnsiTheme="minorEastAsia" w:eastAsiaTheme="minorEastAsia" w:cstheme="minorEastAsia"/>
          <w:b/>
          <w:bCs/>
          <w:sz w:val="32"/>
          <w:szCs w:val="32"/>
          <w:lang w:eastAsia="zh-CN"/>
        </w:rPr>
        <w:t>政法委</w:t>
      </w:r>
      <w:r>
        <w:rPr>
          <w:rFonts w:hint="eastAsia" w:asciiTheme="minorEastAsia" w:hAnsiTheme="minorEastAsia" w:eastAsiaTheme="minorEastAsia" w:cstheme="minorEastAsia"/>
          <w:b/>
          <w:bCs/>
          <w:sz w:val="32"/>
          <w:szCs w:val="32"/>
        </w:rPr>
        <w:t>决算收入结构图</w:t>
      </w:r>
    </w:p>
    <w:p w14:paraId="4F97F822">
      <w:pPr>
        <w:spacing w:after="0" w:line="540" w:lineRule="exact"/>
        <w:ind w:firstLine="440" w:firstLineChars="200"/>
        <w:jc w:val="both"/>
        <w:rPr>
          <w:rFonts w:ascii="仿宋_GB2312" w:eastAsia="仿宋_GB2312" w:cs="Times New Roman" w:hAnsiTheme="minorEastAsia"/>
          <w:sz w:val="32"/>
          <w:szCs w:val="32"/>
          <w:u w:color="000000"/>
        </w:rPr>
      </w:pPr>
      <w:r>
        <w:drawing>
          <wp:anchor distT="0" distB="0" distL="114300" distR="114300" simplePos="0" relativeHeight="251659264" behindDoc="0" locked="0" layoutInCell="1" allowOverlap="1">
            <wp:simplePos x="0" y="0"/>
            <wp:positionH relativeFrom="column">
              <wp:posOffset>433070</wp:posOffset>
            </wp:positionH>
            <wp:positionV relativeFrom="paragraph">
              <wp:posOffset>94615</wp:posOffset>
            </wp:positionV>
            <wp:extent cx="4562475" cy="2866390"/>
            <wp:effectExtent l="4445" t="4445" r="5080" b="5715"/>
            <wp:wrapSquare wrapText="bothSides"/>
            <wp:docPr id="7"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anchor>
        </w:drawing>
      </w:r>
    </w:p>
    <w:p w14:paraId="63045254">
      <w:pPr>
        <w:spacing w:after="0" w:line="540" w:lineRule="exact"/>
        <w:ind w:firstLine="640" w:firstLineChars="200"/>
        <w:jc w:val="both"/>
        <w:rPr>
          <w:rFonts w:ascii="仿宋_GB2312" w:eastAsia="仿宋_GB2312" w:cs="Times New Roman" w:hAnsiTheme="minorEastAsia"/>
          <w:sz w:val="32"/>
          <w:szCs w:val="32"/>
          <w:u w:color="000000"/>
        </w:rPr>
      </w:pPr>
    </w:p>
    <w:p w14:paraId="683541A6">
      <w:pPr>
        <w:spacing w:after="0" w:line="540" w:lineRule="exact"/>
        <w:ind w:firstLine="640" w:firstLineChars="200"/>
        <w:jc w:val="both"/>
        <w:rPr>
          <w:rFonts w:ascii="仿宋_GB2312" w:eastAsia="仿宋_GB2312" w:cs="DengXian-Regular"/>
          <w:sz w:val="32"/>
          <w:szCs w:val="32"/>
        </w:rPr>
      </w:pPr>
    </w:p>
    <w:p w14:paraId="49A9DA47">
      <w:pPr>
        <w:spacing w:after="0" w:line="540" w:lineRule="exact"/>
        <w:ind w:firstLine="640" w:firstLineChars="200"/>
        <w:jc w:val="both"/>
        <w:rPr>
          <w:rFonts w:ascii="仿宋_GB2312" w:eastAsia="仿宋_GB2312" w:cs="DengXian-Regular"/>
          <w:sz w:val="32"/>
          <w:szCs w:val="32"/>
        </w:rPr>
      </w:pPr>
    </w:p>
    <w:p w14:paraId="08016CBC">
      <w:pPr>
        <w:spacing w:after="0" w:line="540" w:lineRule="exact"/>
        <w:ind w:firstLine="640" w:firstLineChars="200"/>
        <w:jc w:val="both"/>
        <w:rPr>
          <w:rFonts w:ascii="仿宋_GB2312" w:eastAsia="仿宋_GB2312" w:cs="DengXian-Regular"/>
          <w:sz w:val="32"/>
          <w:szCs w:val="32"/>
        </w:rPr>
      </w:pPr>
    </w:p>
    <w:p w14:paraId="356B66F6">
      <w:pPr>
        <w:spacing w:after="0" w:line="540" w:lineRule="exact"/>
        <w:ind w:firstLine="640" w:firstLineChars="200"/>
        <w:jc w:val="both"/>
        <w:rPr>
          <w:rFonts w:ascii="仿宋_GB2312" w:eastAsia="仿宋_GB2312" w:cs="DengXian-Regular"/>
          <w:sz w:val="32"/>
          <w:szCs w:val="32"/>
        </w:rPr>
      </w:pPr>
    </w:p>
    <w:p w14:paraId="3945EF30">
      <w:pPr>
        <w:spacing w:after="0" w:line="540" w:lineRule="exact"/>
        <w:ind w:firstLine="640" w:firstLineChars="200"/>
        <w:jc w:val="both"/>
        <w:rPr>
          <w:rFonts w:ascii="仿宋_GB2312" w:eastAsia="仿宋_GB2312" w:cs="DengXian-Regular"/>
          <w:sz w:val="32"/>
          <w:szCs w:val="32"/>
        </w:rPr>
      </w:pPr>
    </w:p>
    <w:p w14:paraId="273572FC">
      <w:pPr>
        <w:spacing w:after="0" w:line="540" w:lineRule="exact"/>
        <w:ind w:firstLine="640" w:firstLineChars="200"/>
        <w:jc w:val="both"/>
        <w:rPr>
          <w:rFonts w:ascii="仿宋_GB2312" w:eastAsia="仿宋_GB2312" w:cs="DengXian-Regular"/>
          <w:sz w:val="32"/>
          <w:szCs w:val="32"/>
        </w:rPr>
      </w:pPr>
    </w:p>
    <w:p w14:paraId="1B0AF3AF">
      <w:pPr>
        <w:spacing w:after="0" w:line="540" w:lineRule="exact"/>
        <w:ind w:firstLine="640" w:firstLineChars="200"/>
        <w:jc w:val="both"/>
        <w:rPr>
          <w:rFonts w:ascii="仿宋_GB2312" w:eastAsia="仿宋_GB2312" w:cs="DengXian-Regular"/>
          <w:sz w:val="32"/>
          <w:szCs w:val="32"/>
        </w:rPr>
      </w:pPr>
    </w:p>
    <w:p w14:paraId="3C190C1A">
      <w:pPr>
        <w:spacing w:after="0" w:line="360" w:lineRule="auto"/>
        <w:ind w:firstLine="640" w:firstLineChars="200"/>
        <w:jc w:val="both"/>
        <w:rPr>
          <w:rFonts w:ascii="仿宋_GB2312" w:eastAsia="仿宋_GB2312" w:cs="DengXian-Regular"/>
          <w:sz w:val="32"/>
          <w:szCs w:val="32"/>
        </w:rPr>
      </w:pPr>
      <w:r>
        <w:rPr>
          <w:rFonts w:hint="eastAsia" w:ascii="仿宋_GB2312" w:eastAsia="仿宋_GB2312" w:cs="DengXian-Regular"/>
          <w:sz w:val="32"/>
          <w:szCs w:val="32"/>
          <w:lang w:eastAsia="zh-CN"/>
        </w:rPr>
        <w:t>政法委</w:t>
      </w:r>
      <w:r>
        <w:rPr>
          <w:rFonts w:hint="eastAsia" w:ascii="仿宋_GB2312" w:eastAsia="仿宋_GB2312" w:cs="DengXian-Regular"/>
          <w:sz w:val="32"/>
          <w:szCs w:val="32"/>
        </w:rPr>
        <w:t>一般公共预算财政拨款决算收入比年初预算减少</w:t>
      </w:r>
      <w:r>
        <w:rPr>
          <w:rFonts w:hint="default" w:ascii="仿宋_GB2312" w:eastAsia="仿宋_GB2312" w:cs="DengXian-Regular"/>
          <w:sz w:val="32"/>
          <w:szCs w:val="32"/>
          <w:lang w:val="en-US"/>
        </w:rPr>
        <w:t>285.12</w:t>
      </w:r>
      <w:r>
        <w:rPr>
          <w:rFonts w:hint="eastAsia" w:ascii="仿宋_GB2312" w:eastAsia="仿宋_GB2312" w:cs="DengXian-Regular"/>
          <w:sz w:val="32"/>
          <w:szCs w:val="32"/>
        </w:rPr>
        <w:t>万元，完成年初预算的</w:t>
      </w:r>
      <w:r>
        <w:rPr>
          <w:rFonts w:hint="default" w:ascii="仿宋_GB2312" w:eastAsia="仿宋_GB2312" w:cs="DengXian-Regular"/>
          <w:sz w:val="32"/>
          <w:szCs w:val="32"/>
          <w:lang w:val="en-US"/>
        </w:rPr>
        <w:t>78.82</w:t>
      </w:r>
      <w:r>
        <w:rPr>
          <w:rFonts w:hint="eastAsia" w:ascii="仿宋_GB2312" w:eastAsia="仿宋_GB2312" w:cs="DengXian-Regular"/>
          <w:sz w:val="32"/>
          <w:szCs w:val="32"/>
        </w:rPr>
        <w:t>%。决算收入小于预算收入的主要原因为202</w:t>
      </w:r>
      <w:r>
        <w:rPr>
          <w:rFonts w:ascii="仿宋_GB2312" w:eastAsia="仿宋_GB2312" w:cs="DengXian-Regular"/>
          <w:sz w:val="32"/>
          <w:szCs w:val="32"/>
        </w:rPr>
        <w:t>1</w:t>
      </w:r>
      <w:r>
        <w:rPr>
          <w:rFonts w:hint="eastAsia" w:ascii="仿宋_GB2312" w:eastAsia="仿宋_GB2312" w:cs="DengXian-Regular"/>
          <w:sz w:val="32"/>
          <w:szCs w:val="32"/>
        </w:rPr>
        <w:t>年度区</w:t>
      </w:r>
      <w:r>
        <w:rPr>
          <w:rFonts w:hint="eastAsia" w:ascii="仿宋_GB2312" w:eastAsia="仿宋_GB2312" w:cs="DengXian-Regular"/>
          <w:sz w:val="32"/>
          <w:szCs w:val="32"/>
          <w:lang w:eastAsia="zh-CN"/>
        </w:rPr>
        <w:t>政法委</w:t>
      </w:r>
      <w:r>
        <w:rPr>
          <w:rFonts w:ascii="仿宋_GB2312" w:hAnsi="Times New Roman" w:eastAsia="仿宋_GB2312" w:cs="Wingdings"/>
          <w:color w:val="000000" w:themeColor="text1"/>
          <w:sz w:val="32"/>
          <w:szCs w:val="32"/>
          <w14:textFill>
            <w14:solidFill>
              <w14:schemeClr w14:val="tx1"/>
            </w14:solidFill>
          </w14:textFill>
        </w:rPr>
        <w:t>合理预算，削减财政预算收入</w:t>
      </w:r>
      <w:r>
        <w:rPr>
          <w:rFonts w:hint="eastAsia" w:ascii="仿宋_GB2312" w:eastAsia="仿宋_GB2312" w:cs="DengXian-Regular"/>
          <w:sz w:val="32"/>
          <w:szCs w:val="32"/>
        </w:rPr>
        <w:t>。预算收入与决算收入对比情况见图2。</w:t>
      </w:r>
    </w:p>
    <w:p w14:paraId="7D81056C">
      <w:pPr>
        <w:spacing w:after="0" w:line="360" w:lineRule="auto"/>
        <w:jc w:val="center"/>
        <w:rPr>
          <w:rFonts w:ascii="仿宋_GB2312" w:eastAsia="仿宋_GB2312" w:cs="Times New Roman" w:hAnsiTheme="minorEastAsia"/>
          <w:bCs/>
          <w:sz w:val="32"/>
          <w:szCs w:val="32"/>
          <w:highlight w:val="none"/>
          <w:u w:color="000000"/>
        </w:rPr>
      </w:pPr>
      <w:r>
        <w:rPr>
          <w:rFonts w:hint="eastAsia" w:asciiTheme="minorEastAsia" w:hAnsiTheme="minorEastAsia" w:eastAsiaTheme="minorEastAsia" w:cstheme="minorEastAsia"/>
          <w:b/>
          <w:sz w:val="32"/>
          <w:szCs w:val="32"/>
          <w:highlight w:val="none"/>
          <w:u w:color="000000"/>
        </w:rPr>
        <w:t>图2  202</w:t>
      </w:r>
      <w:r>
        <w:rPr>
          <w:rFonts w:asciiTheme="minorEastAsia" w:hAnsiTheme="minorEastAsia" w:eastAsiaTheme="minorEastAsia" w:cstheme="minorEastAsia"/>
          <w:b/>
          <w:sz w:val="32"/>
          <w:szCs w:val="32"/>
          <w:highlight w:val="none"/>
          <w:u w:color="000000"/>
        </w:rPr>
        <w:t>1</w:t>
      </w:r>
      <w:r>
        <w:rPr>
          <w:rFonts w:hint="eastAsia" w:asciiTheme="minorEastAsia" w:hAnsiTheme="minorEastAsia" w:eastAsiaTheme="minorEastAsia" w:cstheme="minorEastAsia"/>
          <w:b/>
          <w:sz w:val="32"/>
          <w:szCs w:val="32"/>
          <w:highlight w:val="none"/>
          <w:u w:color="000000"/>
        </w:rPr>
        <w:t>年度区</w:t>
      </w:r>
      <w:r>
        <w:rPr>
          <w:rFonts w:hint="eastAsia" w:asciiTheme="minorEastAsia" w:hAnsiTheme="minorEastAsia" w:eastAsiaTheme="minorEastAsia" w:cstheme="minorEastAsia"/>
          <w:b/>
          <w:sz w:val="32"/>
          <w:szCs w:val="32"/>
          <w:highlight w:val="none"/>
          <w:u w:color="000000"/>
          <w:lang w:eastAsia="zh-CN"/>
        </w:rPr>
        <w:t>政法委</w:t>
      </w:r>
      <w:r>
        <w:rPr>
          <w:rFonts w:hint="eastAsia" w:asciiTheme="minorEastAsia" w:hAnsiTheme="minorEastAsia" w:eastAsiaTheme="minorEastAsia" w:cstheme="minorEastAsia"/>
          <w:b/>
          <w:sz w:val="32"/>
          <w:szCs w:val="32"/>
          <w:highlight w:val="none"/>
          <w:u w:color="000000"/>
        </w:rPr>
        <w:t>预算收入与决算收入对比图</w:t>
      </w:r>
    </w:p>
    <w:p w14:paraId="2216C913">
      <w:pPr>
        <w:pStyle w:val="4"/>
        <w:spacing w:before="0" w:after="0"/>
        <w:ind w:firstLine="643" w:firstLineChars="200"/>
        <w:jc w:val="both"/>
        <w:rPr>
          <w:rFonts w:hint="eastAsia" w:ascii="仿宋_GB2312" w:hAnsiTheme="minorEastAsia"/>
          <w:sz w:val="32"/>
        </w:rPr>
      </w:pPr>
      <w:bookmarkStart w:id="12" w:name="_Toc18197"/>
      <w:r>
        <w:rPr>
          <w:rFonts w:hint="eastAsia" w:ascii="仿宋_GB2312" w:hAnsiTheme="minorEastAsia"/>
          <w:sz w:val="32"/>
        </w:rPr>
        <w:drawing>
          <wp:inline distT="0" distB="0" distL="114300" distR="114300">
            <wp:extent cx="5095875" cy="3819525"/>
            <wp:effectExtent l="0" t="0" r="9525" b="9525"/>
            <wp:docPr id="5" name="图片 5"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3"/>
                    <pic:cNvPicPr>
                      <a:picLocks noChangeAspect="1"/>
                    </pic:cNvPicPr>
                  </pic:nvPicPr>
                  <pic:blipFill>
                    <a:blip r:embed="rId8"/>
                    <a:stretch>
                      <a:fillRect/>
                    </a:stretch>
                  </pic:blipFill>
                  <pic:spPr>
                    <a:xfrm>
                      <a:off x="0" y="0"/>
                      <a:ext cx="5095875" cy="3819525"/>
                    </a:xfrm>
                    <a:prstGeom prst="rect">
                      <a:avLst/>
                    </a:prstGeom>
                  </pic:spPr>
                </pic:pic>
              </a:graphicData>
            </a:graphic>
          </wp:inline>
        </w:drawing>
      </w:r>
    </w:p>
    <w:p w14:paraId="0667AB6D">
      <w:pPr>
        <w:pStyle w:val="4"/>
        <w:spacing w:before="0" w:after="0"/>
        <w:ind w:firstLine="643" w:firstLineChars="200"/>
        <w:jc w:val="both"/>
        <w:rPr>
          <w:rFonts w:ascii="仿宋_GB2312" w:hAnsiTheme="minorEastAsia"/>
          <w:sz w:val="32"/>
        </w:rPr>
      </w:pPr>
      <w:r>
        <w:rPr>
          <w:rFonts w:hint="eastAsia" w:ascii="仿宋_GB2312" w:hAnsiTheme="minorEastAsia"/>
          <w:sz w:val="32"/>
        </w:rPr>
        <w:t>（四）预算支出及决算</w:t>
      </w:r>
      <w:bookmarkEnd w:id="10"/>
      <w:bookmarkEnd w:id="11"/>
      <w:r>
        <w:rPr>
          <w:rFonts w:hint="eastAsia" w:ascii="仿宋_GB2312" w:hAnsiTheme="minorEastAsia"/>
          <w:sz w:val="32"/>
        </w:rPr>
        <w:t>支出</w:t>
      </w:r>
      <w:bookmarkEnd w:id="12"/>
    </w:p>
    <w:p w14:paraId="58EA6313">
      <w:pPr>
        <w:spacing w:after="0" w:line="360" w:lineRule="auto"/>
        <w:ind w:firstLine="640" w:firstLineChars="200"/>
        <w:jc w:val="both"/>
        <w:rPr>
          <w:rFonts w:ascii="仿宋_GB2312" w:eastAsia="仿宋_GB2312" w:cs="Times New Roman" w:hAnsiTheme="minorEastAsia"/>
          <w:sz w:val="32"/>
          <w:szCs w:val="32"/>
          <w:u w:color="000000"/>
        </w:rPr>
      </w:pPr>
      <w:r>
        <w:rPr>
          <w:rFonts w:hint="eastAsia" w:ascii="仿宋_GB2312" w:eastAsia="仿宋_GB2312" w:cs="DengXian-Regular"/>
          <w:sz w:val="32"/>
          <w:szCs w:val="32"/>
        </w:rPr>
        <w:t>202</w:t>
      </w:r>
      <w:r>
        <w:rPr>
          <w:rFonts w:ascii="仿宋_GB2312" w:eastAsia="仿宋_GB2312" w:cs="DengXian-Regular"/>
          <w:sz w:val="32"/>
          <w:szCs w:val="32"/>
        </w:rPr>
        <w:t>1</w:t>
      </w:r>
      <w:r>
        <w:rPr>
          <w:rFonts w:hint="eastAsia" w:ascii="仿宋_GB2312" w:eastAsia="仿宋_GB2312" w:cs="DengXian-Regular"/>
          <w:sz w:val="32"/>
          <w:szCs w:val="32"/>
        </w:rPr>
        <w:t>年度区</w:t>
      </w:r>
      <w:r>
        <w:rPr>
          <w:rFonts w:hint="eastAsia" w:ascii="仿宋_GB2312" w:eastAsia="仿宋_GB2312" w:cs="DengXian-Regular"/>
          <w:sz w:val="32"/>
          <w:szCs w:val="32"/>
          <w:lang w:eastAsia="zh-CN"/>
        </w:rPr>
        <w:t>政法委</w:t>
      </w:r>
      <w:r>
        <w:rPr>
          <w:rFonts w:hint="eastAsia" w:ascii="仿宋_GB2312" w:eastAsia="仿宋_GB2312" w:cs="Times New Roman" w:hAnsiTheme="minorEastAsia"/>
          <w:sz w:val="32"/>
          <w:szCs w:val="32"/>
          <w:u w:color="000000"/>
        </w:rPr>
        <w:t>预算支出安排</w:t>
      </w:r>
      <w:r>
        <w:rPr>
          <w:rFonts w:hint="default" w:ascii="仿宋_GB2312" w:eastAsia="仿宋_GB2312" w:cs="Times New Roman" w:hAnsiTheme="minorEastAsia"/>
          <w:sz w:val="32"/>
          <w:szCs w:val="32"/>
          <w:u w:color="000000"/>
          <w:lang w:val="en-US"/>
        </w:rPr>
        <w:t>1303.83</w:t>
      </w:r>
      <w:r>
        <w:rPr>
          <w:rFonts w:hint="eastAsia" w:ascii="仿宋_GB2312" w:eastAsia="仿宋_GB2312" w:cs="Times New Roman" w:hAnsiTheme="minorEastAsia"/>
          <w:sz w:val="32"/>
          <w:szCs w:val="32"/>
          <w:u w:color="000000"/>
        </w:rPr>
        <w:t>万元，其中：基本支出</w:t>
      </w:r>
      <w:r>
        <w:rPr>
          <w:rFonts w:hint="default" w:ascii="仿宋_GB2312" w:eastAsia="仿宋_GB2312" w:cs="Times New Roman" w:hAnsiTheme="minorEastAsia"/>
          <w:sz w:val="32"/>
          <w:szCs w:val="32"/>
          <w:u w:color="000000"/>
          <w:lang w:val="en-US"/>
        </w:rPr>
        <w:t>288.62</w:t>
      </w:r>
      <w:r>
        <w:rPr>
          <w:rFonts w:hint="eastAsia" w:ascii="仿宋_GB2312" w:eastAsia="仿宋_GB2312" w:cs="Times New Roman" w:hAnsiTheme="minorEastAsia"/>
          <w:sz w:val="32"/>
          <w:szCs w:val="32"/>
          <w:u w:color="000000"/>
        </w:rPr>
        <w:t>万元，项目支出</w:t>
      </w:r>
      <w:r>
        <w:rPr>
          <w:rFonts w:hint="default" w:ascii="仿宋_GB2312" w:eastAsia="仿宋_GB2312" w:cs="Times New Roman" w:hAnsiTheme="minorEastAsia"/>
          <w:sz w:val="32"/>
          <w:szCs w:val="32"/>
          <w:u w:color="000000"/>
          <w:lang w:val="en-US"/>
        </w:rPr>
        <w:t>1057.40</w:t>
      </w:r>
      <w:r>
        <w:rPr>
          <w:rFonts w:hint="eastAsia" w:ascii="仿宋_GB2312" w:eastAsia="仿宋_GB2312" w:cs="Times New Roman" w:hAnsiTheme="minorEastAsia"/>
          <w:sz w:val="32"/>
          <w:szCs w:val="32"/>
          <w:u w:color="000000"/>
        </w:rPr>
        <w:t>万元。预算支出按功能分类包含：公共安全支出</w:t>
      </w:r>
      <w:r>
        <w:rPr>
          <w:rFonts w:hint="default" w:ascii="仿宋_GB2312" w:eastAsia="仿宋_GB2312" w:cs="Times New Roman" w:hAnsiTheme="minorEastAsia"/>
          <w:sz w:val="32"/>
          <w:szCs w:val="32"/>
          <w:u w:color="000000"/>
          <w:lang w:val="en-US"/>
        </w:rPr>
        <w:t>1303.83</w:t>
      </w:r>
      <w:r>
        <w:rPr>
          <w:rFonts w:hint="eastAsia" w:ascii="仿宋_GB2312" w:eastAsia="仿宋_GB2312" w:cs="Times New Roman" w:hAnsiTheme="minorEastAsia"/>
          <w:sz w:val="32"/>
          <w:szCs w:val="32"/>
          <w:u w:color="000000"/>
        </w:rPr>
        <w:t>万元，社会保障和就业支出</w:t>
      </w:r>
      <w:r>
        <w:rPr>
          <w:rFonts w:hint="default" w:ascii="仿宋_GB2312" w:eastAsia="仿宋_GB2312" w:cs="Times New Roman" w:hAnsiTheme="minorEastAsia"/>
          <w:sz w:val="32"/>
          <w:szCs w:val="32"/>
          <w:u w:color="000000"/>
          <w:lang w:val="en-US"/>
        </w:rPr>
        <w:t>16.93</w:t>
      </w:r>
      <w:r>
        <w:rPr>
          <w:rFonts w:hint="eastAsia" w:ascii="仿宋_GB2312" w:eastAsia="仿宋_GB2312" w:cs="Times New Roman" w:hAnsiTheme="minorEastAsia"/>
          <w:sz w:val="32"/>
          <w:szCs w:val="32"/>
          <w:u w:color="000000"/>
        </w:rPr>
        <w:t>万元，医疗卫生与计划教育支出</w:t>
      </w:r>
      <w:r>
        <w:rPr>
          <w:rFonts w:hint="default" w:ascii="仿宋_GB2312" w:eastAsia="仿宋_GB2312" w:cs="Times New Roman" w:hAnsiTheme="minorEastAsia"/>
          <w:sz w:val="32"/>
          <w:szCs w:val="32"/>
          <w:u w:color="000000"/>
          <w:lang w:val="en-US"/>
        </w:rPr>
        <w:t>12.95</w:t>
      </w:r>
      <w:r>
        <w:rPr>
          <w:rFonts w:hint="eastAsia" w:ascii="仿宋_GB2312" w:eastAsia="仿宋_GB2312" w:cs="Times New Roman" w:hAnsiTheme="minorEastAsia"/>
          <w:sz w:val="32"/>
          <w:szCs w:val="32"/>
          <w:u w:color="000000"/>
        </w:rPr>
        <w:t>万元，住房保障支出</w:t>
      </w:r>
      <w:r>
        <w:rPr>
          <w:rFonts w:hint="default" w:ascii="仿宋_GB2312" w:eastAsia="仿宋_GB2312" w:cs="Times New Roman" w:hAnsiTheme="minorEastAsia"/>
          <w:sz w:val="32"/>
          <w:szCs w:val="32"/>
          <w:u w:color="000000"/>
          <w:lang w:val="en-US"/>
        </w:rPr>
        <w:t>12.31</w:t>
      </w:r>
      <w:r>
        <w:rPr>
          <w:rFonts w:hint="eastAsia" w:ascii="仿宋_GB2312" w:eastAsia="仿宋_GB2312" w:cs="Times New Roman" w:hAnsiTheme="minorEastAsia"/>
          <w:sz w:val="32"/>
          <w:szCs w:val="32"/>
          <w:u w:color="000000"/>
        </w:rPr>
        <w:t>万元。具体预算支出详见附件2。</w:t>
      </w:r>
    </w:p>
    <w:p w14:paraId="2D046D6E">
      <w:pPr>
        <w:spacing w:after="0" w:line="360" w:lineRule="auto"/>
        <w:ind w:firstLine="640" w:firstLineChars="200"/>
        <w:jc w:val="both"/>
        <w:rPr>
          <w:rFonts w:ascii="仿宋_GB2312" w:eastAsia="仿宋_GB2312" w:cs="Times New Roman" w:hAnsiTheme="minorEastAsia"/>
          <w:sz w:val="32"/>
          <w:szCs w:val="32"/>
          <w:u w:color="000000"/>
        </w:rPr>
      </w:pPr>
      <w:r>
        <w:rPr>
          <w:rFonts w:hint="eastAsia" w:ascii="仿宋_GB2312" w:eastAsia="仿宋_GB2312" w:cs="DengXian-Regular"/>
          <w:sz w:val="32"/>
          <w:szCs w:val="32"/>
        </w:rPr>
        <w:t>202</w:t>
      </w:r>
      <w:r>
        <w:rPr>
          <w:rFonts w:ascii="仿宋_GB2312" w:eastAsia="仿宋_GB2312" w:cs="DengXian-Regular"/>
          <w:sz w:val="32"/>
          <w:szCs w:val="32"/>
        </w:rPr>
        <w:t>1</w:t>
      </w:r>
      <w:r>
        <w:rPr>
          <w:rFonts w:hint="eastAsia" w:ascii="仿宋_GB2312" w:eastAsia="仿宋_GB2312" w:cs="DengXian-Regular"/>
          <w:sz w:val="32"/>
          <w:szCs w:val="32"/>
        </w:rPr>
        <w:t>年度区</w:t>
      </w:r>
      <w:r>
        <w:rPr>
          <w:rFonts w:hint="eastAsia" w:ascii="仿宋_GB2312" w:eastAsia="仿宋_GB2312" w:cs="DengXian-Regular"/>
          <w:sz w:val="32"/>
          <w:szCs w:val="32"/>
          <w:lang w:eastAsia="zh-CN"/>
        </w:rPr>
        <w:t>政法委</w:t>
      </w:r>
      <w:r>
        <w:rPr>
          <w:rFonts w:hint="eastAsia" w:ascii="仿宋_GB2312" w:eastAsia="仿宋_GB2312" w:cs="DengXian-Regular"/>
          <w:sz w:val="32"/>
          <w:szCs w:val="32"/>
        </w:rPr>
        <w:t>单位</w:t>
      </w:r>
      <w:r>
        <w:rPr>
          <w:rFonts w:hint="eastAsia" w:ascii="仿宋_GB2312" w:eastAsia="仿宋_GB2312" w:cs="Times New Roman" w:hAnsiTheme="minorEastAsia"/>
          <w:sz w:val="32"/>
          <w:szCs w:val="32"/>
          <w:u w:color="000000"/>
        </w:rPr>
        <w:t>决算支出为</w:t>
      </w:r>
      <w:r>
        <w:rPr>
          <w:rFonts w:hint="default" w:ascii="仿宋_GB2312" w:eastAsia="仿宋_GB2312" w:cs="Times New Roman" w:hAnsiTheme="minorEastAsia"/>
          <w:sz w:val="32"/>
          <w:szCs w:val="32"/>
          <w:u w:color="000000"/>
          <w:lang w:val="en-US"/>
        </w:rPr>
        <w:t>1085.87</w:t>
      </w:r>
      <w:r>
        <w:rPr>
          <w:rFonts w:hint="eastAsia" w:ascii="仿宋_GB2312" w:eastAsia="仿宋_GB2312" w:cs="Times New Roman" w:hAnsiTheme="minorEastAsia"/>
          <w:sz w:val="32"/>
          <w:szCs w:val="32"/>
          <w:u w:color="000000"/>
        </w:rPr>
        <w:t>万元，其中：基本支出</w:t>
      </w:r>
      <w:r>
        <w:rPr>
          <w:rFonts w:hint="default" w:ascii="仿宋_GB2312" w:eastAsia="仿宋_GB2312" w:cs="Times New Roman" w:hAnsiTheme="minorEastAsia"/>
          <w:sz w:val="32"/>
          <w:szCs w:val="32"/>
          <w:u w:color="000000"/>
          <w:lang w:val="en-US"/>
        </w:rPr>
        <w:t>267.73</w:t>
      </w:r>
      <w:r>
        <w:rPr>
          <w:rFonts w:hint="eastAsia" w:ascii="仿宋_GB2312" w:eastAsia="仿宋_GB2312" w:cs="Times New Roman" w:hAnsiTheme="minorEastAsia"/>
          <w:sz w:val="32"/>
          <w:szCs w:val="32"/>
          <w:u w:color="000000"/>
        </w:rPr>
        <w:t>万元，项目支出</w:t>
      </w:r>
      <w:r>
        <w:rPr>
          <w:rFonts w:hint="default" w:ascii="仿宋_GB2312" w:eastAsia="仿宋_GB2312" w:cs="Times New Roman" w:hAnsiTheme="minorEastAsia"/>
          <w:sz w:val="32"/>
          <w:szCs w:val="32"/>
          <w:u w:color="000000"/>
          <w:lang w:val="en-US"/>
        </w:rPr>
        <w:t>818.14</w:t>
      </w:r>
      <w:r>
        <w:rPr>
          <w:rFonts w:hint="eastAsia" w:ascii="仿宋_GB2312" w:eastAsia="仿宋_GB2312" w:cs="Times New Roman" w:hAnsiTheme="minorEastAsia"/>
          <w:sz w:val="32"/>
          <w:szCs w:val="32"/>
          <w:u w:color="000000"/>
        </w:rPr>
        <w:t>万元。决算支出按功能分类包含：公共安全支出</w:t>
      </w:r>
      <w:r>
        <w:rPr>
          <w:rFonts w:hint="default" w:ascii="仿宋_GB2312" w:eastAsia="仿宋_GB2312" w:cs="Times New Roman" w:hAnsiTheme="minorEastAsia"/>
          <w:sz w:val="32"/>
          <w:szCs w:val="32"/>
          <w:u w:color="000000"/>
          <w:lang w:val="en-US"/>
        </w:rPr>
        <w:t>1014.4</w:t>
      </w:r>
      <w:r>
        <w:rPr>
          <w:rFonts w:hint="eastAsia" w:ascii="仿宋_GB2312" w:eastAsia="仿宋_GB2312" w:cs="Times New Roman" w:hAnsiTheme="minorEastAsia"/>
          <w:sz w:val="32"/>
          <w:szCs w:val="32"/>
          <w:u w:color="000000"/>
        </w:rPr>
        <w:t>万元，占比</w:t>
      </w:r>
      <w:r>
        <w:rPr>
          <w:rFonts w:hint="default" w:ascii="仿宋_GB2312" w:eastAsia="仿宋_GB2312" w:cs="Times New Roman" w:hAnsiTheme="minorEastAsia"/>
          <w:sz w:val="32"/>
          <w:szCs w:val="32"/>
          <w:u w:color="000000"/>
          <w:lang w:val="en-US"/>
        </w:rPr>
        <w:t>93.42</w:t>
      </w:r>
      <w:r>
        <w:rPr>
          <w:rFonts w:hint="eastAsia" w:ascii="仿宋_GB2312" w:eastAsia="仿宋_GB2312" w:cs="Times New Roman" w:hAnsiTheme="minorEastAsia"/>
          <w:sz w:val="32"/>
          <w:szCs w:val="32"/>
          <w:u w:color="000000"/>
        </w:rPr>
        <w:t>%；社会保障和就业支出</w:t>
      </w:r>
      <w:r>
        <w:rPr>
          <w:rFonts w:hint="default" w:ascii="仿宋_GB2312" w:eastAsia="仿宋_GB2312" w:cs="Times New Roman" w:hAnsiTheme="minorEastAsia"/>
          <w:sz w:val="32"/>
          <w:szCs w:val="32"/>
          <w:u w:color="000000"/>
          <w:lang w:val="en-US"/>
        </w:rPr>
        <w:t>50.11</w:t>
      </w:r>
      <w:r>
        <w:rPr>
          <w:rFonts w:hint="eastAsia" w:ascii="仿宋_GB2312" w:eastAsia="仿宋_GB2312" w:cs="Times New Roman" w:hAnsiTheme="minorEastAsia"/>
          <w:sz w:val="32"/>
          <w:szCs w:val="32"/>
          <w:u w:color="000000"/>
        </w:rPr>
        <w:t>万元，占比</w:t>
      </w:r>
      <w:r>
        <w:rPr>
          <w:rFonts w:hint="default" w:ascii="仿宋_GB2312" w:eastAsia="仿宋_GB2312" w:cs="Times New Roman" w:hAnsiTheme="minorEastAsia"/>
          <w:sz w:val="32"/>
          <w:szCs w:val="32"/>
          <w:u w:color="000000"/>
          <w:lang w:val="en-US"/>
        </w:rPr>
        <w:t>4.61</w:t>
      </w:r>
      <w:r>
        <w:rPr>
          <w:rFonts w:hint="eastAsia" w:ascii="仿宋_GB2312" w:eastAsia="仿宋_GB2312" w:cs="Times New Roman" w:hAnsiTheme="minorEastAsia"/>
          <w:sz w:val="32"/>
          <w:szCs w:val="32"/>
          <w:u w:color="000000"/>
        </w:rPr>
        <w:t>%；医疗卫生与计划教育支出</w:t>
      </w:r>
      <w:r>
        <w:rPr>
          <w:rFonts w:hint="default" w:ascii="仿宋_GB2312" w:eastAsia="仿宋_GB2312" w:cs="Times New Roman" w:hAnsiTheme="minorEastAsia"/>
          <w:sz w:val="32"/>
          <w:szCs w:val="32"/>
          <w:u w:color="000000"/>
          <w:lang w:val="en-US"/>
        </w:rPr>
        <w:t>7.48</w:t>
      </w:r>
      <w:r>
        <w:rPr>
          <w:rFonts w:hint="eastAsia" w:ascii="仿宋_GB2312" w:eastAsia="仿宋_GB2312" w:cs="Times New Roman" w:hAnsiTheme="minorEastAsia"/>
          <w:sz w:val="32"/>
          <w:szCs w:val="32"/>
          <w:u w:color="000000"/>
        </w:rPr>
        <w:t>万元，占比</w:t>
      </w:r>
      <w:r>
        <w:rPr>
          <w:rFonts w:hint="default" w:ascii="仿宋_GB2312" w:eastAsia="仿宋_GB2312" w:cs="Times New Roman" w:hAnsiTheme="minorEastAsia"/>
          <w:sz w:val="32"/>
          <w:szCs w:val="32"/>
          <w:u w:color="000000"/>
          <w:lang w:val="en-US"/>
        </w:rPr>
        <w:t>0.69</w:t>
      </w:r>
      <w:r>
        <w:rPr>
          <w:rFonts w:hint="eastAsia" w:ascii="仿宋_GB2312" w:eastAsia="仿宋_GB2312" w:cs="Times New Roman" w:hAnsiTheme="minorEastAsia"/>
          <w:sz w:val="32"/>
          <w:szCs w:val="32"/>
          <w:u w:color="000000"/>
        </w:rPr>
        <w:t>%；住房保障支出</w:t>
      </w:r>
      <w:r>
        <w:rPr>
          <w:rFonts w:hint="default" w:ascii="仿宋_GB2312" w:eastAsia="仿宋_GB2312" w:cs="Times New Roman" w:hAnsiTheme="minorEastAsia"/>
          <w:sz w:val="32"/>
          <w:szCs w:val="32"/>
          <w:u w:color="000000"/>
          <w:lang w:val="en-US"/>
        </w:rPr>
        <w:t>13.87</w:t>
      </w:r>
      <w:r>
        <w:rPr>
          <w:rFonts w:hint="eastAsia" w:ascii="仿宋_GB2312" w:eastAsia="仿宋_GB2312" w:cs="Times New Roman" w:hAnsiTheme="minorEastAsia"/>
          <w:sz w:val="32"/>
          <w:szCs w:val="32"/>
          <w:u w:color="000000"/>
        </w:rPr>
        <w:t>万元，占比</w:t>
      </w:r>
      <w:r>
        <w:rPr>
          <w:rFonts w:hint="default" w:ascii="仿宋_GB2312" w:eastAsia="仿宋_GB2312" w:cs="Times New Roman" w:hAnsiTheme="minorEastAsia"/>
          <w:sz w:val="32"/>
          <w:szCs w:val="32"/>
          <w:u w:color="000000"/>
          <w:lang w:val="en-US"/>
        </w:rPr>
        <w:t>1.28</w:t>
      </w:r>
      <w:r>
        <w:rPr>
          <w:rFonts w:hint="eastAsia" w:ascii="仿宋_GB2312" w:eastAsia="仿宋_GB2312" w:cs="Times New Roman" w:hAnsiTheme="minorEastAsia"/>
          <w:sz w:val="32"/>
          <w:szCs w:val="32"/>
          <w:u w:color="000000"/>
        </w:rPr>
        <w:t>%。具体决算支出详见附件2。</w:t>
      </w:r>
    </w:p>
    <w:p w14:paraId="17DF33CD">
      <w:pPr>
        <w:spacing w:after="0" w:line="360" w:lineRule="auto"/>
        <w:ind w:firstLine="640" w:firstLineChars="200"/>
        <w:jc w:val="both"/>
        <w:rPr>
          <w:rFonts w:ascii="仿宋_GB2312" w:eastAsia="仿宋_GB2312" w:cs="Times New Roman" w:hAnsiTheme="minorEastAsia"/>
          <w:sz w:val="32"/>
          <w:szCs w:val="32"/>
          <w:u w:color="000000"/>
        </w:rPr>
      </w:pPr>
      <w:r>
        <w:rPr>
          <w:rFonts w:hint="eastAsia" w:ascii="仿宋_GB2312" w:eastAsia="仿宋_GB2312" w:cs="Times New Roman" w:hAnsiTheme="minorEastAsia"/>
          <w:sz w:val="32"/>
          <w:szCs w:val="32"/>
          <w:u w:color="000000"/>
        </w:rPr>
        <w:t>决算支出结构如图3。</w:t>
      </w:r>
    </w:p>
    <w:p w14:paraId="1FCABB85">
      <w:pPr>
        <w:spacing w:after="0" w:line="360" w:lineRule="auto"/>
        <w:jc w:val="center"/>
        <w:rPr>
          <w:rFonts w:ascii="仿宋_GB2312" w:eastAsia="仿宋_GB2312" w:cs="Times New Roman" w:hAnsiTheme="minorEastAsia"/>
          <w:sz w:val="32"/>
          <w:szCs w:val="32"/>
          <w:u w:color="000000"/>
        </w:rPr>
      </w:pPr>
      <w:r>
        <w:rPr>
          <w:rFonts w:hint="eastAsia" w:asciiTheme="minorEastAsia" w:hAnsiTheme="minorEastAsia" w:eastAsiaTheme="minorEastAsia" w:cstheme="minorEastAsia"/>
          <w:b/>
          <w:bCs/>
          <w:sz w:val="32"/>
          <w:szCs w:val="32"/>
          <w:u w:color="000000"/>
        </w:rPr>
        <w:t>图3  2021年度区</w:t>
      </w:r>
      <w:r>
        <w:rPr>
          <w:rFonts w:hint="eastAsia" w:asciiTheme="minorEastAsia" w:hAnsiTheme="minorEastAsia" w:eastAsiaTheme="minorEastAsia" w:cstheme="minorEastAsia"/>
          <w:b/>
          <w:bCs/>
          <w:sz w:val="32"/>
          <w:szCs w:val="32"/>
          <w:u w:color="000000"/>
          <w:lang w:eastAsia="zh-CN"/>
        </w:rPr>
        <w:t>政法委</w:t>
      </w:r>
      <w:r>
        <w:rPr>
          <w:rFonts w:hint="eastAsia" w:asciiTheme="minorEastAsia" w:hAnsiTheme="minorEastAsia" w:eastAsiaTheme="minorEastAsia" w:cstheme="minorEastAsia"/>
          <w:b/>
          <w:bCs/>
          <w:sz w:val="32"/>
          <w:szCs w:val="32"/>
          <w:u w:color="000000"/>
        </w:rPr>
        <w:t>决算支出结构图</w:t>
      </w:r>
    </w:p>
    <w:p w14:paraId="5B5C55FD">
      <w:pPr>
        <w:spacing w:after="0" w:line="360" w:lineRule="auto"/>
        <w:ind w:firstLine="440" w:firstLineChars="200"/>
        <w:jc w:val="both"/>
        <w:rPr>
          <w:rFonts w:hint="eastAsia" w:ascii="仿宋_GB2312" w:eastAsia="仿宋_GB2312" w:cs="DengXian-Regular"/>
          <w:sz w:val="32"/>
          <w:szCs w:val="32"/>
        </w:rPr>
      </w:pPr>
      <w:r>
        <w:drawing>
          <wp:anchor distT="0" distB="0" distL="90170" distR="90170" simplePos="0" relativeHeight="251660288" behindDoc="0" locked="0" layoutInCell="1" allowOverlap="1">
            <wp:simplePos x="0" y="0"/>
            <wp:positionH relativeFrom="column">
              <wp:posOffset>143510</wp:posOffset>
            </wp:positionH>
            <wp:positionV relativeFrom="paragraph">
              <wp:posOffset>109220</wp:posOffset>
            </wp:positionV>
            <wp:extent cx="4657725" cy="2571750"/>
            <wp:effectExtent l="4445" t="5080" r="5080" b="13970"/>
            <wp:wrapSquare wrapText="bothSides"/>
            <wp:docPr id="9"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14:paraId="77403A1E">
      <w:pPr>
        <w:spacing w:after="0" w:line="360" w:lineRule="auto"/>
        <w:ind w:firstLine="640" w:firstLineChars="200"/>
        <w:jc w:val="both"/>
        <w:rPr>
          <w:rFonts w:hint="eastAsia" w:ascii="仿宋_GB2312" w:eastAsia="仿宋_GB2312" w:cs="DengXian-Regular"/>
          <w:sz w:val="32"/>
          <w:szCs w:val="32"/>
        </w:rPr>
      </w:pPr>
    </w:p>
    <w:p w14:paraId="6BA2B427">
      <w:pPr>
        <w:spacing w:after="0" w:line="360" w:lineRule="auto"/>
        <w:ind w:firstLine="640" w:firstLineChars="200"/>
        <w:jc w:val="both"/>
        <w:rPr>
          <w:rFonts w:hint="eastAsia" w:ascii="仿宋_GB2312" w:eastAsia="仿宋_GB2312" w:cs="DengXian-Regular"/>
          <w:sz w:val="32"/>
          <w:szCs w:val="32"/>
        </w:rPr>
      </w:pPr>
    </w:p>
    <w:p w14:paraId="16DA5EF7">
      <w:pPr>
        <w:spacing w:after="0" w:line="360" w:lineRule="auto"/>
        <w:ind w:firstLine="640" w:firstLineChars="200"/>
        <w:jc w:val="both"/>
        <w:rPr>
          <w:rFonts w:hint="eastAsia" w:ascii="仿宋_GB2312" w:eastAsia="仿宋_GB2312" w:cs="DengXian-Regular"/>
          <w:sz w:val="32"/>
          <w:szCs w:val="32"/>
        </w:rPr>
      </w:pPr>
    </w:p>
    <w:p w14:paraId="73512A03">
      <w:pPr>
        <w:spacing w:after="0" w:line="360" w:lineRule="auto"/>
        <w:ind w:firstLine="640" w:firstLineChars="200"/>
        <w:jc w:val="both"/>
        <w:rPr>
          <w:rFonts w:hint="eastAsia" w:ascii="仿宋_GB2312" w:eastAsia="仿宋_GB2312" w:cs="DengXian-Regular"/>
          <w:sz w:val="32"/>
          <w:szCs w:val="32"/>
        </w:rPr>
      </w:pPr>
    </w:p>
    <w:p w14:paraId="6776A636">
      <w:pPr>
        <w:spacing w:after="0" w:line="360" w:lineRule="auto"/>
        <w:ind w:firstLine="640" w:firstLineChars="200"/>
        <w:jc w:val="both"/>
        <w:rPr>
          <w:rFonts w:hint="eastAsia" w:ascii="仿宋_GB2312" w:eastAsia="仿宋_GB2312" w:cs="DengXian-Regular"/>
          <w:sz w:val="32"/>
          <w:szCs w:val="32"/>
        </w:rPr>
      </w:pPr>
    </w:p>
    <w:p w14:paraId="3BBEAEDB">
      <w:pPr>
        <w:spacing w:after="0" w:line="360" w:lineRule="auto"/>
        <w:ind w:firstLine="640" w:firstLineChars="200"/>
        <w:jc w:val="both"/>
        <w:rPr>
          <w:rFonts w:hint="eastAsia" w:ascii="仿宋_GB2312" w:eastAsia="仿宋_GB2312" w:cs="DengXian-Regular"/>
          <w:sz w:val="32"/>
          <w:szCs w:val="32"/>
        </w:rPr>
      </w:pPr>
    </w:p>
    <w:p w14:paraId="032A83A5">
      <w:pPr>
        <w:spacing w:after="0" w:line="360" w:lineRule="auto"/>
        <w:jc w:val="both"/>
        <w:rPr>
          <w:rFonts w:ascii="仿宋" w:hAnsi="仿宋" w:eastAsia="仿宋"/>
          <w:snapToGrid w:val="0"/>
          <w:sz w:val="32"/>
          <w:szCs w:val="32"/>
        </w:rPr>
      </w:pPr>
      <w:r>
        <w:rPr>
          <w:rFonts w:hint="eastAsia" w:ascii="仿宋_GB2312" w:eastAsia="仿宋_GB2312" w:cs="DengXian-Regular"/>
          <w:sz w:val="32"/>
          <w:szCs w:val="32"/>
        </w:rPr>
        <w:t>财政拨款决算支出比年初预算</w:t>
      </w:r>
      <w:r>
        <w:rPr>
          <w:rFonts w:hint="eastAsia" w:ascii="仿宋_GB2312" w:eastAsia="仿宋_GB2312" w:cs="DengXian-Regular"/>
          <w:sz w:val="32"/>
          <w:szCs w:val="32"/>
          <w:lang w:eastAsia="zh-CN"/>
        </w:rPr>
        <w:t>减少</w:t>
      </w:r>
      <w:r>
        <w:rPr>
          <w:rFonts w:hint="default" w:ascii="仿宋_GB2312" w:eastAsia="仿宋_GB2312" w:cs="DengXian-Regular"/>
          <w:sz w:val="32"/>
          <w:szCs w:val="32"/>
          <w:lang w:val="en-US" w:eastAsia="zh-CN"/>
        </w:rPr>
        <w:t>289.43</w:t>
      </w:r>
      <w:r>
        <w:rPr>
          <w:rFonts w:hint="eastAsia" w:ascii="仿宋_GB2312" w:eastAsia="仿宋_GB2312" w:cs="DengXian-Regular"/>
          <w:sz w:val="32"/>
          <w:szCs w:val="32"/>
        </w:rPr>
        <w:t>万元。决算支出完成年初预算的</w:t>
      </w:r>
      <w:r>
        <w:rPr>
          <w:rFonts w:hint="default" w:ascii="仿宋_GB2312" w:eastAsia="仿宋_GB2312" w:cs="DengXian-Regular"/>
          <w:sz w:val="32"/>
          <w:szCs w:val="32"/>
          <w:lang w:val="en-US"/>
        </w:rPr>
        <w:t>77.80</w:t>
      </w:r>
      <w:r>
        <w:rPr>
          <w:rFonts w:hint="eastAsia" w:ascii="仿宋_GB2312" w:eastAsia="仿宋_GB2312" w:cs="DengXian-Regular"/>
          <w:sz w:val="32"/>
          <w:szCs w:val="32"/>
        </w:rPr>
        <w:t>%。</w:t>
      </w:r>
      <w:r>
        <w:rPr>
          <w:rFonts w:hint="eastAsia" w:ascii="仿宋_GB2312" w:eastAsia="仿宋_GB2312" w:cs="Times New Roman" w:hAnsiTheme="minorEastAsia"/>
          <w:sz w:val="32"/>
          <w:szCs w:val="32"/>
          <w:u w:color="000000"/>
        </w:rPr>
        <w:t>决算支出小于预算支出的</w:t>
      </w:r>
      <w:r>
        <w:rPr>
          <w:rFonts w:hint="eastAsia" w:ascii="仿宋_GB2312" w:eastAsia="仿宋_GB2312" w:cs="DengXian-Regular"/>
          <w:sz w:val="32"/>
          <w:szCs w:val="32"/>
        </w:rPr>
        <w:t>主要原因为202</w:t>
      </w:r>
      <w:r>
        <w:rPr>
          <w:rFonts w:ascii="仿宋_GB2312" w:eastAsia="仿宋_GB2312" w:cs="DengXian-Regular"/>
          <w:sz w:val="32"/>
          <w:szCs w:val="32"/>
        </w:rPr>
        <w:t>1</w:t>
      </w:r>
      <w:r>
        <w:rPr>
          <w:rFonts w:hint="eastAsia" w:ascii="仿宋_GB2312" w:eastAsia="仿宋_GB2312" w:cs="DengXian-Regular"/>
          <w:sz w:val="32"/>
          <w:szCs w:val="32"/>
        </w:rPr>
        <w:t>年度区</w:t>
      </w:r>
      <w:r>
        <w:rPr>
          <w:rFonts w:hint="eastAsia" w:ascii="仿宋_GB2312" w:eastAsia="仿宋_GB2312" w:cs="DengXian-Regular"/>
          <w:sz w:val="32"/>
          <w:szCs w:val="32"/>
          <w:lang w:eastAsia="zh-CN"/>
        </w:rPr>
        <w:t>政法委</w:t>
      </w:r>
      <w:r>
        <w:rPr>
          <w:rFonts w:ascii="仿宋_GB2312" w:hAnsi="Times New Roman" w:eastAsia="仿宋_GB2312" w:cs="Wingdings"/>
          <w:color w:val="000000" w:themeColor="text1"/>
          <w:sz w:val="32"/>
          <w:szCs w:val="32"/>
          <w14:textFill>
            <w14:solidFill>
              <w14:schemeClr w14:val="tx1"/>
            </w14:solidFill>
          </w14:textFill>
        </w:rPr>
        <w:t>合理预算，削减财政预算</w:t>
      </w:r>
      <w:r>
        <w:rPr>
          <w:rFonts w:hint="eastAsia" w:ascii="仿宋_GB2312" w:hAnsi="Times New Roman" w:eastAsia="仿宋_GB2312" w:cs="Wingdings"/>
          <w:color w:val="000000" w:themeColor="text1"/>
          <w:sz w:val="32"/>
          <w:szCs w:val="32"/>
          <w:lang w:eastAsia="zh-CN"/>
          <w14:textFill>
            <w14:solidFill>
              <w14:schemeClr w14:val="tx1"/>
            </w14:solidFill>
          </w14:textFill>
        </w:rPr>
        <w:t>支出</w:t>
      </w:r>
      <w:r>
        <w:rPr>
          <w:rFonts w:hint="eastAsia" w:ascii="仿宋" w:hAnsi="仿宋" w:eastAsia="仿宋"/>
          <w:snapToGrid w:val="0"/>
          <w:sz w:val="32"/>
          <w:szCs w:val="32"/>
        </w:rPr>
        <w:t>。预算支出与决算支出对比情况如图4。</w:t>
      </w:r>
    </w:p>
    <w:p w14:paraId="1ECA0BC8">
      <w:pPr>
        <w:spacing w:after="0" w:line="360" w:lineRule="auto"/>
        <w:jc w:val="center"/>
        <w:rPr>
          <w:rFonts w:ascii="仿宋_GB2312" w:eastAsia="仿宋_GB2312" w:cs="DengXian-Regular"/>
          <w:sz w:val="32"/>
          <w:szCs w:val="32"/>
        </w:rPr>
      </w:pPr>
      <w:r>
        <w:rPr>
          <w:rFonts w:hint="eastAsia" w:asciiTheme="minorEastAsia" w:hAnsiTheme="minorEastAsia" w:eastAsiaTheme="minorEastAsia" w:cstheme="minorEastAsia"/>
          <w:b/>
          <w:bCs/>
          <w:sz w:val="32"/>
          <w:szCs w:val="32"/>
        </w:rPr>
        <w:t>图4  2021年度区</w:t>
      </w:r>
      <w:r>
        <w:rPr>
          <w:rFonts w:hint="eastAsia" w:asciiTheme="minorEastAsia" w:hAnsiTheme="minorEastAsia" w:eastAsiaTheme="minorEastAsia" w:cstheme="minorEastAsia"/>
          <w:b/>
          <w:bCs/>
          <w:sz w:val="32"/>
          <w:szCs w:val="32"/>
          <w:lang w:eastAsia="zh-CN"/>
        </w:rPr>
        <w:t>政法委</w:t>
      </w:r>
      <w:r>
        <w:rPr>
          <w:rFonts w:hint="eastAsia" w:asciiTheme="minorEastAsia" w:hAnsiTheme="minorEastAsia" w:eastAsiaTheme="minorEastAsia" w:cstheme="minorEastAsia"/>
          <w:b/>
          <w:bCs/>
          <w:sz w:val="32"/>
          <w:szCs w:val="32"/>
        </w:rPr>
        <w:t>预算支出与决算支出对比图</w:t>
      </w:r>
      <w:r>
        <w:rPr>
          <w:rFonts w:ascii="仿宋_GB2312" w:eastAsia="仿宋_GB2312" w:cs="DengXian-Regular"/>
          <w:sz w:val="32"/>
          <w:szCs w:val="32"/>
        </w:rPr>
        <w:drawing>
          <wp:inline distT="0" distB="0" distL="114300" distR="114300">
            <wp:extent cx="5095875" cy="3819525"/>
            <wp:effectExtent l="0" t="0" r="9525" b="9525"/>
            <wp:docPr id="4" name="图片 4"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2"/>
                    <pic:cNvPicPr>
                      <a:picLocks noChangeAspect="1"/>
                    </pic:cNvPicPr>
                  </pic:nvPicPr>
                  <pic:blipFill>
                    <a:blip r:embed="rId10"/>
                    <a:stretch>
                      <a:fillRect/>
                    </a:stretch>
                  </pic:blipFill>
                  <pic:spPr>
                    <a:xfrm>
                      <a:off x="0" y="0"/>
                      <a:ext cx="5095875" cy="3819525"/>
                    </a:xfrm>
                    <a:prstGeom prst="rect">
                      <a:avLst/>
                    </a:prstGeom>
                  </pic:spPr>
                </pic:pic>
              </a:graphicData>
            </a:graphic>
          </wp:inline>
        </w:drawing>
      </w:r>
    </w:p>
    <w:p w14:paraId="1FE0C703">
      <w:pPr>
        <w:spacing w:after="0" w:line="360" w:lineRule="auto"/>
        <w:ind w:firstLine="640" w:firstLineChars="200"/>
        <w:jc w:val="both"/>
        <w:rPr>
          <w:rFonts w:hint="eastAsia" w:ascii="仿宋_GB2312" w:eastAsia="仿宋_GB2312" w:cs="DengXian-Regular"/>
          <w:sz w:val="32"/>
          <w:szCs w:val="32"/>
          <w:lang w:eastAsia="zh-CN"/>
        </w:rPr>
      </w:pPr>
      <w:r>
        <w:rPr>
          <w:rFonts w:hint="eastAsia" w:ascii="仿宋_GB2312" w:eastAsia="仿宋_GB2312" w:cs="DengXian-Regular"/>
          <w:sz w:val="32"/>
          <w:szCs w:val="32"/>
        </w:rPr>
        <w:t>区</w:t>
      </w:r>
      <w:r>
        <w:rPr>
          <w:rFonts w:hint="eastAsia" w:ascii="仿宋_GB2312" w:eastAsia="仿宋_GB2312" w:cs="DengXian-Regular"/>
          <w:sz w:val="32"/>
          <w:szCs w:val="32"/>
          <w:lang w:eastAsia="zh-CN"/>
        </w:rPr>
        <w:t>政法委</w:t>
      </w:r>
      <w:r>
        <w:rPr>
          <w:rFonts w:hint="eastAsia" w:ascii="仿宋_GB2312" w:eastAsia="仿宋_GB2312" w:cs="DengXian-Regular"/>
          <w:sz w:val="32"/>
          <w:szCs w:val="32"/>
        </w:rPr>
        <w:t>202</w:t>
      </w:r>
      <w:r>
        <w:rPr>
          <w:rFonts w:ascii="仿宋_GB2312" w:eastAsia="仿宋_GB2312" w:cs="DengXian-Regular"/>
          <w:sz w:val="32"/>
          <w:szCs w:val="32"/>
        </w:rPr>
        <w:t>1</w:t>
      </w:r>
      <w:r>
        <w:rPr>
          <w:rFonts w:hint="eastAsia" w:ascii="仿宋_GB2312" w:eastAsia="仿宋_GB2312" w:cs="DengXian-Regular"/>
          <w:sz w:val="32"/>
          <w:szCs w:val="32"/>
        </w:rPr>
        <w:t>年实际项目支出</w:t>
      </w:r>
      <w:r>
        <w:rPr>
          <w:rFonts w:hint="default" w:ascii="仿宋_GB2312" w:eastAsia="仿宋_GB2312" w:cs="DengXian-Regular"/>
          <w:sz w:val="32"/>
          <w:szCs w:val="32"/>
          <w:lang w:val="en-US"/>
        </w:rPr>
        <w:t>818.14</w:t>
      </w:r>
      <w:r>
        <w:rPr>
          <w:rFonts w:hint="eastAsia" w:ascii="仿宋_GB2312" w:eastAsia="仿宋_GB2312" w:cs="DengXian-Regular"/>
          <w:sz w:val="32"/>
          <w:szCs w:val="32"/>
        </w:rPr>
        <w:t>万元，决算报表中项目支出</w:t>
      </w:r>
      <w:r>
        <w:rPr>
          <w:rFonts w:hint="default" w:ascii="仿宋_GB2312" w:eastAsia="仿宋_GB2312" w:cs="DengXian-Regular"/>
          <w:sz w:val="32"/>
          <w:szCs w:val="32"/>
          <w:lang w:val="en-US"/>
        </w:rPr>
        <w:t>818.14</w:t>
      </w:r>
      <w:r>
        <w:rPr>
          <w:rFonts w:hint="eastAsia" w:ascii="仿宋_GB2312" w:eastAsia="仿宋_GB2312" w:cs="DengXian-Regular"/>
          <w:sz w:val="32"/>
          <w:szCs w:val="32"/>
        </w:rPr>
        <w:t>万元，实际支出与决算报表</w:t>
      </w:r>
      <w:r>
        <w:rPr>
          <w:rFonts w:hint="eastAsia" w:ascii="仿宋_GB2312" w:eastAsia="仿宋_GB2312" w:cs="DengXian-Regular"/>
          <w:sz w:val="32"/>
          <w:szCs w:val="32"/>
          <w:lang w:eastAsia="zh-CN"/>
        </w:rPr>
        <w:t>一致。</w:t>
      </w:r>
    </w:p>
    <w:p w14:paraId="5BC112F8">
      <w:pPr>
        <w:pStyle w:val="4"/>
        <w:spacing w:before="0" w:after="0"/>
        <w:ind w:firstLine="643" w:firstLineChars="200"/>
        <w:jc w:val="both"/>
        <w:rPr>
          <w:rFonts w:ascii="仿宋_GB2312" w:hAnsi="Tahoma" w:cs="DengXian-Regular"/>
          <w:sz w:val="32"/>
        </w:rPr>
      </w:pPr>
      <w:bookmarkStart w:id="13" w:name="_Toc19291"/>
      <w:bookmarkStart w:id="14" w:name="_Toc465149503"/>
      <w:bookmarkStart w:id="15" w:name="_Toc492652769"/>
      <w:r>
        <w:rPr>
          <w:rFonts w:hint="eastAsia" w:ascii="仿宋_GB2312" w:hAnsi="Tahoma" w:cs="DengXian-Regular"/>
          <w:sz w:val="32"/>
        </w:rPr>
        <w:t>（五）“三公”经费预算安排及支出情况</w:t>
      </w:r>
      <w:bookmarkEnd w:id="13"/>
      <w:bookmarkEnd w:id="14"/>
      <w:bookmarkEnd w:id="15"/>
    </w:p>
    <w:p w14:paraId="02EDCF10">
      <w:pPr>
        <w:spacing w:after="0" w:line="360" w:lineRule="auto"/>
        <w:ind w:firstLine="640" w:firstLineChars="200"/>
        <w:jc w:val="both"/>
        <w:rPr>
          <w:rFonts w:ascii="仿宋_GB2312" w:eastAsia="仿宋_GB2312" w:cs="DengXian-Regular"/>
          <w:sz w:val="32"/>
          <w:szCs w:val="32"/>
        </w:rPr>
      </w:pPr>
      <w:r>
        <w:rPr>
          <w:rFonts w:hint="eastAsia" w:ascii="仿宋_GB2312" w:eastAsia="仿宋_GB2312" w:cs="DengXian-Regular"/>
          <w:sz w:val="32"/>
          <w:szCs w:val="32"/>
        </w:rPr>
        <w:t>202</w:t>
      </w:r>
      <w:r>
        <w:rPr>
          <w:rFonts w:ascii="仿宋_GB2312" w:eastAsia="仿宋_GB2312" w:cs="DengXian-Regular"/>
          <w:sz w:val="32"/>
          <w:szCs w:val="32"/>
        </w:rPr>
        <w:t>1</w:t>
      </w:r>
      <w:r>
        <w:rPr>
          <w:rFonts w:hint="eastAsia" w:ascii="仿宋_GB2312" w:eastAsia="仿宋_GB2312" w:cs="DengXian-Regular"/>
          <w:sz w:val="32"/>
          <w:szCs w:val="32"/>
        </w:rPr>
        <w:t>年区</w:t>
      </w:r>
      <w:r>
        <w:rPr>
          <w:rFonts w:hint="eastAsia" w:ascii="仿宋_GB2312" w:eastAsia="仿宋_GB2312" w:cs="DengXian-Regular"/>
          <w:sz w:val="32"/>
          <w:szCs w:val="32"/>
          <w:lang w:eastAsia="zh-CN"/>
        </w:rPr>
        <w:t>政法委</w:t>
      </w:r>
      <w:r>
        <w:rPr>
          <w:rFonts w:hint="eastAsia" w:ascii="仿宋_GB2312" w:eastAsia="仿宋_GB2312" w:cs="DengXian-Regular"/>
          <w:sz w:val="32"/>
          <w:szCs w:val="32"/>
        </w:rPr>
        <w:t>“三公”经费预算</w:t>
      </w:r>
      <w:r>
        <w:rPr>
          <w:rFonts w:hint="default" w:ascii="仿宋_GB2312" w:eastAsia="仿宋_GB2312" w:cs="DengXian-Regular"/>
          <w:sz w:val="32"/>
          <w:szCs w:val="32"/>
          <w:lang w:val="en-US"/>
        </w:rPr>
        <w:t>17.8</w:t>
      </w:r>
      <w:r>
        <w:rPr>
          <w:rFonts w:hint="eastAsia" w:ascii="仿宋_GB2312" w:eastAsia="仿宋_GB2312" w:cs="DengXian-Regular"/>
          <w:sz w:val="32"/>
          <w:szCs w:val="32"/>
        </w:rPr>
        <w:t>万元（公务用车运行维护费</w:t>
      </w:r>
      <w:r>
        <w:rPr>
          <w:rFonts w:hint="default" w:ascii="仿宋_GB2312" w:eastAsia="仿宋_GB2312" w:cs="DengXian-Regular"/>
          <w:sz w:val="32"/>
          <w:szCs w:val="32"/>
          <w:lang w:val="en-US"/>
        </w:rPr>
        <w:t>15</w:t>
      </w:r>
      <w:r>
        <w:rPr>
          <w:rFonts w:hint="eastAsia" w:ascii="仿宋_GB2312" w:eastAsia="仿宋_GB2312" w:cs="DengXian-Regular"/>
          <w:sz w:val="32"/>
          <w:szCs w:val="32"/>
        </w:rPr>
        <w:t>万元，公务接待费</w:t>
      </w:r>
      <w:r>
        <w:rPr>
          <w:rFonts w:hint="default" w:ascii="仿宋_GB2312" w:eastAsia="仿宋_GB2312" w:cs="DengXian-Regular"/>
          <w:sz w:val="32"/>
          <w:szCs w:val="32"/>
          <w:lang w:val="en-US"/>
        </w:rPr>
        <w:t>2.8</w:t>
      </w:r>
      <w:r>
        <w:rPr>
          <w:rFonts w:hint="eastAsia" w:ascii="仿宋_GB2312" w:eastAsia="仿宋_GB2312" w:cs="DengXian-Regular"/>
          <w:sz w:val="32"/>
          <w:szCs w:val="32"/>
        </w:rPr>
        <w:t>万元），实际支出</w:t>
      </w:r>
      <w:r>
        <w:rPr>
          <w:rFonts w:hint="default" w:ascii="仿宋_GB2312" w:eastAsia="仿宋_GB2312" w:cs="DengXian-Regular"/>
          <w:sz w:val="32"/>
          <w:szCs w:val="32"/>
          <w:lang w:val="en-US"/>
        </w:rPr>
        <w:t>7.18</w:t>
      </w:r>
      <w:r>
        <w:rPr>
          <w:rFonts w:hint="eastAsia" w:ascii="仿宋_GB2312" w:eastAsia="仿宋_GB2312" w:cs="DengXian-Regular"/>
          <w:sz w:val="32"/>
          <w:szCs w:val="32"/>
        </w:rPr>
        <w:t>万元（公务用车运行维护费</w:t>
      </w:r>
      <w:r>
        <w:rPr>
          <w:rFonts w:hint="default" w:ascii="仿宋_GB2312" w:eastAsia="仿宋_GB2312" w:cs="DengXian-Regular"/>
          <w:sz w:val="32"/>
          <w:szCs w:val="32"/>
          <w:lang w:val="en-US"/>
        </w:rPr>
        <w:t>6.65</w:t>
      </w:r>
      <w:r>
        <w:rPr>
          <w:rFonts w:hint="eastAsia" w:ascii="仿宋_GB2312" w:eastAsia="仿宋_GB2312" w:cs="DengXian-Regular"/>
          <w:sz w:val="32"/>
          <w:szCs w:val="32"/>
        </w:rPr>
        <w:t>万元，公务接待费</w:t>
      </w:r>
      <w:r>
        <w:rPr>
          <w:rFonts w:hint="default" w:ascii="仿宋_GB2312" w:eastAsia="仿宋_GB2312" w:cs="DengXian-Regular"/>
          <w:sz w:val="32"/>
          <w:szCs w:val="32"/>
          <w:lang w:val="en-US"/>
        </w:rPr>
        <w:t>0.54</w:t>
      </w:r>
      <w:r>
        <w:rPr>
          <w:rFonts w:hint="eastAsia" w:ascii="仿宋_GB2312" w:eastAsia="仿宋_GB2312" w:cs="DengXian-Regular"/>
          <w:sz w:val="32"/>
          <w:szCs w:val="32"/>
        </w:rPr>
        <w:t>万元），比预算减少</w:t>
      </w:r>
      <w:r>
        <w:rPr>
          <w:rFonts w:hint="default" w:ascii="仿宋_GB2312" w:eastAsia="仿宋_GB2312" w:cs="DengXian-Regular"/>
          <w:sz w:val="32"/>
          <w:szCs w:val="32"/>
          <w:lang w:val="en-US"/>
        </w:rPr>
        <w:t>10.62</w:t>
      </w:r>
      <w:r>
        <w:rPr>
          <w:rFonts w:hint="eastAsia" w:ascii="仿宋_GB2312" w:eastAsia="仿宋_GB2312" w:cs="DengXian-Regular"/>
          <w:sz w:val="32"/>
          <w:szCs w:val="32"/>
        </w:rPr>
        <w:t>万元，节约率</w:t>
      </w:r>
      <w:r>
        <w:rPr>
          <w:rFonts w:hint="default" w:ascii="仿宋_GB2312" w:eastAsia="仿宋_GB2312" w:cs="DengXian-Regular"/>
          <w:sz w:val="32"/>
          <w:szCs w:val="32"/>
          <w:lang w:val="en-US"/>
        </w:rPr>
        <w:t>59.66</w:t>
      </w:r>
      <w:r>
        <w:rPr>
          <w:rFonts w:hint="eastAsia" w:ascii="仿宋_GB2312" w:eastAsia="仿宋_GB2312" w:cs="DengXian-Regular"/>
          <w:sz w:val="32"/>
          <w:szCs w:val="32"/>
        </w:rPr>
        <w:t>%。202</w:t>
      </w:r>
      <w:r>
        <w:rPr>
          <w:rFonts w:ascii="仿宋_GB2312" w:eastAsia="仿宋_GB2312" w:cs="DengXian-Regular"/>
          <w:sz w:val="32"/>
          <w:szCs w:val="32"/>
        </w:rPr>
        <w:t>1</w:t>
      </w:r>
      <w:r>
        <w:rPr>
          <w:rFonts w:hint="eastAsia" w:ascii="仿宋_GB2312" w:eastAsia="仿宋_GB2312" w:cs="DengXian-Regular"/>
          <w:sz w:val="32"/>
          <w:szCs w:val="32"/>
        </w:rPr>
        <w:t>年“三公”经费预算数与</w:t>
      </w:r>
      <w:r>
        <w:rPr>
          <w:rFonts w:ascii="仿宋_GB2312" w:eastAsia="仿宋_GB2312" w:cs="DengXian-Regular"/>
          <w:sz w:val="32"/>
          <w:szCs w:val="32"/>
        </w:rPr>
        <w:t>2020</w:t>
      </w:r>
      <w:r>
        <w:rPr>
          <w:rFonts w:hint="eastAsia" w:ascii="仿宋_GB2312" w:eastAsia="仿宋_GB2312" w:cs="DengXian-Regular"/>
          <w:sz w:val="32"/>
          <w:szCs w:val="32"/>
        </w:rPr>
        <w:t>年预算数相比无变化，决算数与</w:t>
      </w:r>
      <w:r>
        <w:rPr>
          <w:rFonts w:ascii="仿宋_GB2312" w:eastAsia="仿宋_GB2312" w:cs="DengXian-Regular"/>
          <w:sz w:val="32"/>
          <w:szCs w:val="32"/>
        </w:rPr>
        <w:t>2020</w:t>
      </w:r>
      <w:r>
        <w:rPr>
          <w:rFonts w:hint="eastAsia" w:ascii="仿宋_GB2312" w:eastAsia="仿宋_GB2312" w:cs="DengXian-Regular"/>
          <w:sz w:val="32"/>
          <w:szCs w:val="32"/>
        </w:rPr>
        <w:t>年实际支出相比，</w:t>
      </w:r>
      <w:r>
        <w:rPr>
          <w:rFonts w:hint="eastAsia" w:ascii="仿宋_GB2312" w:eastAsia="仿宋_GB2312" w:cs="DengXian-Regular"/>
          <w:sz w:val="32"/>
          <w:szCs w:val="32"/>
          <w:lang w:eastAsia="zh-CN"/>
        </w:rPr>
        <w:t>增加</w:t>
      </w:r>
      <w:r>
        <w:rPr>
          <w:rFonts w:hint="default" w:ascii="仿宋_GB2312" w:eastAsia="仿宋_GB2312" w:cs="DengXian-Regular"/>
          <w:sz w:val="32"/>
          <w:szCs w:val="32"/>
          <w:lang w:val="en-US" w:eastAsia="zh-CN"/>
        </w:rPr>
        <w:t>5.47</w:t>
      </w:r>
      <w:r>
        <w:rPr>
          <w:rFonts w:hint="eastAsia" w:ascii="仿宋_GB2312" w:eastAsia="仿宋_GB2312" w:cs="DengXian-Regular"/>
          <w:sz w:val="32"/>
          <w:szCs w:val="32"/>
        </w:rPr>
        <w:t>万元。具体详见表1。</w:t>
      </w:r>
    </w:p>
    <w:p w14:paraId="0BD24639">
      <w:pPr>
        <w:spacing w:after="0" w:line="360" w:lineRule="auto"/>
        <w:ind w:firstLine="643" w:firstLineChars="200"/>
        <w:jc w:val="both"/>
        <w:rPr>
          <w:rFonts w:hint="eastAsia" w:asciiTheme="minorEastAsia" w:hAnsiTheme="minorEastAsia" w:eastAsiaTheme="minorEastAsia" w:cstheme="minorEastAsia"/>
          <w:b/>
          <w:bCs/>
          <w:sz w:val="32"/>
          <w:szCs w:val="32"/>
        </w:rPr>
      </w:pPr>
    </w:p>
    <w:p w14:paraId="0F6E43FA">
      <w:pPr>
        <w:spacing w:after="0" w:line="360" w:lineRule="auto"/>
        <w:ind w:firstLine="643" w:firstLineChars="200"/>
        <w:jc w:val="both"/>
        <w:rPr>
          <w:rFonts w:hint="eastAsia" w:asciiTheme="minorEastAsia" w:hAnsiTheme="minorEastAsia" w:eastAsiaTheme="minorEastAsia" w:cstheme="minorEastAsia"/>
          <w:b/>
          <w:bCs/>
          <w:sz w:val="32"/>
          <w:szCs w:val="32"/>
        </w:rPr>
      </w:pPr>
    </w:p>
    <w:p w14:paraId="158E3F0D">
      <w:pPr>
        <w:spacing w:after="0" w:line="360" w:lineRule="auto"/>
        <w:ind w:firstLine="643" w:firstLineChars="200"/>
        <w:jc w:val="both"/>
        <w:rPr>
          <w:rFonts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t xml:space="preserve">表1  </w:t>
      </w:r>
      <w:r>
        <w:rPr>
          <w:rFonts w:hint="eastAsia" w:asciiTheme="minorEastAsia" w:hAnsiTheme="minorEastAsia" w:eastAsiaTheme="minorEastAsia" w:cstheme="minorEastAsia"/>
          <w:b/>
          <w:bCs/>
          <w:sz w:val="32"/>
          <w:szCs w:val="32"/>
          <w:lang w:eastAsia="zh-CN"/>
        </w:rPr>
        <w:t>区委政法委</w:t>
      </w:r>
      <w:r>
        <w:rPr>
          <w:rFonts w:hint="eastAsia" w:asciiTheme="minorEastAsia" w:hAnsiTheme="minorEastAsia" w:eastAsiaTheme="minorEastAsia" w:cstheme="minorEastAsia"/>
          <w:b/>
          <w:bCs/>
          <w:sz w:val="32"/>
          <w:szCs w:val="32"/>
        </w:rPr>
        <w:t>“三公”经费预算及决算明细表</w:t>
      </w:r>
    </w:p>
    <w:p w14:paraId="11E28BF7">
      <w:pPr>
        <w:spacing w:after="0" w:line="540" w:lineRule="exact"/>
        <w:ind w:firstLine="640" w:firstLineChars="200"/>
        <w:jc w:val="both"/>
        <w:rPr>
          <w:rFonts w:asciiTheme="minorEastAsia" w:hAnsiTheme="minorEastAsia" w:eastAsiaTheme="minorEastAsia" w:cstheme="minorEastAsia"/>
          <w:sz w:val="21"/>
          <w:szCs w:val="21"/>
        </w:rPr>
      </w:pPr>
      <w:r>
        <w:rPr>
          <w:rFonts w:hint="eastAsia" w:ascii="仿宋_GB2312" w:eastAsia="仿宋_GB2312" w:cs="DengXian-Regular"/>
          <w:sz w:val="32"/>
          <w:szCs w:val="32"/>
        </w:rPr>
        <w:t xml:space="preserve">                                         </w:t>
      </w:r>
      <w:r>
        <w:rPr>
          <w:rFonts w:hint="eastAsia" w:asciiTheme="minorEastAsia" w:hAnsiTheme="minorEastAsia" w:eastAsiaTheme="minorEastAsia" w:cstheme="minorEastAsia"/>
          <w:sz w:val="21"/>
          <w:szCs w:val="21"/>
        </w:rPr>
        <w:t>单位：万元</w:t>
      </w:r>
    </w:p>
    <w:tbl>
      <w:tblPr>
        <w:tblStyle w:val="8"/>
        <w:tblW w:w="8565" w:type="dxa"/>
        <w:tblInd w:w="0" w:type="dxa"/>
        <w:tblLayout w:type="fixed"/>
        <w:tblCellMar>
          <w:top w:w="0" w:type="dxa"/>
          <w:left w:w="0" w:type="dxa"/>
          <w:bottom w:w="0" w:type="dxa"/>
          <w:right w:w="0" w:type="dxa"/>
        </w:tblCellMar>
      </w:tblPr>
      <w:tblGrid>
        <w:gridCol w:w="549"/>
        <w:gridCol w:w="1818"/>
        <w:gridCol w:w="993"/>
        <w:gridCol w:w="932"/>
        <w:gridCol w:w="1022"/>
        <w:gridCol w:w="947"/>
        <w:gridCol w:w="1149"/>
        <w:gridCol w:w="1155"/>
      </w:tblGrid>
      <w:tr w14:paraId="2BC9B9AF">
        <w:tblPrEx>
          <w:tblCellMar>
            <w:top w:w="0" w:type="dxa"/>
            <w:left w:w="0" w:type="dxa"/>
            <w:bottom w:w="0" w:type="dxa"/>
            <w:right w:w="0" w:type="dxa"/>
          </w:tblCellMar>
        </w:tblPrEx>
        <w:trPr>
          <w:trHeight w:val="454" w:hRule="atLeast"/>
        </w:trPr>
        <w:tc>
          <w:tcPr>
            <w:tcW w:w="549" w:type="dxa"/>
            <w:vMerge w:val="restar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78866D6C">
            <w:pPr>
              <w:spacing w:after="0"/>
              <w:jc w:val="center"/>
              <w:textAlignment w:val="center"/>
              <w:rPr>
                <w:rFonts w:ascii="宋体" w:hAnsi="宋体" w:eastAsia="宋体" w:cs="宋体"/>
                <w:b/>
                <w:bCs/>
                <w:color w:val="000000"/>
                <w:sz w:val="21"/>
                <w:szCs w:val="21"/>
              </w:rPr>
            </w:pPr>
            <w:r>
              <w:rPr>
                <w:rFonts w:hint="eastAsia" w:ascii="宋体" w:hAnsi="宋体" w:eastAsia="宋体" w:cs="宋体"/>
                <w:b/>
                <w:bCs/>
                <w:color w:val="000000"/>
                <w:sz w:val="21"/>
                <w:szCs w:val="21"/>
              </w:rPr>
              <w:t>序号</w:t>
            </w:r>
          </w:p>
        </w:tc>
        <w:tc>
          <w:tcPr>
            <w:tcW w:w="1818"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609EAC5">
            <w:pPr>
              <w:spacing w:after="0"/>
              <w:jc w:val="center"/>
              <w:textAlignment w:val="center"/>
              <w:rPr>
                <w:rFonts w:ascii="宋体" w:hAnsi="宋体" w:eastAsia="宋体" w:cs="宋体"/>
                <w:b/>
                <w:bCs/>
                <w:color w:val="000000"/>
                <w:sz w:val="21"/>
                <w:szCs w:val="21"/>
              </w:rPr>
            </w:pPr>
            <w:r>
              <w:rPr>
                <w:rFonts w:hint="eastAsia" w:ascii="宋体" w:hAnsi="宋体" w:eastAsia="宋体" w:cs="宋体"/>
                <w:b/>
                <w:bCs/>
                <w:color w:val="000000"/>
                <w:sz w:val="21"/>
                <w:szCs w:val="21"/>
              </w:rPr>
              <w:t>支出内容</w:t>
            </w:r>
          </w:p>
        </w:tc>
        <w:tc>
          <w:tcPr>
            <w:tcW w:w="1925" w:type="dxa"/>
            <w:gridSpan w:val="2"/>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D6D02B7">
            <w:pPr>
              <w:spacing w:after="0"/>
              <w:ind w:firstLine="422" w:firstLineChars="200"/>
              <w:jc w:val="center"/>
              <w:textAlignment w:val="center"/>
              <w:rPr>
                <w:rFonts w:ascii="宋体" w:hAnsi="宋体" w:eastAsia="宋体" w:cs="宋体"/>
                <w:b/>
                <w:bCs/>
                <w:color w:val="000000"/>
                <w:sz w:val="21"/>
                <w:szCs w:val="21"/>
              </w:rPr>
            </w:pPr>
            <w:r>
              <w:rPr>
                <w:rFonts w:ascii="宋体" w:hAnsi="宋体" w:eastAsia="宋体" w:cs="宋体"/>
                <w:b/>
                <w:bCs/>
                <w:color w:val="000000"/>
                <w:sz w:val="21"/>
                <w:szCs w:val="21"/>
              </w:rPr>
              <w:t>2020</w:t>
            </w:r>
            <w:r>
              <w:rPr>
                <w:rFonts w:hint="eastAsia" w:ascii="宋体" w:hAnsi="宋体" w:eastAsia="宋体" w:cs="宋体"/>
                <w:b/>
                <w:bCs/>
                <w:color w:val="000000"/>
                <w:sz w:val="21"/>
                <w:szCs w:val="21"/>
              </w:rPr>
              <w:t>年</w:t>
            </w:r>
          </w:p>
        </w:tc>
        <w:tc>
          <w:tcPr>
            <w:tcW w:w="1969" w:type="dxa"/>
            <w:gridSpan w:val="2"/>
            <w:tcBorders>
              <w:top w:val="single" w:color="000000" w:sz="4" w:space="0"/>
              <w:left w:val="single" w:color="auto" w:sz="4" w:space="0"/>
              <w:bottom w:val="single" w:color="000000" w:sz="4" w:space="0"/>
              <w:right w:val="nil"/>
            </w:tcBorders>
            <w:shd w:val="clear" w:color="auto" w:fill="auto"/>
            <w:tcMar>
              <w:top w:w="15" w:type="dxa"/>
              <w:left w:w="15" w:type="dxa"/>
              <w:right w:w="15" w:type="dxa"/>
            </w:tcMar>
            <w:vAlign w:val="center"/>
          </w:tcPr>
          <w:p w14:paraId="55E562FA">
            <w:pPr>
              <w:spacing w:after="0"/>
              <w:ind w:firstLine="422" w:firstLineChars="200"/>
              <w:jc w:val="center"/>
              <w:textAlignment w:val="center"/>
              <w:rPr>
                <w:rFonts w:ascii="宋体" w:hAnsi="宋体" w:eastAsia="宋体" w:cs="宋体"/>
                <w:b/>
                <w:bCs/>
                <w:color w:val="000000"/>
                <w:sz w:val="21"/>
                <w:szCs w:val="21"/>
              </w:rPr>
            </w:pPr>
            <w:r>
              <w:rPr>
                <w:rFonts w:hint="eastAsia" w:ascii="宋体" w:hAnsi="宋体" w:eastAsia="宋体" w:cs="宋体"/>
                <w:b/>
                <w:bCs/>
                <w:color w:val="000000"/>
                <w:sz w:val="21"/>
                <w:szCs w:val="21"/>
              </w:rPr>
              <w:t>202</w:t>
            </w:r>
            <w:r>
              <w:rPr>
                <w:rFonts w:ascii="宋体" w:hAnsi="宋体" w:eastAsia="宋体" w:cs="宋体"/>
                <w:b/>
                <w:bCs/>
                <w:color w:val="000000"/>
                <w:sz w:val="21"/>
                <w:szCs w:val="21"/>
              </w:rPr>
              <w:t>1</w:t>
            </w:r>
            <w:r>
              <w:rPr>
                <w:rFonts w:hint="eastAsia" w:ascii="宋体" w:hAnsi="宋体" w:eastAsia="宋体" w:cs="宋体"/>
                <w:b/>
                <w:bCs/>
                <w:color w:val="000000"/>
                <w:sz w:val="21"/>
                <w:szCs w:val="21"/>
              </w:rPr>
              <w:t>年</w:t>
            </w:r>
          </w:p>
        </w:tc>
        <w:tc>
          <w:tcPr>
            <w:tcW w:w="230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489896">
            <w:pPr>
              <w:spacing w:after="0"/>
              <w:ind w:firstLine="422" w:firstLineChars="200"/>
              <w:jc w:val="center"/>
              <w:textAlignment w:val="center"/>
              <w:rPr>
                <w:rFonts w:ascii="宋体" w:hAnsi="宋体" w:eastAsia="宋体" w:cs="宋体"/>
                <w:b/>
                <w:bCs/>
                <w:color w:val="000000"/>
                <w:sz w:val="21"/>
                <w:szCs w:val="21"/>
              </w:rPr>
            </w:pPr>
            <w:r>
              <w:rPr>
                <w:rFonts w:hint="eastAsia" w:ascii="宋体" w:hAnsi="宋体" w:eastAsia="宋体" w:cs="宋体"/>
                <w:b/>
                <w:bCs/>
                <w:color w:val="000000"/>
                <w:sz w:val="21"/>
                <w:szCs w:val="21"/>
              </w:rPr>
              <w:t>环比情况</w:t>
            </w:r>
          </w:p>
        </w:tc>
      </w:tr>
      <w:tr w14:paraId="75A9607B">
        <w:tblPrEx>
          <w:tblCellMar>
            <w:top w:w="0" w:type="dxa"/>
            <w:left w:w="0" w:type="dxa"/>
            <w:bottom w:w="0" w:type="dxa"/>
            <w:right w:w="0" w:type="dxa"/>
          </w:tblCellMar>
        </w:tblPrEx>
        <w:trPr>
          <w:trHeight w:val="454" w:hRule="atLeast"/>
        </w:trPr>
        <w:tc>
          <w:tcPr>
            <w:tcW w:w="549" w:type="dxa"/>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4168B0B5">
            <w:pPr>
              <w:spacing w:after="0"/>
              <w:ind w:firstLine="422" w:firstLineChars="200"/>
              <w:jc w:val="center"/>
              <w:rPr>
                <w:rFonts w:ascii="宋体" w:hAnsi="宋体" w:eastAsia="宋体" w:cs="宋体"/>
                <w:b/>
                <w:bCs/>
                <w:color w:val="000000"/>
                <w:sz w:val="21"/>
                <w:szCs w:val="21"/>
              </w:rPr>
            </w:pPr>
          </w:p>
        </w:tc>
        <w:tc>
          <w:tcPr>
            <w:tcW w:w="1818"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9000914">
            <w:pPr>
              <w:spacing w:after="0"/>
              <w:ind w:firstLine="422" w:firstLineChars="200"/>
              <w:jc w:val="center"/>
              <w:rPr>
                <w:rFonts w:ascii="宋体" w:hAnsi="宋体" w:eastAsia="宋体" w:cs="宋体"/>
                <w:b/>
                <w:bCs/>
                <w:color w:val="000000"/>
                <w:sz w:val="21"/>
                <w:szCs w:val="21"/>
              </w:rPr>
            </w:pPr>
          </w:p>
        </w:tc>
        <w:tc>
          <w:tcPr>
            <w:tcW w:w="99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40FDA1B">
            <w:pPr>
              <w:spacing w:after="0"/>
              <w:jc w:val="center"/>
              <w:textAlignment w:val="center"/>
              <w:rPr>
                <w:rFonts w:ascii="宋体" w:hAnsi="宋体" w:eastAsia="宋体" w:cs="宋体"/>
                <w:b/>
                <w:bCs/>
                <w:color w:val="000000"/>
                <w:sz w:val="21"/>
                <w:szCs w:val="21"/>
              </w:rPr>
            </w:pPr>
            <w:r>
              <w:rPr>
                <w:rFonts w:hint="eastAsia" w:ascii="宋体" w:hAnsi="宋体" w:eastAsia="宋体" w:cs="宋体"/>
                <w:b/>
                <w:bCs/>
                <w:color w:val="000000"/>
                <w:sz w:val="21"/>
                <w:szCs w:val="21"/>
              </w:rPr>
              <w:t>预算安排</w:t>
            </w:r>
          </w:p>
        </w:tc>
        <w:tc>
          <w:tcPr>
            <w:tcW w:w="932" w:type="dxa"/>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47412031">
            <w:pPr>
              <w:spacing w:after="0"/>
              <w:jc w:val="center"/>
              <w:textAlignment w:val="center"/>
              <w:rPr>
                <w:rFonts w:ascii="宋体" w:hAnsi="宋体" w:eastAsia="宋体" w:cs="宋体"/>
                <w:b/>
                <w:bCs/>
                <w:color w:val="000000"/>
                <w:sz w:val="21"/>
                <w:szCs w:val="21"/>
              </w:rPr>
            </w:pPr>
            <w:r>
              <w:rPr>
                <w:rFonts w:hint="eastAsia" w:ascii="宋体" w:hAnsi="宋体" w:eastAsia="宋体" w:cs="宋体"/>
                <w:b/>
                <w:bCs/>
                <w:color w:val="000000"/>
                <w:sz w:val="21"/>
                <w:szCs w:val="21"/>
              </w:rPr>
              <w:t>实际支出</w:t>
            </w:r>
          </w:p>
        </w:tc>
        <w:tc>
          <w:tcPr>
            <w:tcW w:w="1022"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7E762D46">
            <w:pPr>
              <w:spacing w:after="0"/>
              <w:jc w:val="center"/>
              <w:textAlignment w:val="center"/>
              <w:rPr>
                <w:rFonts w:ascii="宋体" w:hAnsi="宋体" w:eastAsia="宋体" w:cs="宋体"/>
                <w:b/>
                <w:bCs/>
                <w:color w:val="000000"/>
                <w:sz w:val="21"/>
                <w:szCs w:val="21"/>
              </w:rPr>
            </w:pPr>
            <w:r>
              <w:rPr>
                <w:rFonts w:hint="eastAsia" w:ascii="宋体" w:hAnsi="宋体" w:eastAsia="宋体" w:cs="宋体"/>
                <w:b/>
                <w:bCs/>
                <w:color w:val="000000"/>
                <w:sz w:val="21"/>
                <w:szCs w:val="21"/>
              </w:rPr>
              <w:t>预算安排</w:t>
            </w:r>
          </w:p>
        </w:tc>
        <w:tc>
          <w:tcPr>
            <w:tcW w:w="947"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1EDBD6D7">
            <w:pPr>
              <w:spacing w:after="0"/>
              <w:jc w:val="center"/>
              <w:textAlignment w:val="center"/>
              <w:rPr>
                <w:rFonts w:ascii="宋体" w:hAnsi="宋体" w:eastAsia="宋体" w:cs="宋体"/>
                <w:b/>
                <w:bCs/>
                <w:color w:val="000000"/>
                <w:sz w:val="21"/>
                <w:szCs w:val="21"/>
              </w:rPr>
            </w:pPr>
            <w:r>
              <w:rPr>
                <w:rFonts w:hint="eastAsia" w:ascii="宋体" w:hAnsi="宋体" w:eastAsia="宋体" w:cs="宋体"/>
                <w:b/>
                <w:bCs/>
                <w:color w:val="000000"/>
                <w:sz w:val="21"/>
                <w:szCs w:val="21"/>
              </w:rPr>
              <w:t>实际支出</w:t>
            </w:r>
          </w:p>
        </w:tc>
        <w:tc>
          <w:tcPr>
            <w:tcW w:w="1149"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603A3A0B">
            <w:pPr>
              <w:spacing w:after="0"/>
              <w:jc w:val="center"/>
              <w:textAlignment w:val="center"/>
              <w:rPr>
                <w:rFonts w:ascii="宋体" w:hAnsi="宋体" w:eastAsia="宋体" w:cs="宋体"/>
                <w:b/>
                <w:bCs/>
                <w:color w:val="000000"/>
                <w:sz w:val="21"/>
                <w:szCs w:val="21"/>
              </w:rPr>
            </w:pPr>
            <w:r>
              <w:rPr>
                <w:rFonts w:hint="eastAsia" w:ascii="宋体" w:hAnsi="宋体" w:eastAsia="宋体" w:cs="宋体"/>
                <w:b/>
                <w:bCs/>
                <w:color w:val="000000"/>
                <w:sz w:val="21"/>
                <w:szCs w:val="21"/>
              </w:rPr>
              <w:t>较上年预算增减金额</w:t>
            </w:r>
          </w:p>
        </w:tc>
        <w:tc>
          <w:tcPr>
            <w:tcW w:w="1155"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45BA7EEA">
            <w:pPr>
              <w:spacing w:after="0"/>
              <w:jc w:val="center"/>
              <w:textAlignment w:val="center"/>
              <w:rPr>
                <w:rFonts w:ascii="宋体" w:hAnsi="宋体" w:eastAsia="宋体" w:cs="宋体"/>
                <w:b/>
                <w:bCs/>
                <w:color w:val="000000"/>
                <w:sz w:val="21"/>
                <w:szCs w:val="21"/>
              </w:rPr>
            </w:pPr>
            <w:r>
              <w:rPr>
                <w:rFonts w:hint="eastAsia" w:ascii="宋体" w:hAnsi="宋体" w:eastAsia="宋体" w:cs="宋体"/>
                <w:b/>
                <w:bCs/>
                <w:color w:val="000000"/>
                <w:sz w:val="21"/>
                <w:szCs w:val="21"/>
              </w:rPr>
              <w:t>较上年支出增减金额</w:t>
            </w:r>
          </w:p>
        </w:tc>
      </w:tr>
      <w:tr w14:paraId="2871A746">
        <w:tblPrEx>
          <w:tblCellMar>
            <w:top w:w="0" w:type="dxa"/>
            <w:left w:w="0" w:type="dxa"/>
            <w:bottom w:w="0" w:type="dxa"/>
            <w:right w:w="0" w:type="dxa"/>
          </w:tblCellMar>
        </w:tblPrEx>
        <w:trPr>
          <w:trHeight w:val="454" w:hRule="atLeast"/>
        </w:trPr>
        <w:tc>
          <w:tcPr>
            <w:tcW w:w="549"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370975">
            <w:pPr>
              <w:spacing w:after="0"/>
              <w:jc w:val="center"/>
              <w:textAlignment w:val="center"/>
              <w:rPr>
                <w:rFonts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1</w:t>
            </w:r>
          </w:p>
        </w:tc>
        <w:tc>
          <w:tcPr>
            <w:tcW w:w="1818" w:type="dxa"/>
            <w:tcBorders>
              <w:top w:val="single" w:color="auto" w:sz="4" w:space="0"/>
              <w:left w:val="single" w:color="000000" w:sz="4" w:space="0"/>
              <w:bottom w:val="single" w:color="000000" w:sz="4" w:space="0"/>
              <w:right w:val="nil"/>
            </w:tcBorders>
            <w:shd w:val="clear" w:color="auto" w:fill="auto"/>
            <w:tcMar>
              <w:top w:w="15" w:type="dxa"/>
              <w:left w:w="15" w:type="dxa"/>
              <w:right w:w="15" w:type="dxa"/>
            </w:tcMar>
            <w:vAlign w:val="center"/>
          </w:tcPr>
          <w:p w14:paraId="1AF81DCC">
            <w:pPr>
              <w:spacing w:after="0"/>
              <w:jc w:val="center"/>
              <w:textAlignment w:val="center"/>
              <w:rPr>
                <w:rFonts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因公出国（境）费</w:t>
            </w:r>
          </w:p>
        </w:tc>
        <w:tc>
          <w:tcPr>
            <w:tcW w:w="993"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5EB4E5">
            <w:pPr>
              <w:spacing w:after="0"/>
              <w:ind w:firstLine="420" w:firstLineChars="200"/>
              <w:jc w:val="center"/>
              <w:textAlignment w:val="center"/>
              <w:rPr>
                <w:rFonts w:asciiTheme="minorEastAsia" w:hAnsiTheme="minorEastAsia" w:eastAsiaTheme="minorEastAsia" w:cstheme="minorEastAsia"/>
                <w:color w:val="000000"/>
                <w:sz w:val="21"/>
                <w:szCs w:val="21"/>
              </w:rPr>
            </w:pPr>
          </w:p>
        </w:tc>
        <w:tc>
          <w:tcPr>
            <w:tcW w:w="9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A7D5B0">
            <w:pPr>
              <w:spacing w:after="0"/>
              <w:ind w:firstLine="420" w:firstLineChars="200"/>
              <w:jc w:val="center"/>
              <w:textAlignment w:val="center"/>
              <w:rPr>
                <w:rFonts w:asciiTheme="minorEastAsia" w:hAnsiTheme="minorEastAsia" w:eastAsiaTheme="minorEastAsia" w:cstheme="minorEastAsia"/>
                <w:color w:val="000000"/>
                <w:sz w:val="21"/>
                <w:szCs w:val="21"/>
              </w:rPr>
            </w:pPr>
          </w:p>
        </w:tc>
        <w:tc>
          <w:tcPr>
            <w:tcW w:w="10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D69C50">
            <w:pPr>
              <w:spacing w:after="0"/>
              <w:ind w:firstLine="420" w:firstLineChars="200"/>
              <w:jc w:val="center"/>
              <w:textAlignment w:val="center"/>
              <w:rPr>
                <w:rFonts w:asciiTheme="minorEastAsia" w:hAnsiTheme="minorEastAsia" w:eastAsiaTheme="minorEastAsia" w:cstheme="minorEastAsia"/>
                <w:color w:val="000000"/>
                <w:sz w:val="21"/>
                <w:szCs w:val="21"/>
              </w:rPr>
            </w:pPr>
          </w:p>
        </w:tc>
        <w:tc>
          <w:tcPr>
            <w:tcW w:w="947"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5A836A27">
            <w:pPr>
              <w:spacing w:after="0"/>
              <w:ind w:firstLine="420" w:firstLineChars="200"/>
              <w:jc w:val="center"/>
              <w:textAlignment w:val="center"/>
              <w:rPr>
                <w:rFonts w:asciiTheme="minorEastAsia" w:hAnsiTheme="minorEastAsia" w:eastAsiaTheme="minorEastAsia" w:cstheme="minorEastAsia"/>
                <w:color w:val="000000"/>
                <w:sz w:val="21"/>
                <w:szCs w:val="21"/>
              </w:rPr>
            </w:pPr>
          </w:p>
        </w:tc>
        <w:tc>
          <w:tcPr>
            <w:tcW w:w="1149"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0BE8BEF5">
            <w:pPr>
              <w:spacing w:after="0"/>
              <w:ind w:firstLine="420" w:firstLineChars="200"/>
              <w:jc w:val="center"/>
              <w:textAlignment w:val="center"/>
              <w:rPr>
                <w:rFonts w:asciiTheme="minorEastAsia" w:hAnsiTheme="minorEastAsia" w:eastAsiaTheme="minorEastAsia" w:cstheme="minorEastAsia"/>
                <w:color w:val="000000"/>
                <w:sz w:val="21"/>
                <w:szCs w:val="21"/>
              </w:rPr>
            </w:pPr>
          </w:p>
        </w:tc>
        <w:tc>
          <w:tcPr>
            <w:tcW w:w="115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062EBCFA">
            <w:pPr>
              <w:spacing w:after="0"/>
              <w:ind w:firstLine="420" w:firstLineChars="200"/>
              <w:jc w:val="center"/>
              <w:textAlignment w:val="center"/>
              <w:rPr>
                <w:rFonts w:asciiTheme="minorEastAsia" w:hAnsiTheme="minorEastAsia" w:eastAsiaTheme="minorEastAsia" w:cstheme="minorEastAsia"/>
                <w:color w:val="000000"/>
                <w:sz w:val="21"/>
                <w:szCs w:val="21"/>
              </w:rPr>
            </w:pPr>
          </w:p>
        </w:tc>
      </w:tr>
      <w:tr w14:paraId="3B5F26DB">
        <w:tblPrEx>
          <w:tblCellMar>
            <w:top w:w="0" w:type="dxa"/>
            <w:left w:w="0" w:type="dxa"/>
            <w:bottom w:w="0" w:type="dxa"/>
            <w:right w:w="0" w:type="dxa"/>
          </w:tblCellMar>
        </w:tblPrEx>
        <w:trPr>
          <w:trHeight w:val="454"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E830B0">
            <w:pPr>
              <w:spacing w:after="0"/>
              <w:jc w:val="center"/>
              <w:textAlignment w:val="center"/>
              <w:rPr>
                <w:rFonts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2</w:t>
            </w:r>
          </w:p>
        </w:tc>
        <w:tc>
          <w:tcPr>
            <w:tcW w:w="1818"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052BA331">
            <w:pPr>
              <w:spacing w:after="0"/>
              <w:jc w:val="center"/>
              <w:textAlignment w:val="center"/>
              <w:rPr>
                <w:rFonts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公务用车购置及运维费</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E9265C">
            <w:pPr>
              <w:spacing w:after="0"/>
              <w:jc w:val="center"/>
              <w:textAlignment w:val="center"/>
              <w:rPr>
                <w:rFonts w:hint="default" w:asciiTheme="minorEastAsia" w:hAnsiTheme="minorEastAsia" w:eastAsiaTheme="minorEastAsia" w:cstheme="minorEastAsia"/>
                <w:color w:val="000000"/>
                <w:sz w:val="21"/>
                <w:szCs w:val="21"/>
                <w:lang w:val="en-US"/>
              </w:rPr>
            </w:pPr>
            <w:r>
              <w:rPr>
                <w:rFonts w:hint="default" w:asciiTheme="minorEastAsia" w:hAnsiTheme="minorEastAsia" w:eastAsiaTheme="minorEastAsia" w:cstheme="minorEastAsia"/>
                <w:color w:val="000000"/>
                <w:sz w:val="21"/>
                <w:szCs w:val="21"/>
                <w:lang w:val="en-US"/>
              </w:rPr>
              <w:t>15</w:t>
            </w:r>
          </w:p>
        </w:tc>
        <w:tc>
          <w:tcPr>
            <w:tcW w:w="9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8CD80F">
            <w:pPr>
              <w:spacing w:after="0"/>
              <w:jc w:val="center"/>
              <w:textAlignment w:val="center"/>
              <w:rPr>
                <w:rFonts w:hint="default" w:asciiTheme="minorEastAsia" w:hAnsiTheme="minorEastAsia" w:eastAsiaTheme="minorEastAsia" w:cstheme="minorEastAsia"/>
                <w:color w:val="000000"/>
                <w:sz w:val="21"/>
                <w:szCs w:val="21"/>
                <w:lang w:val="en-US"/>
              </w:rPr>
            </w:pPr>
            <w:r>
              <w:rPr>
                <w:rFonts w:hint="default" w:asciiTheme="minorEastAsia" w:hAnsiTheme="minorEastAsia" w:eastAsiaTheme="minorEastAsia" w:cstheme="minorEastAsia"/>
                <w:color w:val="000000"/>
                <w:sz w:val="21"/>
                <w:szCs w:val="21"/>
                <w:lang w:val="en-US"/>
              </w:rPr>
              <w:t>1.32</w:t>
            </w:r>
          </w:p>
        </w:tc>
        <w:tc>
          <w:tcPr>
            <w:tcW w:w="10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C57538">
            <w:pPr>
              <w:spacing w:after="0"/>
              <w:jc w:val="center"/>
              <w:textAlignment w:val="center"/>
              <w:rPr>
                <w:rFonts w:hint="default" w:asciiTheme="minorEastAsia" w:hAnsiTheme="minorEastAsia" w:eastAsiaTheme="minorEastAsia" w:cstheme="minorEastAsia"/>
                <w:color w:val="000000"/>
                <w:sz w:val="21"/>
                <w:szCs w:val="21"/>
                <w:lang w:val="en-US"/>
              </w:rPr>
            </w:pPr>
            <w:r>
              <w:rPr>
                <w:rFonts w:hint="default" w:asciiTheme="minorEastAsia" w:hAnsiTheme="minorEastAsia" w:eastAsiaTheme="minorEastAsia" w:cstheme="minorEastAsia"/>
                <w:color w:val="000000"/>
                <w:sz w:val="21"/>
                <w:szCs w:val="21"/>
                <w:lang w:val="en-US"/>
              </w:rPr>
              <w:t>15</w:t>
            </w:r>
          </w:p>
        </w:tc>
        <w:tc>
          <w:tcPr>
            <w:tcW w:w="9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ABFE0D">
            <w:pPr>
              <w:spacing w:after="0"/>
              <w:jc w:val="center"/>
              <w:textAlignment w:val="center"/>
              <w:rPr>
                <w:rFonts w:hint="default" w:asciiTheme="minorEastAsia" w:hAnsiTheme="minorEastAsia" w:eastAsiaTheme="minorEastAsia" w:cstheme="minorEastAsia"/>
                <w:color w:val="000000"/>
                <w:sz w:val="21"/>
                <w:szCs w:val="21"/>
                <w:lang w:val="en-US"/>
              </w:rPr>
            </w:pPr>
            <w:r>
              <w:rPr>
                <w:rFonts w:hint="default" w:asciiTheme="minorEastAsia" w:hAnsiTheme="minorEastAsia" w:eastAsiaTheme="minorEastAsia" w:cstheme="minorEastAsia"/>
                <w:color w:val="000000"/>
                <w:sz w:val="21"/>
                <w:szCs w:val="21"/>
                <w:lang w:val="en-US"/>
              </w:rPr>
              <w:t>6.65</w:t>
            </w:r>
          </w:p>
        </w:tc>
        <w:tc>
          <w:tcPr>
            <w:tcW w:w="1149"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03F276FE">
            <w:pPr>
              <w:spacing w:after="0"/>
              <w:ind w:firstLine="420" w:firstLineChars="200"/>
              <w:jc w:val="center"/>
              <w:textAlignment w:val="center"/>
              <w:rPr>
                <w:rFonts w:hint="default" w:asciiTheme="minorEastAsia" w:hAnsiTheme="minorEastAsia" w:eastAsiaTheme="minorEastAsia" w:cstheme="minorEastAsia"/>
                <w:color w:val="000000"/>
                <w:sz w:val="21"/>
                <w:szCs w:val="21"/>
                <w:lang w:val="en-US"/>
              </w:rPr>
            </w:pPr>
            <w:r>
              <w:rPr>
                <w:rFonts w:hint="default" w:asciiTheme="minorEastAsia" w:hAnsiTheme="minorEastAsia" w:eastAsiaTheme="minorEastAsia" w:cstheme="minorEastAsia"/>
                <w:color w:val="000000"/>
                <w:sz w:val="21"/>
                <w:szCs w:val="21"/>
                <w:lang w:val="en-US"/>
              </w:rPr>
              <w:t>0</w:t>
            </w:r>
          </w:p>
        </w:tc>
        <w:tc>
          <w:tcPr>
            <w:tcW w:w="115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670D6F7D">
            <w:pPr>
              <w:spacing w:after="0"/>
              <w:jc w:val="center"/>
              <w:textAlignment w:val="center"/>
              <w:rPr>
                <w:rFonts w:hint="default" w:asciiTheme="minorEastAsia" w:hAnsiTheme="minorEastAsia" w:eastAsiaTheme="minorEastAsia" w:cstheme="minorEastAsia"/>
                <w:color w:val="000000"/>
                <w:sz w:val="21"/>
                <w:szCs w:val="21"/>
                <w:lang w:val="en-US"/>
              </w:rPr>
            </w:pPr>
            <w:r>
              <w:rPr>
                <w:rFonts w:hint="default" w:asciiTheme="minorEastAsia" w:hAnsiTheme="minorEastAsia" w:eastAsiaTheme="minorEastAsia" w:cstheme="minorEastAsia"/>
                <w:color w:val="000000"/>
                <w:sz w:val="21"/>
                <w:szCs w:val="21"/>
                <w:lang w:val="en-US"/>
              </w:rPr>
              <w:t>5.33</w:t>
            </w:r>
          </w:p>
        </w:tc>
      </w:tr>
      <w:tr w14:paraId="419F5AA2">
        <w:tblPrEx>
          <w:tblCellMar>
            <w:top w:w="0" w:type="dxa"/>
            <w:left w:w="0" w:type="dxa"/>
            <w:bottom w:w="0" w:type="dxa"/>
            <w:right w:w="0" w:type="dxa"/>
          </w:tblCellMar>
        </w:tblPrEx>
        <w:trPr>
          <w:trHeight w:val="454"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05C974">
            <w:pPr>
              <w:spacing w:after="0"/>
              <w:jc w:val="center"/>
              <w:textAlignment w:val="center"/>
              <w:rPr>
                <w:rFonts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3</w:t>
            </w:r>
          </w:p>
        </w:tc>
        <w:tc>
          <w:tcPr>
            <w:tcW w:w="18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3B038A">
            <w:pPr>
              <w:spacing w:after="0"/>
              <w:jc w:val="center"/>
              <w:textAlignment w:val="center"/>
              <w:rPr>
                <w:rFonts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公务接待费</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A5622F">
            <w:pPr>
              <w:spacing w:after="0"/>
              <w:jc w:val="center"/>
              <w:textAlignment w:val="center"/>
              <w:rPr>
                <w:rFonts w:hint="default" w:asciiTheme="minorEastAsia" w:hAnsiTheme="minorEastAsia" w:eastAsiaTheme="minorEastAsia" w:cstheme="minorEastAsia"/>
                <w:color w:val="000000"/>
                <w:sz w:val="21"/>
                <w:szCs w:val="21"/>
                <w:lang w:val="en-US"/>
              </w:rPr>
            </w:pPr>
            <w:r>
              <w:rPr>
                <w:rFonts w:hint="default" w:asciiTheme="minorEastAsia" w:hAnsiTheme="minorEastAsia" w:eastAsiaTheme="minorEastAsia" w:cstheme="minorEastAsia"/>
                <w:color w:val="000000"/>
                <w:sz w:val="21"/>
                <w:szCs w:val="21"/>
                <w:lang w:val="en-US"/>
              </w:rPr>
              <w:t>2.8</w:t>
            </w:r>
          </w:p>
        </w:tc>
        <w:tc>
          <w:tcPr>
            <w:tcW w:w="9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6DD309">
            <w:pPr>
              <w:spacing w:after="0"/>
              <w:ind w:firstLine="210" w:firstLineChars="100"/>
              <w:jc w:val="both"/>
              <w:textAlignment w:val="center"/>
              <w:rPr>
                <w:rFonts w:hint="default" w:asciiTheme="minorEastAsia" w:hAnsiTheme="minorEastAsia" w:eastAsiaTheme="minorEastAsia" w:cstheme="minorEastAsia"/>
                <w:color w:val="000000"/>
                <w:sz w:val="21"/>
                <w:szCs w:val="21"/>
                <w:lang w:val="en-US"/>
              </w:rPr>
            </w:pPr>
            <w:r>
              <w:rPr>
                <w:rFonts w:hint="default" w:asciiTheme="minorEastAsia" w:hAnsiTheme="minorEastAsia" w:eastAsiaTheme="minorEastAsia" w:cstheme="minorEastAsia"/>
                <w:color w:val="000000"/>
                <w:sz w:val="21"/>
                <w:szCs w:val="21"/>
                <w:lang w:val="en-US"/>
              </w:rPr>
              <w:t>0.39</w:t>
            </w:r>
          </w:p>
        </w:tc>
        <w:tc>
          <w:tcPr>
            <w:tcW w:w="10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124127">
            <w:pPr>
              <w:spacing w:after="0"/>
              <w:jc w:val="center"/>
              <w:textAlignment w:val="center"/>
              <w:rPr>
                <w:rFonts w:hint="default" w:asciiTheme="minorEastAsia" w:hAnsiTheme="minorEastAsia" w:eastAsiaTheme="minorEastAsia" w:cstheme="minorEastAsia"/>
                <w:color w:val="000000"/>
                <w:sz w:val="21"/>
                <w:szCs w:val="21"/>
                <w:lang w:val="en-US"/>
              </w:rPr>
            </w:pPr>
            <w:r>
              <w:rPr>
                <w:rFonts w:hint="default" w:asciiTheme="minorEastAsia" w:hAnsiTheme="minorEastAsia" w:eastAsiaTheme="minorEastAsia" w:cstheme="minorEastAsia"/>
                <w:color w:val="000000"/>
                <w:sz w:val="21"/>
                <w:szCs w:val="21"/>
                <w:lang w:val="en-US"/>
              </w:rPr>
              <w:t>2.8</w:t>
            </w:r>
          </w:p>
        </w:tc>
        <w:tc>
          <w:tcPr>
            <w:tcW w:w="9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F9F8A7">
            <w:pPr>
              <w:spacing w:after="0"/>
              <w:jc w:val="center"/>
              <w:textAlignment w:val="center"/>
              <w:rPr>
                <w:rFonts w:hint="default" w:asciiTheme="minorEastAsia" w:hAnsiTheme="minorEastAsia" w:eastAsiaTheme="minorEastAsia" w:cstheme="minorEastAsia"/>
                <w:color w:val="000000"/>
                <w:sz w:val="21"/>
                <w:szCs w:val="21"/>
                <w:lang w:val="en-US"/>
              </w:rPr>
            </w:pPr>
            <w:r>
              <w:rPr>
                <w:rFonts w:hint="default" w:asciiTheme="minorEastAsia" w:hAnsiTheme="minorEastAsia" w:eastAsiaTheme="minorEastAsia" w:cstheme="minorEastAsia"/>
                <w:color w:val="000000"/>
                <w:sz w:val="21"/>
                <w:szCs w:val="21"/>
                <w:lang w:val="en-US"/>
              </w:rPr>
              <w:t>0.54</w:t>
            </w:r>
          </w:p>
        </w:tc>
        <w:tc>
          <w:tcPr>
            <w:tcW w:w="1149"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648DF7FC">
            <w:pPr>
              <w:spacing w:after="0"/>
              <w:ind w:firstLine="420" w:firstLineChars="200"/>
              <w:jc w:val="center"/>
              <w:textAlignment w:val="center"/>
              <w:rPr>
                <w:rFonts w:hint="default" w:asciiTheme="minorEastAsia" w:hAnsiTheme="minorEastAsia" w:eastAsiaTheme="minorEastAsia" w:cstheme="minorEastAsia"/>
                <w:color w:val="000000"/>
                <w:sz w:val="21"/>
                <w:szCs w:val="21"/>
                <w:lang w:val="en-US"/>
              </w:rPr>
            </w:pPr>
            <w:r>
              <w:rPr>
                <w:rFonts w:hint="default" w:asciiTheme="minorEastAsia" w:hAnsiTheme="minorEastAsia" w:eastAsiaTheme="minorEastAsia" w:cstheme="minorEastAsia"/>
                <w:color w:val="000000"/>
                <w:sz w:val="21"/>
                <w:szCs w:val="21"/>
                <w:lang w:val="en-US"/>
              </w:rPr>
              <w:t>0</w:t>
            </w:r>
          </w:p>
        </w:tc>
        <w:tc>
          <w:tcPr>
            <w:tcW w:w="115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319E222D">
            <w:pPr>
              <w:spacing w:after="0"/>
              <w:jc w:val="center"/>
              <w:textAlignment w:val="center"/>
              <w:rPr>
                <w:rFonts w:hint="default" w:asciiTheme="minorEastAsia" w:hAnsiTheme="minorEastAsia" w:eastAsiaTheme="minorEastAsia" w:cstheme="minorEastAsia"/>
                <w:color w:val="000000"/>
                <w:sz w:val="21"/>
                <w:szCs w:val="21"/>
                <w:lang w:val="en-US"/>
              </w:rPr>
            </w:pPr>
            <w:r>
              <w:rPr>
                <w:rFonts w:hint="default" w:asciiTheme="minorEastAsia" w:hAnsiTheme="minorEastAsia" w:eastAsiaTheme="minorEastAsia" w:cstheme="minorEastAsia"/>
                <w:color w:val="000000"/>
                <w:sz w:val="21"/>
                <w:szCs w:val="21"/>
                <w:lang w:val="en-US"/>
              </w:rPr>
              <w:t>0.15</w:t>
            </w:r>
          </w:p>
        </w:tc>
      </w:tr>
      <w:tr w14:paraId="4D80DD9B">
        <w:tblPrEx>
          <w:tblCellMar>
            <w:top w:w="0" w:type="dxa"/>
            <w:left w:w="0" w:type="dxa"/>
            <w:bottom w:w="0" w:type="dxa"/>
            <w:right w:w="0" w:type="dxa"/>
          </w:tblCellMar>
        </w:tblPrEx>
        <w:trPr>
          <w:trHeight w:val="454"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805F11">
            <w:pPr>
              <w:spacing w:after="0"/>
              <w:jc w:val="center"/>
              <w:textAlignment w:val="center"/>
              <w:rPr>
                <w:rFonts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4</w:t>
            </w:r>
          </w:p>
        </w:tc>
        <w:tc>
          <w:tcPr>
            <w:tcW w:w="1818"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5E7B9F9C">
            <w:pPr>
              <w:spacing w:after="0"/>
              <w:jc w:val="center"/>
              <w:textAlignment w:val="center"/>
              <w:rPr>
                <w:rFonts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合计</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8B8A61">
            <w:pPr>
              <w:spacing w:after="0"/>
              <w:jc w:val="center"/>
              <w:textAlignment w:val="center"/>
              <w:rPr>
                <w:rFonts w:hint="default" w:asciiTheme="minorEastAsia" w:hAnsiTheme="minorEastAsia" w:eastAsiaTheme="minorEastAsia" w:cstheme="minorEastAsia"/>
                <w:color w:val="000000"/>
                <w:sz w:val="21"/>
                <w:szCs w:val="21"/>
                <w:lang w:val="en-US"/>
              </w:rPr>
            </w:pPr>
            <w:r>
              <w:rPr>
                <w:rFonts w:hint="default" w:asciiTheme="minorEastAsia" w:hAnsiTheme="minorEastAsia" w:eastAsiaTheme="minorEastAsia" w:cstheme="minorEastAsia"/>
                <w:color w:val="000000"/>
                <w:sz w:val="21"/>
                <w:szCs w:val="21"/>
                <w:lang w:val="en-US"/>
              </w:rPr>
              <w:t>17.8</w:t>
            </w:r>
          </w:p>
        </w:tc>
        <w:tc>
          <w:tcPr>
            <w:tcW w:w="9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4ED960">
            <w:pPr>
              <w:spacing w:after="0"/>
              <w:jc w:val="center"/>
              <w:textAlignment w:val="center"/>
              <w:rPr>
                <w:rFonts w:hint="default" w:asciiTheme="minorEastAsia" w:hAnsiTheme="minorEastAsia" w:eastAsiaTheme="minorEastAsia" w:cstheme="minorEastAsia"/>
                <w:color w:val="000000"/>
                <w:sz w:val="21"/>
                <w:szCs w:val="21"/>
                <w:lang w:val="en-US"/>
              </w:rPr>
            </w:pPr>
            <w:r>
              <w:rPr>
                <w:rFonts w:hint="default" w:asciiTheme="minorEastAsia" w:hAnsiTheme="minorEastAsia" w:eastAsiaTheme="minorEastAsia" w:cstheme="minorEastAsia"/>
                <w:color w:val="000000"/>
                <w:sz w:val="21"/>
                <w:szCs w:val="21"/>
                <w:lang w:val="en-US"/>
              </w:rPr>
              <w:t>1.71</w:t>
            </w:r>
          </w:p>
        </w:tc>
        <w:tc>
          <w:tcPr>
            <w:tcW w:w="10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C0406E">
            <w:pPr>
              <w:spacing w:after="0"/>
              <w:jc w:val="center"/>
              <w:textAlignment w:val="center"/>
              <w:rPr>
                <w:rFonts w:hint="default" w:asciiTheme="minorEastAsia" w:hAnsiTheme="minorEastAsia" w:eastAsiaTheme="minorEastAsia" w:cstheme="minorEastAsia"/>
                <w:color w:val="000000"/>
                <w:sz w:val="21"/>
                <w:szCs w:val="21"/>
                <w:lang w:val="en-US"/>
              </w:rPr>
            </w:pPr>
            <w:r>
              <w:rPr>
                <w:rFonts w:hint="default" w:asciiTheme="minorEastAsia" w:hAnsiTheme="minorEastAsia" w:eastAsiaTheme="minorEastAsia" w:cstheme="minorEastAsia"/>
                <w:color w:val="000000"/>
                <w:sz w:val="21"/>
                <w:szCs w:val="21"/>
                <w:lang w:val="en-US"/>
              </w:rPr>
              <w:t>17.8</w:t>
            </w:r>
          </w:p>
        </w:tc>
        <w:tc>
          <w:tcPr>
            <w:tcW w:w="947"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23388F12">
            <w:pPr>
              <w:spacing w:after="0"/>
              <w:jc w:val="center"/>
              <w:textAlignment w:val="center"/>
              <w:rPr>
                <w:rFonts w:hint="default" w:asciiTheme="minorEastAsia" w:hAnsiTheme="minorEastAsia" w:eastAsiaTheme="minorEastAsia" w:cstheme="minorEastAsia"/>
                <w:color w:val="000000"/>
                <w:sz w:val="21"/>
                <w:szCs w:val="21"/>
                <w:lang w:val="en-US"/>
              </w:rPr>
            </w:pPr>
            <w:r>
              <w:rPr>
                <w:rFonts w:hint="default" w:asciiTheme="minorEastAsia" w:hAnsiTheme="minorEastAsia" w:eastAsiaTheme="minorEastAsia" w:cstheme="minorEastAsia"/>
                <w:color w:val="000000"/>
                <w:sz w:val="21"/>
                <w:szCs w:val="21"/>
                <w:lang w:val="en-US"/>
              </w:rPr>
              <w:t>7.18</w:t>
            </w:r>
          </w:p>
        </w:tc>
        <w:tc>
          <w:tcPr>
            <w:tcW w:w="1149"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1504E43C">
            <w:pPr>
              <w:spacing w:after="0"/>
              <w:ind w:firstLine="420" w:firstLineChars="200"/>
              <w:jc w:val="center"/>
              <w:textAlignment w:val="center"/>
              <w:rPr>
                <w:rFonts w:hint="default" w:asciiTheme="minorEastAsia" w:hAnsiTheme="minorEastAsia" w:eastAsiaTheme="minorEastAsia" w:cstheme="minorEastAsia"/>
                <w:color w:val="000000"/>
                <w:sz w:val="21"/>
                <w:szCs w:val="21"/>
                <w:lang w:val="en-US"/>
              </w:rPr>
            </w:pPr>
            <w:r>
              <w:rPr>
                <w:rFonts w:hint="default" w:asciiTheme="minorEastAsia" w:hAnsiTheme="minorEastAsia" w:eastAsiaTheme="minorEastAsia" w:cstheme="minorEastAsia"/>
                <w:color w:val="000000"/>
                <w:sz w:val="21"/>
                <w:szCs w:val="21"/>
                <w:lang w:val="en-US"/>
              </w:rPr>
              <w:t>0</w:t>
            </w:r>
          </w:p>
        </w:tc>
        <w:tc>
          <w:tcPr>
            <w:tcW w:w="115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1057FC59">
            <w:pPr>
              <w:spacing w:after="0"/>
              <w:jc w:val="center"/>
              <w:textAlignment w:val="center"/>
              <w:rPr>
                <w:rFonts w:hint="default" w:asciiTheme="minorEastAsia" w:hAnsiTheme="minorEastAsia" w:eastAsiaTheme="minorEastAsia" w:cstheme="minorEastAsia"/>
                <w:color w:val="000000"/>
                <w:sz w:val="21"/>
                <w:szCs w:val="21"/>
                <w:lang w:val="en-US"/>
              </w:rPr>
            </w:pPr>
            <w:r>
              <w:rPr>
                <w:rFonts w:hint="default" w:asciiTheme="minorEastAsia" w:hAnsiTheme="minorEastAsia" w:eastAsiaTheme="minorEastAsia" w:cstheme="minorEastAsia"/>
                <w:color w:val="000000"/>
                <w:sz w:val="21"/>
                <w:szCs w:val="21"/>
                <w:lang w:val="en-US"/>
              </w:rPr>
              <w:t>5.48</w:t>
            </w:r>
          </w:p>
        </w:tc>
      </w:tr>
    </w:tbl>
    <w:p w14:paraId="1FA2E089">
      <w:pPr>
        <w:spacing w:after="0" w:line="360" w:lineRule="auto"/>
        <w:ind w:firstLine="640" w:firstLineChars="200"/>
        <w:jc w:val="both"/>
        <w:rPr>
          <w:rFonts w:ascii="仿宋_GB2312" w:eastAsia="仿宋_GB2312" w:cs="DengXian-Regular"/>
          <w:sz w:val="32"/>
          <w:szCs w:val="32"/>
        </w:rPr>
      </w:pPr>
      <w:r>
        <w:rPr>
          <w:rFonts w:hint="eastAsia" w:ascii="仿宋_GB2312" w:eastAsia="仿宋_GB2312" w:cs="DengXian-Regular"/>
          <w:sz w:val="32"/>
          <w:szCs w:val="32"/>
        </w:rPr>
        <w:t>1、公务用车：202</w:t>
      </w:r>
      <w:r>
        <w:rPr>
          <w:rFonts w:ascii="仿宋_GB2312" w:eastAsia="仿宋_GB2312" w:cs="DengXian-Regular"/>
          <w:sz w:val="32"/>
          <w:szCs w:val="32"/>
        </w:rPr>
        <w:t>1</w:t>
      </w:r>
      <w:r>
        <w:rPr>
          <w:rFonts w:hint="eastAsia" w:ascii="仿宋_GB2312" w:eastAsia="仿宋_GB2312" w:cs="DengXian-Regular"/>
          <w:sz w:val="32"/>
          <w:szCs w:val="32"/>
        </w:rPr>
        <w:t>年底区</w:t>
      </w:r>
      <w:r>
        <w:rPr>
          <w:rFonts w:hint="eastAsia" w:ascii="仿宋_GB2312" w:eastAsia="仿宋_GB2312" w:cs="DengXian-Regular"/>
          <w:sz w:val="32"/>
          <w:szCs w:val="32"/>
          <w:lang w:eastAsia="zh-CN"/>
        </w:rPr>
        <w:t>政法委</w:t>
      </w:r>
      <w:r>
        <w:rPr>
          <w:rFonts w:hint="eastAsia" w:ascii="仿宋_GB2312" w:eastAsia="仿宋_GB2312" w:cs="DengXian-Regular"/>
          <w:sz w:val="32"/>
          <w:szCs w:val="32"/>
        </w:rPr>
        <w:t>车辆合计</w:t>
      </w:r>
      <w:r>
        <w:rPr>
          <w:rFonts w:hint="default" w:ascii="仿宋_GB2312" w:eastAsia="仿宋_GB2312" w:cs="DengXian-Regular"/>
          <w:sz w:val="32"/>
          <w:szCs w:val="32"/>
          <w:lang w:val="en-US"/>
        </w:rPr>
        <w:t>1</w:t>
      </w:r>
      <w:r>
        <w:rPr>
          <w:rFonts w:hint="eastAsia" w:ascii="仿宋_GB2312" w:eastAsia="仿宋_GB2312" w:cs="DengXian-Regular"/>
          <w:sz w:val="32"/>
          <w:szCs w:val="32"/>
        </w:rPr>
        <w:t>辆，其中</w:t>
      </w:r>
      <w:r>
        <w:rPr>
          <w:rFonts w:hint="eastAsia" w:ascii="仿宋_GB2312" w:eastAsia="仿宋_GB2312" w:cs="DengXian-Regular"/>
          <w:sz w:val="32"/>
          <w:szCs w:val="32"/>
          <w:lang w:eastAsia="zh-CN"/>
        </w:rPr>
        <w:t>公务</w:t>
      </w:r>
      <w:r>
        <w:rPr>
          <w:rFonts w:hint="eastAsia" w:ascii="仿宋_GB2312" w:eastAsia="仿宋_GB2312" w:cs="DengXian-Regular"/>
          <w:sz w:val="32"/>
          <w:szCs w:val="32"/>
        </w:rPr>
        <w:t>用车</w:t>
      </w:r>
      <w:r>
        <w:rPr>
          <w:rFonts w:hint="default" w:ascii="仿宋_GB2312" w:eastAsia="仿宋_GB2312" w:cs="DengXian-Regular"/>
          <w:sz w:val="32"/>
          <w:szCs w:val="32"/>
          <w:lang w:val="en-US"/>
        </w:rPr>
        <w:t>1</w:t>
      </w:r>
      <w:r>
        <w:rPr>
          <w:rFonts w:hint="eastAsia" w:ascii="仿宋_GB2312" w:eastAsia="仿宋_GB2312" w:cs="DengXian-Regular"/>
          <w:sz w:val="32"/>
          <w:szCs w:val="32"/>
        </w:rPr>
        <w:t>辆，其他用车</w:t>
      </w:r>
      <w:r>
        <w:rPr>
          <w:rFonts w:hint="default" w:ascii="仿宋_GB2312" w:eastAsia="仿宋_GB2312" w:cs="DengXian-Regular"/>
          <w:sz w:val="32"/>
          <w:szCs w:val="32"/>
          <w:lang w:val="en-US"/>
        </w:rPr>
        <w:t>0</w:t>
      </w:r>
      <w:r>
        <w:rPr>
          <w:rFonts w:hint="eastAsia" w:ascii="仿宋_GB2312" w:eastAsia="仿宋_GB2312" w:cs="DengXian-Regular"/>
          <w:sz w:val="32"/>
          <w:szCs w:val="32"/>
        </w:rPr>
        <w:t>辆。202</w:t>
      </w:r>
      <w:r>
        <w:rPr>
          <w:rFonts w:ascii="仿宋_GB2312" w:eastAsia="仿宋_GB2312" w:cs="DengXian-Regular"/>
          <w:sz w:val="32"/>
          <w:szCs w:val="32"/>
        </w:rPr>
        <w:t>1</w:t>
      </w:r>
      <w:r>
        <w:rPr>
          <w:rFonts w:hint="eastAsia" w:ascii="仿宋_GB2312" w:eastAsia="仿宋_GB2312" w:cs="DengXian-Regular"/>
          <w:sz w:val="32"/>
          <w:szCs w:val="32"/>
        </w:rPr>
        <w:t>年公务用车购置及运维费年初预算</w:t>
      </w:r>
      <w:r>
        <w:rPr>
          <w:rFonts w:hint="default" w:ascii="仿宋_GB2312" w:eastAsia="仿宋_GB2312" w:cs="DengXian-Regular"/>
          <w:sz w:val="32"/>
          <w:szCs w:val="32"/>
          <w:lang w:val="en-US"/>
        </w:rPr>
        <w:t>15</w:t>
      </w:r>
      <w:r>
        <w:rPr>
          <w:rFonts w:hint="eastAsia" w:ascii="仿宋_GB2312" w:eastAsia="仿宋_GB2312" w:cs="DengXian-Regular"/>
          <w:sz w:val="32"/>
          <w:szCs w:val="32"/>
        </w:rPr>
        <w:t>万元，全部为公务用车运行维护费，实际支出</w:t>
      </w:r>
      <w:r>
        <w:rPr>
          <w:rFonts w:hint="default" w:ascii="仿宋_GB2312" w:eastAsia="仿宋_GB2312" w:cs="DengXian-Regular"/>
          <w:sz w:val="32"/>
          <w:szCs w:val="32"/>
          <w:lang w:val="en-US"/>
        </w:rPr>
        <w:t>6.65</w:t>
      </w:r>
      <w:r>
        <w:rPr>
          <w:rFonts w:hint="eastAsia" w:ascii="仿宋_GB2312" w:eastAsia="仿宋_GB2312" w:cs="DengXian-Regular"/>
          <w:sz w:val="32"/>
          <w:szCs w:val="32"/>
        </w:rPr>
        <w:t>万元，比预算减少</w:t>
      </w:r>
      <w:r>
        <w:rPr>
          <w:rFonts w:hint="default" w:ascii="仿宋_GB2312" w:eastAsia="仿宋_GB2312" w:cs="DengXian-Regular"/>
          <w:sz w:val="32"/>
          <w:szCs w:val="32"/>
          <w:lang w:val="en-US"/>
        </w:rPr>
        <w:t>8.35</w:t>
      </w:r>
      <w:r>
        <w:rPr>
          <w:rFonts w:hint="eastAsia" w:ascii="仿宋_GB2312" w:eastAsia="仿宋_GB2312" w:cs="DengXian-Regular"/>
          <w:sz w:val="32"/>
          <w:szCs w:val="32"/>
        </w:rPr>
        <w:t>万元，节约率</w:t>
      </w:r>
      <w:r>
        <w:rPr>
          <w:rFonts w:hint="default" w:ascii="仿宋_GB2312" w:eastAsia="仿宋_GB2312" w:cs="DengXian-Regular"/>
          <w:sz w:val="32"/>
          <w:szCs w:val="32"/>
          <w:lang w:val="en-US"/>
        </w:rPr>
        <w:t>55.57</w:t>
      </w:r>
      <w:r>
        <w:rPr>
          <w:rFonts w:hint="eastAsia" w:ascii="仿宋_GB2312" w:eastAsia="仿宋_GB2312" w:cs="DengXian-Regular"/>
          <w:sz w:val="32"/>
          <w:szCs w:val="32"/>
        </w:rPr>
        <w:t>%。202</w:t>
      </w:r>
      <w:r>
        <w:rPr>
          <w:rFonts w:ascii="仿宋_GB2312" w:eastAsia="仿宋_GB2312" w:cs="DengXian-Regular"/>
          <w:sz w:val="32"/>
          <w:szCs w:val="32"/>
        </w:rPr>
        <w:t>1</w:t>
      </w:r>
      <w:r>
        <w:rPr>
          <w:rFonts w:hint="eastAsia" w:ascii="仿宋_GB2312" w:eastAsia="仿宋_GB2312" w:cs="DengXian-Regular"/>
          <w:sz w:val="32"/>
          <w:szCs w:val="32"/>
        </w:rPr>
        <w:t>年预算数与</w:t>
      </w:r>
      <w:r>
        <w:rPr>
          <w:rFonts w:ascii="仿宋_GB2312" w:eastAsia="仿宋_GB2312" w:cs="DengXian-Regular"/>
          <w:sz w:val="32"/>
          <w:szCs w:val="32"/>
        </w:rPr>
        <w:t>2020</w:t>
      </w:r>
      <w:r>
        <w:rPr>
          <w:rFonts w:hint="eastAsia" w:ascii="仿宋_GB2312" w:eastAsia="仿宋_GB2312" w:cs="DengXian-Regular"/>
          <w:sz w:val="32"/>
          <w:szCs w:val="32"/>
        </w:rPr>
        <w:t>年预算相比无变化，决算数与</w:t>
      </w:r>
      <w:r>
        <w:rPr>
          <w:rFonts w:ascii="仿宋_GB2312" w:eastAsia="仿宋_GB2312" w:cs="DengXian-Regular"/>
          <w:sz w:val="32"/>
          <w:szCs w:val="32"/>
        </w:rPr>
        <w:t>2020</w:t>
      </w:r>
      <w:r>
        <w:rPr>
          <w:rFonts w:hint="eastAsia" w:ascii="仿宋_GB2312" w:eastAsia="仿宋_GB2312" w:cs="DengXian-Regular"/>
          <w:sz w:val="32"/>
          <w:szCs w:val="32"/>
        </w:rPr>
        <w:t>年实际支出相比，</w:t>
      </w:r>
      <w:r>
        <w:rPr>
          <w:rFonts w:hint="eastAsia" w:ascii="仿宋_GB2312" w:eastAsia="仿宋_GB2312" w:cs="DengXian-Regular"/>
          <w:sz w:val="32"/>
          <w:szCs w:val="32"/>
          <w:lang w:eastAsia="zh-CN"/>
        </w:rPr>
        <w:t>增加</w:t>
      </w:r>
      <w:r>
        <w:rPr>
          <w:rFonts w:hint="default" w:ascii="仿宋_GB2312" w:eastAsia="仿宋_GB2312" w:cs="DengXian-Regular"/>
          <w:sz w:val="32"/>
          <w:szCs w:val="32"/>
          <w:lang w:val="en-US" w:eastAsia="zh-CN"/>
        </w:rPr>
        <w:t>5.33</w:t>
      </w:r>
      <w:r>
        <w:rPr>
          <w:rFonts w:hint="eastAsia" w:ascii="仿宋_GB2312" w:eastAsia="仿宋_GB2312" w:cs="DengXian-Regular"/>
          <w:sz w:val="32"/>
          <w:szCs w:val="32"/>
        </w:rPr>
        <w:t>万元。</w:t>
      </w:r>
    </w:p>
    <w:p w14:paraId="7B630914">
      <w:pPr>
        <w:spacing w:after="0" w:line="360" w:lineRule="auto"/>
        <w:ind w:firstLine="640" w:firstLineChars="200"/>
        <w:jc w:val="both"/>
        <w:rPr>
          <w:rFonts w:ascii="仿宋_GB2312" w:eastAsia="仿宋_GB2312" w:cs="DengXian-Regular"/>
          <w:sz w:val="32"/>
          <w:szCs w:val="32"/>
        </w:rPr>
      </w:pPr>
      <w:r>
        <w:rPr>
          <w:rFonts w:hint="eastAsia" w:ascii="仿宋_GB2312" w:eastAsia="仿宋_GB2312" w:cs="DengXian-Regular"/>
          <w:sz w:val="32"/>
          <w:szCs w:val="32"/>
        </w:rPr>
        <w:t>2、公务接待：202</w:t>
      </w:r>
      <w:r>
        <w:rPr>
          <w:rFonts w:ascii="仿宋_GB2312" w:eastAsia="仿宋_GB2312" w:cs="DengXian-Regular"/>
          <w:sz w:val="32"/>
          <w:szCs w:val="32"/>
        </w:rPr>
        <w:t>1</w:t>
      </w:r>
      <w:r>
        <w:rPr>
          <w:rFonts w:hint="eastAsia" w:ascii="仿宋_GB2312" w:eastAsia="仿宋_GB2312" w:cs="DengXian-Regular"/>
          <w:sz w:val="32"/>
          <w:szCs w:val="32"/>
        </w:rPr>
        <w:t>年区</w:t>
      </w:r>
      <w:r>
        <w:rPr>
          <w:rFonts w:hint="eastAsia" w:ascii="仿宋_GB2312" w:eastAsia="仿宋_GB2312" w:cs="DengXian-Regular"/>
          <w:sz w:val="32"/>
          <w:szCs w:val="32"/>
          <w:lang w:eastAsia="zh-CN"/>
        </w:rPr>
        <w:t>政法委</w:t>
      </w:r>
      <w:r>
        <w:rPr>
          <w:rFonts w:hint="eastAsia" w:ascii="仿宋_GB2312" w:eastAsia="仿宋_GB2312" w:cs="DengXian-Regular"/>
          <w:sz w:val="32"/>
          <w:szCs w:val="32"/>
        </w:rPr>
        <w:t>公务接待费年初预算</w:t>
      </w:r>
      <w:r>
        <w:rPr>
          <w:rFonts w:hint="default" w:ascii="仿宋_GB2312" w:eastAsia="仿宋_GB2312" w:cs="DengXian-Regular"/>
          <w:sz w:val="32"/>
          <w:szCs w:val="32"/>
          <w:lang w:val="en-US"/>
        </w:rPr>
        <w:t>2.8</w:t>
      </w:r>
      <w:r>
        <w:rPr>
          <w:rFonts w:hint="eastAsia" w:ascii="仿宋_GB2312" w:eastAsia="仿宋_GB2312" w:cs="DengXian-Regular"/>
          <w:sz w:val="32"/>
          <w:szCs w:val="32"/>
        </w:rPr>
        <w:t>万元，实际支出</w:t>
      </w:r>
      <w:r>
        <w:rPr>
          <w:rFonts w:hint="default" w:ascii="仿宋_GB2312" w:eastAsia="仿宋_GB2312" w:cs="DengXian-Regular"/>
          <w:sz w:val="32"/>
          <w:szCs w:val="32"/>
          <w:lang w:val="en-US"/>
        </w:rPr>
        <w:t>0.54</w:t>
      </w:r>
      <w:r>
        <w:rPr>
          <w:rFonts w:hint="eastAsia" w:ascii="仿宋_GB2312" w:eastAsia="仿宋_GB2312" w:cs="DengXian-Regular"/>
          <w:sz w:val="32"/>
          <w:szCs w:val="32"/>
        </w:rPr>
        <w:t>万元，比预算减少了</w:t>
      </w:r>
      <w:r>
        <w:rPr>
          <w:rFonts w:hint="default" w:ascii="仿宋_GB2312" w:eastAsia="仿宋_GB2312" w:cs="DengXian-Regular"/>
          <w:sz w:val="32"/>
          <w:szCs w:val="32"/>
          <w:lang w:val="en-US"/>
        </w:rPr>
        <w:t>2.26</w:t>
      </w:r>
      <w:r>
        <w:rPr>
          <w:rFonts w:hint="eastAsia" w:ascii="仿宋_GB2312" w:eastAsia="仿宋_GB2312" w:cs="DengXian-Regular"/>
          <w:sz w:val="32"/>
          <w:szCs w:val="32"/>
        </w:rPr>
        <w:t>万元，节约率</w:t>
      </w:r>
      <w:r>
        <w:rPr>
          <w:rFonts w:hint="default" w:ascii="仿宋_GB2312" w:eastAsia="仿宋_GB2312" w:cs="DengXian-Regular"/>
          <w:sz w:val="32"/>
          <w:szCs w:val="32"/>
          <w:lang w:val="en-US"/>
        </w:rPr>
        <w:t>80.71</w:t>
      </w:r>
      <w:r>
        <w:rPr>
          <w:rFonts w:hint="eastAsia" w:ascii="仿宋_GB2312" w:eastAsia="仿宋_GB2312" w:cs="DengXian-Regular"/>
          <w:sz w:val="32"/>
          <w:szCs w:val="32"/>
        </w:rPr>
        <w:t>%。202</w:t>
      </w:r>
      <w:r>
        <w:rPr>
          <w:rFonts w:ascii="仿宋_GB2312" w:eastAsia="仿宋_GB2312" w:cs="DengXian-Regular"/>
          <w:sz w:val="32"/>
          <w:szCs w:val="32"/>
        </w:rPr>
        <w:t>1</w:t>
      </w:r>
      <w:r>
        <w:rPr>
          <w:rFonts w:hint="eastAsia" w:ascii="仿宋_GB2312" w:eastAsia="仿宋_GB2312" w:cs="DengXian-Regular"/>
          <w:sz w:val="32"/>
          <w:szCs w:val="32"/>
        </w:rPr>
        <w:t>年预算数与</w:t>
      </w:r>
      <w:r>
        <w:rPr>
          <w:rFonts w:ascii="仿宋_GB2312" w:eastAsia="仿宋_GB2312" w:cs="DengXian-Regular"/>
          <w:sz w:val="32"/>
          <w:szCs w:val="32"/>
        </w:rPr>
        <w:t>2020</w:t>
      </w:r>
      <w:r>
        <w:rPr>
          <w:rFonts w:hint="eastAsia" w:ascii="仿宋_GB2312" w:eastAsia="仿宋_GB2312" w:cs="DengXian-Regular"/>
          <w:sz w:val="32"/>
          <w:szCs w:val="32"/>
        </w:rPr>
        <w:t>年预算相比无变化，决算数与</w:t>
      </w:r>
      <w:r>
        <w:rPr>
          <w:rFonts w:ascii="仿宋_GB2312" w:eastAsia="仿宋_GB2312" w:cs="DengXian-Regular"/>
          <w:sz w:val="32"/>
          <w:szCs w:val="32"/>
        </w:rPr>
        <w:t>2020</w:t>
      </w:r>
      <w:r>
        <w:rPr>
          <w:rFonts w:hint="eastAsia" w:ascii="仿宋_GB2312" w:eastAsia="仿宋_GB2312" w:cs="DengXian-Regular"/>
          <w:sz w:val="32"/>
          <w:szCs w:val="32"/>
        </w:rPr>
        <w:t>年实际支出相比，增加</w:t>
      </w:r>
      <w:r>
        <w:rPr>
          <w:rFonts w:hint="default" w:ascii="仿宋_GB2312" w:eastAsia="仿宋_GB2312" w:cs="DengXian-Regular"/>
          <w:sz w:val="32"/>
          <w:szCs w:val="32"/>
          <w:lang w:val="en-US"/>
        </w:rPr>
        <w:t>0.15</w:t>
      </w:r>
      <w:r>
        <w:rPr>
          <w:rFonts w:hint="eastAsia" w:ascii="仿宋_GB2312" w:eastAsia="仿宋_GB2312" w:cs="DengXian-Regular"/>
          <w:sz w:val="32"/>
          <w:szCs w:val="32"/>
        </w:rPr>
        <w:t>万元。</w:t>
      </w:r>
    </w:p>
    <w:p w14:paraId="7DCB996E">
      <w:pPr>
        <w:pStyle w:val="3"/>
        <w:spacing w:before="0" w:after="0" w:line="360" w:lineRule="auto"/>
        <w:ind w:firstLine="643" w:firstLineChars="200"/>
        <w:rPr>
          <w:rFonts w:ascii="黑体" w:hAnsiTheme="minorEastAsia"/>
          <w:u w:color="000000"/>
        </w:rPr>
      </w:pPr>
      <w:bookmarkStart w:id="16" w:name="_Toc20454"/>
      <w:bookmarkStart w:id="17" w:name="_Toc492652770"/>
      <w:bookmarkStart w:id="18" w:name="_Toc465149504"/>
      <w:r>
        <w:rPr>
          <w:rFonts w:hint="eastAsia" w:ascii="黑体"/>
        </w:rPr>
        <w:t>二、部门整体支出绩效评价指标体系设定情况</w:t>
      </w:r>
      <w:bookmarkEnd w:id="16"/>
      <w:bookmarkEnd w:id="17"/>
    </w:p>
    <w:p w14:paraId="3E84AC6E">
      <w:pPr>
        <w:spacing w:after="0" w:line="360" w:lineRule="auto"/>
        <w:ind w:firstLine="640" w:firstLineChars="200"/>
        <w:jc w:val="both"/>
        <w:rPr>
          <w:rFonts w:ascii="仿宋_GB2312" w:eastAsia="仿宋_GB2312" w:cs="DengXian-Regular"/>
          <w:sz w:val="32"/>
          <w:szCs w:val="32"/>
        </w:rPr>
      </w:pPr>
      <w:r>
        <w:rPr>
          <w:rFonts w:hint="eastAsia" w:ascii="仿宋_GB2312" w:eastAsia="仿宋_GB2312" w:cs="DengXian-Regular"/>
          <w:sz w:val="32"/>
          <w:szCs w:val="32"/>
        </w:rPr>
        <w:t>根据绩效预算管理改革的有关政策和文件规定，并与区</w:t>
      </w:r>
      <w:r>
        <w:rPr>
          <w:rFonts w:hint="eastAsia" w:ascii="仿宋_GB2312" w:eastAsia="仿宋_GB2312" w:cs="DengXian-Regular"/>
          <w:sz w:val="32"/>
          <w:szCs w:val="32"/>
          <w:lang w:eastAsia="zh-CN"/>
        </w:rPr>
        <w:t>委政法委</w:t>
      </w:r>
      <w:r>
        <w:rPr>
          <w:rFonts w:hint="eastAsia" w:ascii="仿宋_GB2312" w:eastAsia="仿宋_GB2312" w:cs="DengXian-Regular"/>
          <w:sz w:val="32"/>
          <w:szCs w:val="32"/>
        </w:rPr>
        <w:t>沟通，绩效评价工作组以绩效预算架构为指导，以部门预算文本及相关资料为基础，制定了部门整体支出绩效评价指标体系。</w:t>
      </w:r>
    </w:p>
    <w:p w14:paraId="4B0158A3">
      <w:pPr>
        <w:spacing w:after="0" w:line="360" w:lineRule="auto"/>
        <w:ind w:firstLine="640" w:firstLineChars="200"/>
        <w:jc w:val="both"/>
        <w:rPr>
          <w:rFonts w:ascii="仿宋_GB2312" w:eastAsia="仿宋_GB2312" w:cs="DengXian-Regular"/>
          <w:sz w:val="32"/>
          <w:szCs w:val="32"/>
        </w:rPr>
      </w:pPr>
      <w:r>
        <w:rPr>
          <w:rFonts w:hint="eastAsia" w:ascii="仿宋_GB2312" w:eastAsia="仿宋_GB2312" w:cs="DengXian-Regular"/>
          <w:sz w:val="32"/>
          <w:szCs w:val="32"/>
        </w:rPr>
        <w:t>部门整体支出绩效评价指标体系设置一级指标4个，二级指标7个，三级指标27个（详见附件3）。指标体系设定满分100分，绩效评价分值≥90为“优”；80≤分值＜90为“良”；60≤分值＜80为“中”；60分以下为“差”。评价指标体系具体构成如下：</w:t>
      </w:r>
      <w:bookmarkStart w:id="19" w:name="_Toc9569"/>
      <w:bookmarkStart w:id="20" w:name="_Toc492652771"/>
    </w:p>
    <w:p w14:paraId="61919CBF">
      <w:pPr>
        <w:spacing w:after="0" w:line="360" w:lineRule="auto"/>
        <w:ind w:firstLine="643" w:firstLineChars="200"/>
        <w:jc w:val="both"/>
        <w:rPr>
          <w:rFonts w:ascii="楷体_GB2312" w:eastAsia="楷体_GB2312" w:cs="Times New Roman" w:hAnsiTheme="minorEastAsia"/>
          <w:b/>
          <w:bCs/>
          <w:kern w:val="2"/>
          <w:sz w:val="32"/>
          <w:szCs w:val="32"/>
          <w:u w:color="000000"/>
        </w:rPr>
      </w:pPr>
      <w:r>
        <w:rPr>
          <w:rFonts w:hint="eastAsia" w:ascii="楷体_GB2312" w:eastAsia="楷体_GB2312" w:cs="Times New Roman" w:hAnsiTheme="minorEastAsia"/>
          <w:b/>
          <w:bCs/>
          <w:kern w:val="2"/>
          <w:sz w:val="32"/>
          <w:szCs w:val="32"/>
          <w:u w:color="000000"/>
        </w:rPr>
        <w:t>（一）投入（12分）</w:t>
      </w:r>
      <w:bookmarkEnd w:id="19"/>
      <w:bookmarkEnd w:id="20"/>
    </w:p>
    <w:p w14:paraId="19BDE2D4">
      <w:pPr>
        <w:spacing w:after="0" w:line="360" w:lineRule="auto"/>
        <w:ind w:firstLine="640" w:firstLineChars="200"/>
        <w:jc w:val="both"/>
        <w:rPr>
          <w:rFonts w:ascii="仿宋_GB2312" w:eastAsia="仿宋_GB2312" w:cs="DengXian-Regular"/>
          <w:sz w:val="32"/>
          <w:szCs w:val="32"/>
        </w:rPr>
      </w:pPr>
      <w:r>
        <w:rPr>
          <w:rFonts w:hint="eastAsia" w:ascii="仿宋_GB2312" w:eastAsia="仿宋_GB2312" w:cs="DengXian-Regular"/>
          <w:sz w:val="32"/>
          <w:szCs w:val="32"/>
        </w:rPr>
        <w:t>主要反映绩效目标设定是否合理、科学，绩效指标的制定是否清晰、可衡量，预算编制是否完整，项目预算是否细化及在职人员控制情况。</w:t>
      </w:r>
    </w:p>
    <w:p w14:paraId="0C5DC4B1">
      <w:pPr>
        <w:keepNext/>
        <w:widowControl w:val="0"/>
        <w:spacing w:after="0" w:line="360" w:lineRule="auto"/>
        <w:ind w:firstLine="640" w:firstLineChars="200"/>
        <w:jc w:val="both"/>
        <w:rPr>
          <w:rFonts w:ascii="仿宋_GB2312" w:eastAsia="仿宋_GB2312" w:cs="DengXian-Regular"/>
          <w:sz w:val="32"/>
          <w:szCs w:val="32"/>
        </w:rPr>
      </w:pPr>
      <w:r>
        <w:rPr>
          <w:rFonts w:hint="eastAsia" w:ascii="仿宋_GB2312" w:eastAsia="仿宋_GB2312" w:cs="DengXian-Regular"/>
          <w:sz w:val="32"/>
          <w:szCs w:val="32"/>
        </w:rPr>
        <w:t>投入指标指标分值为12分，下设2个二级指标：绩效目标设定和预算配置，6个三级指标：绩效目标合理性、绩效目标科学性、绩效指标明确性、预算编制完整性、项目预算细化率、在职人员控制率。</w:t>
      </w:r>
    </w:p>
    <w:p w14:paraId="498AD8C0">
      <w:pPr>
        <w:pStyle w:val="4"/>
        <w:spacing w:before="0" w:after="0"/>
        <w:ind w:firstLine="643" w:firstLineChars="200"/>
        <w:jc w:val="both"/>
        <w:rPr>
          <w:rFonts w:ascii="楷体" w:hAnsi="楷体" w:eastAsia="楷体"/>
          <w:sz w:val="32"/>
        </w:rPr>
      </w:pPr>
      <w:bookmarkStart w:id="21" w:name="_Toc30221"/>
      <w:bookmarkStart w:id="22" w:name="_Toc492652772"/>
      <w:r>
        <w:rPr>
          <w:rFonts w:hint="eastAsia" w:ascii="楷体" w:hAnsi="楷体" w:eastAsia="楷体"/>
          <w:kern w:val="2"/>
          <w:sz w:val="32"/>
        </w:rPr>
        <w:t>（二）过程（48分）</w:t>
      </w:r>
      <w:bookmarkEnd w:id="21"/>
      <w:bookmarkEnd w:id="22"/>
    </w:p>
    <w:p w14:paraId="4D05A0C2">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主要反映预算调整、收入及支出完成情况，“三公”经费、政府采购执行情况，财务管理是否规范、资金使用是否合规，决算真实性。</w:t>
      </w:r>
    </w:p>
    <w:p w14:paraId="5836CBCA">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过程指标指标分值为48分，下设3个二级指标：预算执行、预算管理和绩效评价，14个三级指标：预算收入调整率、收入完成率、预算支出调整率、财政拨款支出完成率、“三公”经费控制率、政府采购执行率、资金使用合规性、决算真实性、管理制度健全性、预决算信息公开性、基础信息完整性、资产管理规范性、绩效自评覆盖率、绩效评价优等率。</w:t>
      </w:r>
    </w:p>
    <w:p w14:paraId="60E76578">
      <w:pPr>
        <w:pStyle w:val="4"/>
        <w:spacing w:before="0" w:after="0"/>
        <w:ind w:firstLine="643" w:firstLineChars="200"/>
        <w:jc w:val="both"/>
        <w:rPr>
          <w:rFonts w:ascii="楷体" w:hAnsi="楷体" w:eastAsia="楷体"/>
          <w:kern w:val="2"/>
          <w:sz w:val="32"/>
        </w:rPr>
      </w:pPr>
      <w:bookmarkStart w:id="23" w:name="_Toc492652773"/>
      <w:bookmarkStart w:id="24" w:name="_Toc24932"/>
      <w:r>
        <w:rPr>
          <w:rFonts w:hint="eastAsia" w:ascii="楷体" w:hAnsi="楷体" w:eastAsia="楷体"/>
          <w:kern w:val="2"/>
          <w:sz w:val="32"/>
        </w:rPr>
        <w:t>（三）产出（25分）</w:t>
      </w:r>
      <w:bookmarkEnd w:id="23"/>
      <w:bookmarkEnd w:id="24"/>
    </w:p>
    <w:p w14:paraId="496A4346">
      <w:pPr>
        <w:spacing w:after="0" w:line="360" w:lineRule="auto"/>
        <w:ind w:firstLine="640" w:firstLineChars="200"/>
        <w:jc w:val="both"/>
        <w:textAlignment w:val="baseline"/>
        <w:rPr>
          <w:rFonts w:ascii="仿宋_GB2312" w:eastAsia="仿宋_GB2312" w:cs="DengXian-Regular"/>
          <w:sz w:val="32"/>
          <w:szCs w:val="32"/>
        </w:rPr>
      </w:pPr>
      <w:bookmarkStart w:id="25" w:name="_Toc492652774"/>
      <w:r>
        <w:rPr>
          <w:rFonts w:hint="eastAsia" w:ascii="仿宋_GB2312" w:eastAsia="仿宋_GB2312" w:cs="DengXian-Regular"/>
          <w:sz w:val="32"/>
          <w:szCs w:val="32"/>
        </w:rPr>
        <w:t>主要反映结转结余率，项目资金使用率。</w:t>
      </w:r>
    </w:p>
    <w:p w14:paraId="20722C56">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产出指标指标分值为25分，下设1个二级指标：责任履行，</w:t>
      </w:r>
      <w:r>
        <w:rPr>
          <w:rFonts w:hint="default" w:ascii="仿宋_GB2312" w:eastAsia="仿宋_GB2312" w:cs="DengXian-Regular"/>
          <w:sz w:val="32"/>
          <w:szCs w:val="32"/>
          <w:lang w:val="en-US"/>
        </w:rPr>
        <w:t>2</w:t>
      </w:r>
      <w:r>
        <w:rPr>
          <w:rFonts w:hint="eastAsia" w:ascii="仿宋_GB2312" w:eastAsia="仿宋_GB2312" w:cs="DengXian-Regular"/>
          <w:sz w:val="32"/>
          <w:szCs w:val="32"/>
        </w:rPr>
        <w:t>个三级指标：结转结余率、项目资金使用率。</w:t>
      </w:r>
    </w:p>
    <w:p w14:paraId="5BD0368C">
      <w:pPr>
        <w:pStyle w:val="4"/>
        <w:spacing w:before="0" w:after="0"/>
        <w:ind w:firstLine="643" w:firstLineChars="200"/>
        <w:jc w:val="both"/>
        <w:rPr>
          <w:rFonts w:ascii="楷体_GB2312" w:eastAsia="楷体_GB2312" w:hAnsiTheme="minorEastAsia"/>
          <w:sz w:val="32"/>
        </w:rPr>
      </w:pPr>
      <w:bookmarkStart w:id="26" w:name="_Toc21821"/>
      <w:r>
        <w:rPr>
          <w:rFonts w:hint="eastAsia" w:ascii="楷体_GB2312" w:eastAsia="楷体_GB2312" w:hAnsiTheme="minorEastAsia"/>
          <w:kern w:val="2"/>
          <w:sz w:val="32"/>
        </w:rPr>
        <w:t>（四）效果（15分）</w:t>
      </w:r>
      <w:bookmarkEnd w:id="25"/>
      <w:bookmarkEnd w:id="26"/>
    </w:p>
    <w:p w14:paraId="4CB1A2D5">
      <w:pPr>
        <w:spacing w:after="0" w:line="360" w:lineRule="auto"/>
        <w:ind w:firstLine="640" w:firstLineChars="200"/>
        <w:jc w:val="both"/>
        <w:textAlignment w:val="baseline"/>
        <w:rPr>
          <w:rFonts w:ascii="仿宋_GB2312" w:eastAsia="仿宋_GB2312" w:cs="DengXian-Regular"/>
          <w:sz w:val="32"/>
          <w:szCs w:val="32"/>
        </w:rPr>
      </w:pPr>
      <w:bookmarkStart w:id="27" w:name="_Toc492652775"/>
      <w:r>
        <w:rPr>
          <w:rFonts w:hint="eastAsia" w:ascii="仿宋_GB2312" w:eastAsia="仿宋_GB2312" w:cs="DengXian-Regular"/>
          <w:sz w:val="32"/>
          <w:szCs w:val="32"/>
        </w:rPr>
        <w:t>主要反映部门履行职责对社会发展所带来的直接或间接效益及社会公众或部门的服务对象对部门履职效果的满意程度。</w:t>
      </w:r>
    </w:p>
    <w:p w14:paraId="58E52A89">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效果指标指标分值15分，下设1个二级指标：履职效率，2个三级指标：部门整体效益和考核满意度。</w:t>
      </w:r>
    </w:p>
    <w:p w14:paraId="18760622">
      <w:pPr>
        <w:pStyle w:val="3"/>
        <w:spacing w:before="0" w:after="0" w:line="360" w:lineRule="auto"/>
        <w:ind w:firstLine="643" w:firstLineChars="200"/>
        <w:rPr>
          <w:rFonts w:ascii="黑体"/>
        </w:rPr>
      </w:pPr>
      <w:bookmarkStart w:id="28" w:name="_Toc11842"/>
      <w:r>
        <w:rPr>
          <w:rFonts w:hint="eastAsia" w:ascii="黑体"/>
        </w:rPr>
        <w:t>三、综合绩效评价工作情况</w:t>
      </w:r>
      <w:bookmarkEnd w:id="18"/>
      <w:bookmarkEnd w:id="27"/>
      <w:bookmarkEnd w:id="28"/>
      <w:bookmarkStart w:id="29" w:name="_Toc465149505"/>
      <w:bookmarkStart w:id="30" w:name="_Toc492652776"/>
    </w:p>
    <w:p w14:paraId="3B1A1025">
      <w:pPr>
        <w:pStyle w:val="4"/>
        <w:spacing w:before="0" w:after="0"/>
        <w:ind w:firstLine="643" w:firstLineChars="200"/>
        <w:jc w:val="both"/>
        <w:rPr>
          <w:rFonts w:ascii="楷体_GB2312" w:eastAsia="楷体_GB2312" w:hAnsiTheme="minorEastAsia"/>
          <w:sz w:val="32"/>
        </w:rPr>
      </w:pPr>
      <w:bookmarkStart w:id="31" w:name="_Toc17138"/>
      <w:r>
        <w:rPr>
          <w:rFonts w:hint="eastAsia" w:ascii="楷体_GB2312" w:eastAsia="楷体_GB2312" w:hAnsiTheme="minorEastAsia"/>
          <w:kern w:val="2"/>
          <w:sz w:val="32"/>
        </w:rPr>
        <w:t>（一）绩效评价目的</w:t>
      </w:r>
      <w:bookmarkEnd w:id="29"/>
      <w:bookmarkEnd w:id="30"/>
      <w:bookmarkEnd w:id="31"/>
    </w:p>
    <w:p w14:paraId="79C5B845">
      <w:pPr>
        <w:spacing w:after="0" w:line="360" w:lineRule="auto"/>
        <w:ind w:firstLine="640" w:firstLineChars="200"/>
        <w:jc w:val="both"/>
        <w:textAlignment w:val="baseline"/>
        <w:rPr>
          <w:rFonts w:ascii="仿宋_GB2312" w:eastAsia="仿宋_GB2312" w:cs="DengXian-Regular"/>
          <w:sz w:val="32"/>
          <w:szCs w:val="32"/>
        </w:rPr>
      </w:pPr>
      <w:bookmarkStart w:id="32" w:name="_Toc465149506"/>
      <w:bookmarkStart w:id="33" w:name="_Toc492652777"/>
      <w:r>
        <w:rPr>
          <w:rFonts w:hint="eastAsia" w:ascii="仿宋_GB2312" w:eastAsia="仿宋_GB2312" w:cs="DengXian-Regular"/>
          <w:sz w:val="32"/>
          <w:szCs w:val="32"/>
        </w:rPr>
        <w:t>通过对区</w:t>
      </w:r>
      <w:r>
        <w:rPr>
          <w:rFonts w:hint="eastAsia" w:ascii="仿宋_GB2312" w:eastAsia="仿宋_GB2312" w:cs="DengXian-Regular"/>
          <w:sz w:val="32"/>
          <w:szCs w:val="32"/>
          <w:lang w:eastAsia="zh-CN"/>
        </w:rPr>
        <w:t>委政法委</w:t>
      </w:r>
      <w:r>
        <w:rPr>
          <w:rFonts w:hint="eastAsia" w:ascii="仿宋_GB2312" w:eastAsia="仿宋_GB2312" w:cs="DengXian-Regular"/>
          <w:sz w:val="32"/>
          <w:szCs w:val="32"/>
        </w:rPr>
        <w:t>202</w:t>
      </w:r>
      <w:r>
        <w:rPr>
          <w:rFonts w:ascii="仿宋_GB2312" w:eastAsia="仿宋_GB2312" w:cs="DengXian-Regular"/>
          <w:sz w:val="32"/>
          <w:szCs w:val="32"/>
        </w:rPr>
        <w:t>1</w:t>
      </w:r>
      <w:r>
        <w:rPr>
          <w:rFonts w:hint="eastAsia" w:ascii="仿宋_GB2312" w:eastAsia="仿宋_GB2312" w:cs="DengXian-Regular"/>
          <w:sz w:val="32"/>
          <w:szCs w:val="32"/>
        </w:rPr>
        <w:t>年部门整体支出绩效评价，了解部门整体资金预算情况、实际收支情况及结转结余情况；绩效目标和指标的设置及完成情况；部门履职对社会发展所带来的直接或间接影响及服务对象对部门履职效果的满意程度。</w:t>
      </w:r>
    </w:p>
    <w:p w14:paraId="3EF90839">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部门整体支出绩效评价工作促使相关部门根据绩效评价过程中发现的问题，及时整改并总结经验，提高部门管理水平，牢固树立预算绩效理念，强化部门支出责任，提高预算执行效率和财政资金使用效益。</w:t>
      </w:r>
    </w:p>
    <w:p w14:paraId="7A586D03">
      <w:pPr>
        <w:pStyle w:val="4"/>
        <w:spacing w:before="0" w:after="0"/>
        <w:ind w:firstLine="643" w:firstLineChars="200"/>
        <w:jc w:val="both"/>
        <w:rPr>
          <w:rFonts w:ascii="楷体_GB2312" w:eastAsia="楷体_GB2312" w:hAnsiTheme="minorEastAsia"/>
          <w:kern w:val="2"/>
          <w:sz w:val="32"/>
        </w:rPr>
      </w:pPr>
      <w:bookmarkStart w:id="34" w:name="_Toc11607"/>
      <w:r>
        <w:rPr>
          <w:rFonts w:hint="eastAsia" w:ascii="楷体_GB2312" w:eastAsia="楷体_GB2312" w:hAnsiTheme="minorEastAsia"/>
          <w:kern w:val="2"/>
          <w:sz w:val="32"/>
        </w:rPr>
        <w:t>（二）绩效评价依据</w:t>
      </w:r>
      <w:bookmarkEnd w:id="32"/>
      <w:bookmarkEnd w:id="33"/>
      <w:bookmarkEnd w:id="34"/>
    </w:p>
    <w:p w14:paraId="732C73EF">
      <w:pPr>
        <w:spacing w:after="0" w:line="360" w:lineRule="auto"/>
        <w:ind w:firstLine="640" w:firstLineChars="200"/>
        <w:jc w:val="both"/>
        <w:textAlignment w:val="baseline"/>
        <w:rPr>
          <w:rFonts w:ascii="仿宋_GB2312" w:eastAsia="仿宋_GB2312" w:cs="DengXian-Regular"/>
          <w:sz w:val="32"/>
          <w:szCs w:val="32"/>
        </w:rPr>
      </w:pPr>
      <w:bookmarkStart w:id="35" w:name="_Toc465149507"/>
      <w:r>
        <w:rPr>
          <w:rFonts w:hint="eastAsia" w:ascii="仿宋_GB2312" w:eastAsia="仿宋_GB2312" w:cs="DengXian-Regular"/>
          <w:sz w:val="32"/>
          <w:szCs w:val="32"/>
        </w:rPr>
        <w:t>1.</w:t>
      </w:r>
      <w:r>
        <w:rPr>
          <w:rFonts w:ascii="仿宋_GB2312" w:eastAsia="仿宋_GB2312" w:cs="DengXian-Regular"/>
          <w:sz w:val="32"/>
          <w:szCs w:val="32"/>
        </w:rPr>
        <w:t>《中华人民共和国预算法》；</w:t>
      </w:r>
    </w:p>
    <w:p w14:paraId="1B790E49">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2.中共中央国务院《关于全面实施预算绩效管理的意见》（中发〔2018〕34号）；</w:t>
      </w:r>
    </w:p>
    <w:p w14:paraId="2824E595">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3.</w:t>
      </w:r>
      <w:r>
        <w:rPr>
          <w:rFonts w:ascii="仿宋_GB2312" w:eastAsia="仿宋_GB2312" w:cs="DengXian-Regular"/>
          <w:sz w:val="32"/>
          <w:szCs w:val="32"/>
        </w:rPr>
        <w:t>《河北省财政支出绩效评价管理办法》（冀财预</w:t>
      </w:r>
      <w:r>
        <w:rPr>
          <w:rFonts w:hint="eastAsia" w:ascii="仿宋_GB2312" w:eastAsia="仿宋_GB2312" w:cs="DengXian-Regular"/>
          <w:sz w:val="32"/>
          <w:szCs w:val="32"/>
        </w:rPr>
        <w:t xml:space="preserve">〔2011〕68号）； </w:t>
      </w:r>
    </w:p>
    <w:p w14:paraId="6255C48A">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4.中共河北省委河北省人民政府</w:t>
      </w:r>
      <w:r>
        <w:rPr>
          <w:rFonts w:ascii="仿宋_GB2312" w:eastAsia="仿宋_GB2312" w:cs="DengXian-Regular"/>
          <w:sz w:val="32"/>
          <w:szCs w:val="32"/>
        </w:rPr>
        <w:t>《</w:t>
      </w:r>
      <w:r>
        <w:rPr>
          <w:rFonts w:hint="eastAsia" w:ascii="仿宋_GB2312" w:eastAsia="仿宋_GB2312" w:cs="DengXian-Regular"/>
          <w:sz w:val="32"/>
          <w:szCs w:val="32"/>
        </w:rPr>
        <w:t>关于全面实施预算绩效管理的实施意见</w:t>
      </w:r>
      <w:r>
        <w:rPr>
          <w:rFonts w:ascii="仿宋_GB2312" w:eastAsia="仿宋_GB2312" w:cs="DengXian-Regular"/>
          <w:sz w:val="32"/>
          <w:szCs w:val="32"/>
        </w:rPr>
        <w:t>》（冀</w:t>
      </w:r>
      <w:r>
        <w:rPr>
          <w:rFonts w:hint="eastAsia" w:ascii="仿宋_GB2312" w:eastAsia="仿宋_GB2312" w:cs="DengXian-Regular"/>
          <w:sz w:val="32"/>
          <w:szCs w:val="32"/>
        </w:rPr>
        <w:t>发〔2018〕54</w:t>
      </w:r>
      <w:r>
        <w:rPr>
          <w:rFonts w:ascii="仿宋_GB2312" w:eastAsia="仿宋_GB2312" w:cs="DengXian-Regular"/>
          <w:sz w:val="32"/>
          <w:szCs w:val="32"/>
        </w:rPr>
        <w:t>号）</w:t>
      </w:r>
      <w:r>
        <w:rPr>
          <w:rFonts w:hint="eastAsia" w:ascii="仿宋_GB2312" w:eastAsia="仿宋_GB2312" w:cs="DengXian-Regular"/>
          <w:sz w:val="32"/>
          <w:szCs w:val="32"/>
        </w:rPr>
        <w:t>；</w:t>
      </w:r>
    </w:p>
    <w:p w14:paraId="6BEBD80E">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5.保定市徐水区财政局《关于印发绩效评价工作规划（2016-2020年）的通知》（徐政财字〔2016〕45号）；</w:t>
      </w:r>
    </w:p>
    <w:p w14:paraId="044DBEB2">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6.保定市徐水区财政局《关于印发&lt;全面实施预算绩效管理推进工作方案&gt;的通知》（徐政财字〔2019〕33号）；</w:t>
      </w:r>
    </w:p>
    <w:p w14:paraId="5A274F3B">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7</w:t>
      </w:r>
      <w:r>
        <w:rPr>
          <w:rFonts w:ascii="仿宋_GB2312" w:eastAsia="仿宋_GB2312" w:cs="DengXian-Regular"/>
          <w:sz w:val="32"/>
          <w:szCs w:val="32"/>
        </w:rPr>
        <w:t>.</w:t>
      </w:r>
      <w:r>
        <w:rPr>
          <w:rFonts w:hint="eastAsia"/>
        </w:rPr>
        <w:t xml:space="preserve"> </w:t>
      </w:r>
      <w:r>
        <w:rPr>
          <w:rFonts w:hint="eastAsia" w:ascii="仿宋_GB2312" w:eastAsia="仿宋_GB2312" w:cs="DengXian-Regular"/>
          <w:sz w:val="32"/>
          <w:szCs w:val="32"/>
        </w:rPr>
        <w:t>保定市徐水区财政局《关于印发保定市徐水区区级部门预算项目绩效自评管理办法的通知》（徐政财字〔2020〕9号）</w:t>
      </w:r>
    </w:p>
    <w:p w14:paraId="3C6E5831">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8.其他与部门绩效评价工作相关的文件。</w:t>
      </w:r>
      <w:bookmarkStart w:id="36" w:name="_Toc492652778"/>
    </w:p>
    <w:p w14:paraId="75FBA1A8">
      <w:pPr>
        <w:pStyle w:val="4"/>
        <w:spacing w:before="0" w:after="0"/>
        <w:ind w:firstLine="643" w:firstLineChars="200"/>
        <w:jc w:val="both"/>
        <w:rPr>
          <w:rFonts w:ascii="楷体_GB2312" w:eastAsia="楷体_GB2312" w:hAnsiTheme="minorEastAsia"/>
          <w:kern w:val="2"/>
          <w:sz w:val="32"/>
        </w:rPr>
      </w:pPr>
      <w:bookmarkStart w:id="37" w:name="_Toc7609"/>
      <w:r>
        <w:rPr>
          <w:rFonts w:hint="eastAsia" w:ascii="楷体_GB2312" w:eastAsia="楷体_GB2312" w:hAnsiTheme="minorEastAsia"/>
          <w:kern w:val="2"/>
          <w:sz w:val="32"/>
        </w:rPr>
        <w:t>（三）绩效评价</w:t>
      </w:r>
      <w:bookmarkEnd w:id="36"/>
      <w:r>
        <w:rPr>
          <w:rFonts w:hint="eastAsia" w:ascii="楷体_GB2312" w:eastAsia="楷体_GB2312" w:hAnsiTheme="minorEastAsia"/>
          <w:kern w:val="2"/>
          <w:sz w:val="32"/>
        </w:rPr>
        <w:t>内容</w:t>
      </w:r>
      <w:bookmarkEnd w:id="37"/>
    </w:p>
    <w:bookmarkEnd w:id="35"/>
    <w:p w14:paraId="324DA726">
      <w:pPr>
        <w:spacing w:after="0" w:line="360" w:lineRule="auto"/>
        <w:ind w:firstLine="640" w:firstLineChars="200"/>
        <w:jc w:val="both"/>
        <w:textAlignment w:val="baseline"/>
        <w:rPr>
          <w:rFonts w:ascii="仿宋_GB2312" w:eastAsia="仿宋_GB2312" w:cs="DengXian-Regular"/>
          <w:sz w:val="32"/>
          <w:szCs w:val="32"/>
        </w:rPr>
      </w:pPr>
      <w:bookmarkStart w:id="38" w:name="_Toc465149508"/>
      <w:bookmarkStart w:id="39" w:name="_Toc492652779"/>
      <w:r>
        <w:rPr>
          <w:rFonts w:hint="eastAsia" w:ascii="仿宋_GB2312" w:eastAsia="仿宋_GB2312" w:cs="DengXian-Regular"/>
          <w:sz w:val="32"/>
          <w:szCs w:val="32"/>
        </w:rPr>
        <w:t>区</w:t>
      </w:r>
      <w:r>
        <w:rPr>
          <w:rFonts w:hint="eastAsia" w:ascii="仿宋_GB2312" w:eastAsia="仿宋_GB2312" w:cs="DengXian-Regular"/>
          <w:sz w:val="32"/>
          <w:szCs w:val="32"/>
          <w:lang w:eastAsia="zh-CN"/>
        </w:rPr>
        <w:t>委政法委</w:t>
      </w:r>
      <w:r>
        <w:rPr>
          <w:rFonts w:hint="eastAsia" w:ascii="仿宋_GB2312" w:eastAsia="仿宋_GB2312" w:cs="DengXian-Regular"/>
          <w:sz w:val="32"/>
          <w:szCs w:val="32"/>
        </w:rPr>
        <w:t>202</w:t>
      </w:r>
      <w:r>
        <w:rPr>
          <w:rFonts w:ascii="仿宋_GB2312" w:eastAsia="仿宋_GB2312" w:cs="DengXian-Regular"/>
          <w:sz w:val="32"/>
          <w:szCs w:val="32"/>
        </w:rPr>
        <w:t>1</w:t>
      </w:r>
      <w:r>
        <w:rPr>
          <w:rFonts w:hint="eastAsia" w:ascii="仿宋_GB2312" w:eastAsia="仿宋_GB2312" w:cs="DengXian-Regular"/>
          <w:sz w:val="32"/>
          <w:szCs w:val="32"/>
        </w:rPr>
        <w:t>年部门整体支出绩效目标和指标的设置及完成情况；资金预算情况、实际收支情况及结转结余情况；部门履职对社会发展所带来的直接或间接影响及服务对象对部门履职效果的满意程度。</w:t>
      </w:r>
    </w:p>
    <w:p w14:paraId="1CBC72C4">
      <w:pPr>
        <w:pStyle w:val="4"/>
        <w:spacing w:before="0" w:after="0"/>
        <w:ind w:firstLine="643" w:firstLineChars="200"/>
        <w:jc w:val="both"/>
        <w:rPr>
          <w:rFonts w:ascii="楷体_GB2312" w:eastAsia="楷体_GB2312" w:hAnsiTheme="minorEastAsia"/>
          <w:kern w:val="2"/>
          <w:sz w:val="32"/>
        </w:rPr>
      </w:pPr>
      <w:bookmarkStart w:id="40" w:name="_Toc789"/>
      <w:r>
        <w:rPr>
          <w:rFonts w:hint="eastAsia" w:ascii="楷体_GB2312" w:eastAsia="楷体_GB2312" w:hAnsiTheme="minorEastAsia"/>
          <w:kern w:val="2"/>
          <w:sz w:val="32"/>
        </w:rPr>
        <w:t>（四）绩效评价原则</w:t>
      </w:r>
      <w:bookmarkEnd w:id="40"/>
    </w:p>
    <w:p w14:paraId="7CF71CA2">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1.价值导向原则：财政支出绩效评价体系应能够反映财政支出的经济性、效益性、有效性原则，体现财政部门和项目主管部门的价值导向。</w:t>
      </w:r>
    </w:p>
    <w:p w14:paraId="0B42C8D0">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2.重要性原则：根据指标在整个指标体系中的地位和作用进行筛选，选择最具代表性、最能反映评价要求的指标。</w:t>
      </w:r>
    </w:p>
    <w:p w14:paraId="63B15D4D">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3.综合性原则：将定性指标和定量指标相结合，定性分析是定量分析的基础，定量分析是定性分析的深化，两者相结合系统反映财政支出所产生的社会效益。</w:t>
      </w:r>
    </w:p>
    <w:p w14:paraId="2D729444">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4.经济性原则：指标的选取要考虑现实条件及可操作性，数据的获得应符合成本效益原则，在合理成本的基础上收集信息。</w:t>
      </w:r>
    </w:p>
    <w:p w14:paraId="4289D86D">
      <w:pPr>
        <w:pStyle w:val="4"/>
        <w:spacing w:before="0" w:after="0"/>
        <w:ind w:firstLine="643" w:firstLineChars="200"/>
        <w:jc w:val="both"/>
        <w:rPr>
          <w:rFonts w:ascii="楷体_GB2312" w:eastAsia="楷体_GB2312" w:hAnsiTheme="minorEastAsia"/>
          <w:kern w:val="2"/>
          <w:sz w:val="32"/>
        </w:rPr>
      </w:pPr>
      <w:bookmarkStart w:id="41" w:name="_Toc8171"/>
      <w:r>
        <w:rPr>
          <w:rFonts w:hint="eastAsia" w:ascii="楷体_GB2312" w:eastAsia="楷体_GB2312" w:hAnsiTheme="minorEastAsia"/>
          <w:kern w:val="2"/>
          <w:sz w:val="32"/>
        </w:rPr>
        <w:t>（五）</w:t>
      </w:r>
      <w:bookmarkEnd w:id="38"/>
      <w:bookmarkStart w:id="42" w:name="_Toc465149509"/>
      <w:r>
        <w:rPr>
          <w:rFonts w:hint="eastAsia" w:ascii="楷体_GB2312" w:eastAsia="楷体_GB2312" w:hAnsiTheme="minorEastAsia"/>
          <w:kern w:val="2"/>
          <w:sz w:val="32"/>
        </w:rPr>
        <w:t>绩效评价方法</w:t>
      </w:r>
      <w:bookmarkEnd w:id="39"/>
      <w:bookmarkEnd w:id="41"/>
      <w:bookmarkEnd w:id="42"/>
    </w:p>
    <w:p w14:paraId="3F7B7C35">
      <w:pPr>
        <w:spacing w:after="0" w:line="360" w:lineRule="auto"/>
        <w:ind w:firstLine="640" w:firstLineChars="200"/>
        <w:jc w:val="both"/>
        <w:textAlignment w:val="baseline"/>
        <w:rPr>
          <w:rFonts w:ascii="仿宋_GB2312" w:eastAsia="仿宋_GB2312" w:cs="DengXian-Regular"/>
          <w:sz w:val="32"/>
          <w:szCs w:val="32"/>
        </w:rPr>
      </w:pPr>
      <w:bookmarkStart w:id="43" w:name="_Toc422314152"/>
      <w:bookmarkStart w:id="44" w:name="_Toc421623217"/>
      <w:bookmarkStart w:id="45" w:name="_Toc492652780"/>
      <w:bookmarkStart w:id="46" w:name="_Toc465149510"/>
      <w:r>
        <w:rPr>
          <w:rFonts w:ascii="仿宋_GB2312" w:eastAsia="仿宋_GB2312" w:cs="DengXian-Regular"/>
          <w:sz w:val="32"/>
          <w:szCs w:val="32"/>
        </w:rPr>
        <w:t>本次评价采取</w:t>
      </w:r>
      <w:r>
        <w:rPr>
          <w:rFonts w:hint="eastAsia" w:ascii="仿宋_GB2312" w:eastAsia="仿宋_GB2312" w:cs="DengXian-Regular"/>
          <w:sz w:val="32"/>
          <w:szCs w:val="32"/>
        </w:rPr>
        <w:t>目标比较法、</w:t>
      </w:r>
      <w:r>
        <w:rPr>
          <w:rFonts w:ascii="仿宋_GB2312" w:eastAsia="仿宋_GB2312" w:cs="DengXian-Regular"/>
          <w:sz w:val="32"/>
          <w:szCs w:val="32"/>
        </w:rPr>
        <w:t>定量和定性评价相结合和综合评价相结合</w:t>
      </w:r>
      <w:r>
        <w:rPr>
          <w:rFonts w:hint="eastAsia" w:ascii="仿宋_GB2312" w:eastAsia="仿宋_GB2312" w:cs="DengXian-Regular"/>
          <w:sz w:val="32"/>
          <w:szCs w:val="32"/>
        </w:rPr>
        <w:t>的方式</w:t>
      </w:r>
      <w:r>
        <w:rPr>
          <w:rFonts w:ascii="仿宋_GB2312" w:eastAsia="仿宋_GB2312" w:cs="DengXian-Regular"/>
          <w:sz w:val="32"/>
          <w:szCs w:val="32"/>
        </w:rPr>
        <w:t>，运用审查、</w:t>
      </w:r>
      <w:r>
        <w:rPr>
          <w:rFonts w:hint="eastAsia" w:ascii="仿宋_GB2312" w:eastAsia="仿宋_GB2312" w:cs="DengXian-Regular"/>
          <w:sz w:val="32"/>
          <w:szCs w:val="32"/>
        </w:rPr>
        <w:t>询问查证和问卷调查</w:t>
      </w:r>
      <w:r>
        <w:rPr>
          <w:rFonts w:ascii="仿宋_GB2312" w:eastAsia="仿宋_GB2312" w:cs="DengXian-Regular"/>
          <w:sz w:val="32"/>
          <w:szCs w:val="32"/>
        </w:rPr>
        <w:t>等方法开展</w:t>
      </w:r>
      <w:r>
        <w:rPr>
          <w:rFonts w:hint="eastAsia" w:ascii="仿宋_GB2312" w:eastAsia="仿宋_GB2312" w:cs="DengXian-Regular"/>
          <w:sz w:val="32"/>
          <w:szCs w:val="32"/>
        </w:rPr>
        <w:t>绩效</w:t>
      </w:r>
      <w:r>
        <w:rPr>
          <w:rFonts w:ascii="仿宋_GB2312" w:eastAsia="仿宋_GB2312" w:cs="DengXian-Regular"/>
          <w:sz w:val="32"/>
          <w:szCs w:val="32"/>
        </w:rPr>
        <w:t>评价工作。</w:t>
      </w:r>
      <w:bookmarkEnd w:id="43"/>
      <w:bookmarkEnd w:id="44"/>
    </w:p>
    <w:p w14:paraId="3D43ADD2">
      <w:pPr>
        <w:spacing w:after="0" w:line="360" w:lineRule="auto"/>
        <w:ind w:firstLine="640" w:firstLineChars="200"/>
        <w:jc w:val="both"/>
        <w:textAlignment w:val="baseline"/>
        <w:rPr>
          <w:rFonts w:ascii="仿宋_GB2312" w:eastAsia="仿宋_GB2312" w:cs="DengXian-Regular"/>
          <w:sz w:val="32"/>
          <w:szCs w:val="32"/>
        </w:rPr>
      </w:pPr>
      <w:bookmarkStart w:id="47" w:name="_Toc422314153"/>
      <w:bookmarkStart w:id="48" w:name="_Toc421623218"/>
      <w:r>
        <w:rPr>
          <w:rFonts w:ascii="仿宋_GB2312" w:eastAsia="仿宋_GB2312" w:cs="DengXian-Regular"/>
          <w:sz w:val="32"/>
          <w:szCs w:val="32"/>
        </w:rPr>
        <w:t>1</w:t>
      </w:r>
      <w:r>
        <w:rPr>
          <w:rFonts w:hint="eastAsia" w:ascii="仿宋_GB2312" w:eastAsia="仿宋_GB2312" w:cs="DengXian-Regular"/>
          <w:sz w:val="32"/>
          <w:szCs w:val="32"/>
        </w:rPr>
        <w:t>.</w:t>
      </w:r>
      <w:r>
        <w:rPr>
          <w:rFonts w:ascii="仿宋_GB2312" w:eastAsia="仿宋_GB2312" w:cs="DengXian-Regular"/>
          <w:sz w:val="32"/>
          <w:szCs w:val="32"/>
        </w:rPr>
        <w:t>审查法：通过审查被评价单位的</w:t>
      </w:r>
      <w:r>
        <w:rPr>
          <w:rFonts w:hint="eastAsia" w:ascii="仿宋_GB2312" w:eastAsia="仿宋_GB2312" w:cs="DengXian-Regular"/>
          <w:sz w:val="32"/>
          <w:szCs w:val="32"/>
        </w:rPr>
        <w:t>预算文本</w:t>
      </w:r>
      <w:r>
        <w:rPr>
          <w:rFonts w:ascii="仿宋_GB2312" w:eastAsia="仿宋_GB2312" w:cs="DengXian-Regular"/>
          <w:sz w:val="32"/>
          <w:szCs w:val="32"/>
        </w:rPr>
        <w:t>、</w:t>
      </w:r>
      <w:r>
        <w:rPr>
          <w:rFonts w:hint="eastAsia" w:ascii="仿宋_GB2312" w:eastAsia="仿宋_GB2312" w:cs="DengXian-Regular"/>
          <w:sz w:val="32"/>
          <w:szCs w:val="32"/>
        </w:rPr>
        <w:t>决算文本</w:t>
      </w:r>
      <w:r>
        <w:rPr>
          <w:rFonts w:ascii="仿宋_GB2312" w:eastAsia="仿宋_GB2312" w:cs="DengXian-Regular"/>
          <w:sz w:val="32"/>
          <w:szCs w:val="32"/>
        </w:rPr>
        <w:t>、</w:t>
      </w:r>
      <w:r>
        <w:rPr>
          <w:rFonts w:hint="eastAsia" w:ascii="仿宋_GB2312" w:eastAsia="仿宋_GB2312" w:cs="DengXian-Regular"/>
          <w:sz w:val="32"/>
          <w:szCs w:val="32"/>
        </w:rPr>
        <w:t>会计账簿、支出凭证、项目完成情况</w:t>
      </w:r>
      <w:r>
        <w:rPr>
          <w:rFonts w:ascii="仿宋_GB2312" w:eastAsia="仿宋_GB2312" w:cs="DengXian-Regular"/>
          <w:sz w:val="32"/>
          <w:szCs w:val="32"/>
        </w:rPr>
        <w:t>等</w:t>
      </w:r>
      <w:r>
        <w:rPr>
          <w:rFonts w:hint="eastAsia" w:ascii="仿宋_GB2312" w:eastAsia="仿宋_GB2312" w:cs="DengXian-Regular"/>
          <w:sz w:val="32"/>
          <w:szCs w:val="32"/>
        </w:rPr>
        <w:t>相关</w:t>
      </w:r>
      <w:r>
        <w:rPr>
          <w:rFonts w:ascii="仿宋_GB2312" w:eastAsia="仿宋_GB2312" w:cs="DengXian-Regular"/>
          <w:sz w:val="32"/>
          <w:szCs w:val="32"/>
        </w:rPr>
        <w:t>资料，分析资金</w:t>
      </w:r>
      <w:r>
        <w:rPr>
          <w:rFonts w:hint="eastAsia" w:ascii="仿宋_GB2312" w:eastAsia="仿宋_GB2312" w:cs="DengXian-Regular"/>
          <w:sz w:val="32"/>
          <w:szCs w:val="32"/>
        </w:rPr>
        <w:t>收</w:t>
      </w:r>
      <w:r>
        <w:rPr>
          <w:rFonts w:ascii="仿宋_GB2312" w:eastAsia="仿宋_GB2312" w:cs="DengXian-Regular"/>
          <w:sz w:val="32"/>
          <w:szCs w:val="32"/>
        </w:rPr>
        <w:t>支的合理性</w:t>
      </w:r>
      <w:r>
        <w:rPr>
          <w:rFonts w:hint="eastAsia" w:ascii="仿宋_GB2312" w:eastAsia="仿宋_GB2312" w:cs="DengXian-Regular"/>
          <w:sz w:val="32"/>
          <w:szCs w:val="32"/>
        </w:rPr>
        <w:t>和</w:t>
      </w:r>
      <w:r>
        <w:rPr>
          <w:rFonts w:ascii="仿宋_GB2312" w:eastAsia="仿宋_GB2312" w:cs="DengXian-Regular"/>
          <w:sz w:val="32"/>
          <w:szCs w:val="32"/>
        </w:rPr>
        <w:t>合规性</w:t>
      </w:r>
      <w:r>
        <w:rPr>
          <w:rFonts w:hint="eastAsia" w:ascii="仿宋_GB2312" w:eastAsia="仿宋_GB2312" w:cs="DengXian-Regular"/>
          <w:sz w:val="32"/>
          <w:szCs w:val="32"/>
        </w:rPr>
        <w:t>、预算执行及管理情况、绩效目标和指标的设置及完成情况、部门整体效益</w:t>
      </w:r>
      <w:r>
        <w:rPr>
          <w:rFonts w:ascii="仿宋_GB2312" w:eastAsia="仿宋_GB2312" w:cs="DengXian-Regular"/>
          <w:sz w:val="32"/>
          <w:szCs w:val="32"/>
        </w:rPr>
        <w:t>。</w:t>
      </w:r>
      <w:bookmarkEnd w:id="47"/>
      <w:bookmarkEnd w:id="48"/>
    </w:p>
    <w:p w14:paraId="204A904C">
      <w:pPr>
        <w:spacing w:after="0" w:line="360" w:lineRule="auto"/>
        <w:ind w:firstLine="640" w:firstLineChars="200"/>
        <w:jc w:val="both"/>
        <w:textAlignment w:val="baseline"/>
        <w:rPr>
          <w:rFonts w:ascii="仿宋_GB2312" w:eastAsia="仿宋_GB2312" w:cs="DengXian-Regular"/>
          <w:sz w:val="32"/>
          <w:szCs w:val="32"/>
        </w:rPr>
      </w:pPr>
      <w:bookmarkStart w:id="49" w:name="_Toc422314155"/>
      <w:bookmarkStart w:id="50" w:name="_Toc421623220"/>
      <w:r>
        <w:rPr>
          <w:rFonts w:hint="eastAsia" w:ascii="仿宋_GB2312" w:eastAsia="仿宋_GB2312" w:cs="DengXian-Regular"/>
          <w:sz w:val="32"/>
          <w:szCs w:val="32"/>
        </w:rPr>
        <w:t>2.询问查证</w:t>
      </w:r>
      <w:r>
        <w:rPr>
          <w:rFonts w:ascii="仿宋_GB2312" w:eastAsia="仿宋_GB2312" w:cs="DengXian-Regular"/>
          <w:sz w:val="32"/>
          <w:szCs w:val="32"/>
        </w:rPr>
        <w:t>法：</w:t>
      </w:r>
      <w:r>
        <w:rPr>
          <w:rFonts w:hint="eastAsia" w:ascii="仿宋_GB2312" w:eastAsia="仿宋_GB2312" w:cs="DengXian-Regular"/>
          <w:sz w:val="32"/>
          <w:szCs w:val="32"/>
        </w:rPr>
        <w:t>在比较分析相关资料的基础上，通过询问的形式，核查项目资料是否真实、合理，从而对部门整体支出情况作出初步的判断和评价</w:t>
      </w:r>
      <w:r>
        <w:rPr>
          <w:rFonts w:ascii="仿宋_GB2312" w:eastAsia="仿宋_GB2312" w:cs="DengXian-Regular"/>
          <w:sz w:val="32"/>
          <w:szCs w:val="32"/>
        </w:rPr>
        <w:t>。</w:t>
      </w:r>
      <w:bookmarkEnd w:id="49"/>
      <w:bookmarkEnd w:id="50"/>
    </w:p>
    <w:p w14:paraId="2184D6FE">
      <w:pPr>
        <w:spacing w:after="0" w:line="360" w:lineRule="auto"/>
        <w:ind w:firstLine="640" w:firstLineChars="200"/>
        <w:jc w:val="both"/>
        <w:textAlignment w:val="baseline"/>
        <w:rPr>
          <w:rFonts w:ascii="仿宋_GB2312" w:eastAsia="仿宋_GB2312" w:cs="DengXian-Regular"/>
          <w:sz w:val="32"/>
          <w:szCs w:val="32"/>
        </w:rPr>
      </w:pPr>
      <w:bookmarkStart w:id="51" w:name="_Toc421623221"/>
      <w:bookmarkStart w:id="52" w:name="_Toc422314156"/>
      <w:r>
        <w:rPr>
          <w:rFonts w:hint="eastAsia" w:ascii="仿宋_GB2312" w:eastAsia="仿宋_GB2312" w:cs="DengXian-Regular"/>
          <w:sz w:val="32"/>
          <w:szCs w:val="32"/>
        </w:rPr>
        <w:t>3.问卷调查</w:t>
      </w:r>
      <w:r>
        <w:rPr>
          <w:rFonts w:ascii="仿宋_GB2312" w:eastAsia="仿宋_GB2312" w:cs="DengXian-Regular"/>
          <w:sz w:val="32"/>
          <w:szCs w:val="32"/>
        </w:rPr>
        <w:t>法：通过</w:t>
      </w:r>
      <w:r>
        <w:rPr>
          <w:rFonts w:hint="eastAsia" w:ascii="仿宋_GB2312" w:eastAsia="仿宋_GB2312" w:cs="DengXian-Regular"/>
          <w:sz w:val="32"/>
          <w:szCs w:val="32"/>
        </w:rPr>
        <w:t>设计调查问卷，在一定范围内随机发放，并收集分析调查问卷，</w:t>
      </w:r>
      <w:r>
        <w:rPr>
          <w:rFonts w:ascii="仿宋_GB2312" w:eastAsia="仿宋_GB2312" w:cs="DengXian-Regular"/>
          <w:sz w:val="32"/>
          <w:szCs w:val="32"/>
        </w:rPr>
        <w:t>对财政支出的效果进行</w:t>
      </w:r>
      <w:r>
        <w:rPr>
          <w:rFonts w:hint="eastAsia" w:ascii="仿宋_GB2312" w:eastAsia="仿宋_GB2312" w:cs="DengXian-Regular"/>
          <w:sz w:val="32"/>
          <w:szCs w:val="32"/>
        </w:rPr>
        <w:t>评价</w:t>
      </w:r>
      <w:r>
        <w:rPr>
          <w:rFonts w:ascii="仿宋_GB2312" w:eastAsia="仿宋_GB2312" w:cs="DengXian-Regular"/>
          <w:sz w:val="32"/>
          <w:szCs w:val="32"/>
        </w:rPr>
        <w:t>，</w:t>
      </w:r>
      <w:r>
        <w:rPr>
          <w:rFonts w:hint="eastAsia" w:ascii="仿宋_GB2312" w:eastAsia="仿宋_GB2312" w:cs="DengXian-Regular"/>
          <w:sz w:val="32"/>
          <w:szCs w:val="32"/>
        </w:rPr>
        <w:t>了解服务对象对部门履职效果</w:t>
      </w:r>
      <w:r>
        <w:rPr>
          <w:rFonts w:ascii="仿宋_GB2312" w:eastAsia="仿宋_GB2312" w:cs="DengXian-Regular"/>
          <w:sz w:val="32"/>
          <w:szCs w:val="32"/>
        </w:rPr>
        <w:t>的满意</w:t>
      </w:r>
      <w:r>
        <w:rPr>
          <w:rFonts w:hint="eastAsia" w:ascii="仿宋_GB2312" w:eastAsia="仿宋_GB2312" w:cs="DengXian-Regular"/>
          <w:sz w:val="32"/>
          <w:szCs w:val="32"/>
        </w:rPr>
        <w:t>程</w:t>
      </w:r>
      <w:r>
        <w:rPr>
          <w:rFonts w:ascii="仿宋_GB2312" w:eastAsia="仿宋_GB2312" w:cs="DengXian-Regular"/>
          <w:sz w:val="32"/>
          <w:szCs w:val="32"/>
        </w:rPr>
        <w:t>度。</w:t>
      </w:r>
      <w:bookmarkEnd w:id="51"/>
      <w:bookmarkEnd w:id="52"/>
      <w:bookmarkStart w:id="53" w:name="_Toc20821"/>
    </w:p>
    <w:p w14:paraId="19C4D429">
      <w:pPr>
        <w:spacing w:after="0" w:line="360" w:lineRule="auto"/>
        <w:ind w:firstLine="643" w:firstLineChars="200"/>
        <w:jc w:val="both"/>
        <w:textAlignment w:val="baseline"/>
        <w:rPr>
          <w:rFonts w:ascii="楷体_GB2312" w:eastAsia="楷体_GB2312" w:hAnsiTheme="minorEastAsia"/>
          <w:b/>
          <w:bCs/>
          <w:kern w:val="2"/>
          <w:sz w:val="32"/>
        </w:rPr>
      </w:pPr>
      <w:r>
        <w:rPr>
          <w:rFonts w:hint="eastAsia" w:ascii="楷体_GB2312" w:eastAsia="楷体_GB2312" w:hAnsiTheme="minorEastAsia"/>
          <w:b/>
          <w:bCs/>
          <w:kern w:val="2"/>
          <w:sz w:val="32"/>
        </w:rPr>
        <w:t>（六）绩效评价工作过程</w:t>
      </w:r>
      <w:bookmarkEnd w:id="45"/>
      <w:bookmarkEnd w:id="46"/>
      <w:bookmarkEnd w:id="53"/>
    </w:p>
    <w:p w14:paraId="5E1E4472">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本次绩效评价工作经过了前期准备、绩效评价实施方案和指标体系制定、组织实施、绩效评价报告撰写四个阶段。</w:t>
      </w:r>
    </w:p>
    <w:p w14:paraId="17051601">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1.前期准备阶段</w:t>
      </w:r>
    </w:p>
    <w:p w14:paraId="6272C1FA">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经与区</w:t>
      </w:r>
      <w:r>
        <w:rPr>
          <w:rFonts w:hint="eastAsia" w:ascii="仿宋_GB2312" w:eastAsia="仿宋_GB2312" w:cs="DengXian-Regular"/>
          <w:sz w:val="32"/>
          <w:szCs w:val="32"/>
          <w:lang w:eastAsia="zh-CN"/>
        </w:rPr>
        <w:t>委政法委</w:t>
      </w:r>
      <w:r>
        <w:rPr>
          <w:rFonts w:hint="eastAsia" w:ascii="仿宋_GB2312" w:eastAsia="仿宋_GB2312" w:cs="DengXian-Regular"/>
          <w:sz w:val="32"/>
          <w:szCs w:val="32"/>
        </w:rPr>
        <w:t>充分沟通，并充分收集相关资料，主要包括部门职责、工作活动、预决算文本、相关管理制度、资金使用等相关资料，为制定绩效评价实施方案和指标体系奠定了基础。</w:t>
      </w:r>
    </w:p>
    <w:p w14:paraId="4FDA9A35">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2.制定绩效评价实施方案和体系</w:t>
      </w:r>
    </w:p>
    <w:p w14:paraId="5FD1A6E0">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基于对区</w:t>
      </w:r>
      <w:r>
        <w:rPr>
          <w:rFonts w:hint="eastAsia" w:ascii="仿宋_GB2312" w:eastAsia="仿宋_GB2312" w:cs="DengXian-Regular"/>
          <w:sz w:val="32"/>
          <w:szCs w:val="32"/>
          <w:lang w:eastAsia="zh-CN"/>
        </w:rPr>
        <w:t>委政法委</w:t>
      </w:r>
      <w:r>
        <w:rPr>
          <w:rFonts w:hint="eastAsia" w:ascii="仿宋_GB2312" w:eastAsia="仿宋_GB2312" w:cs="DengXian-Regular"/>
          <w:sz w:val="32"/>
          <w:szCs w:val="32"/>
        </w:rPr>
        <w:t>相关资料的收集，制定绩效评价实施方案和体系,确定最终方案。</w:t>
      </w:r>
    </w:p>
    <w:p w14:paraId="174DC140">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3.组织实施阶段</w:t>
      </w:r>
    </w:p>
    <w:p w14:paraId="08AAFBB1">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根据绩效评价实施方案和指标体系，对区</w:t>
      </w:r>
      <w:r>
        <w:rPr>
          <w:rFonts w:hint="eastAsia" w:ascii="仿宋_GB2312" w:eastAsia="仿宋_GB2312" w:cs="DengXian-Regular"/>
          <w:sz w:val="32"/>
          <w:szCs w:val="32"/>
          <w:lang w:eastAsia="zh-CN"/>
        </w:rPr>
        <w:t>委政法委</w:t>
      </w:r>
      <w:r>
        <w:rPr>
          <w:rFonts w:hint="eastAsia" w:ascii="仿宋_GB2312" w:eastAsia="仿宋_GB2312" w:cs="DengXian-Regular"/>
          <w:sz w:val="32"/>
          <w:szCs w:val="32"/>
        </w:rPr>
        <w:t>开展评价工作，包括查看预决算文本及部门工作活动绩效目标和指标；比对预决算的调整及执行情况；核查固定资产管理的规范性；核查明细账与决算报表项目的一致性；对项目产出情况进行了解查看；随机选取服务对象进行满意度调查；对一些专业的问题咨询相关专家等。根据收集的数据、资料进行核对、比较、计算，对部门整体支出进行评分。</w:t>
      </w:r>
    </w:p>
    <w:p w14:paraId="3C4E3BB1">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4.撰写绩效评价报告</w:t>
      </w:r>
      <w:bookmarkStart w:id="54" w:name="_Toc492652781"/>
      <w:bookmarkStart w:id="55" w:name="_Toc465149511"/>
    </w:p>
    <w:p w14:paraId="7A2E303D">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在完成对各评价指标评分定级的基础上，开始进行报告撰写工作。</w:t>
      </w:r>
    </w:p>
    <w:p w14:paraId="2A61BAEC">
      <w:pPr>
        <w:pStyle w:val="3"/>
        <w:spacing w:before="0" w:after="0" w:line="360" w:lineRule="auto"/>
        <w:ind w:firstLine="643" w:firstLineChars="200"/>
        <w:rPr>
          <w:rFonts w:ascii="黑体"/>
        </w:rPr>
      </w:pPr>
      <w:bookmarkStart w:id="56" w:name="_Toc6467"/>
      <w:r>
        <w:rPr>
          <w:rFonts w:hint="eastAsia" w:ascii="黑体"/>
        </w:rPr>
        <w:t>四、</w:t>
      </w:r>
      <w:bookmarkEnd w:id="54"/>
      <w:bookmarkEnd w:id="55"/>
      <w:bookmarkStart w:id="57" w:name="_Toc492652782"/>
      <w:r>
        <w:rPr>
          <w:rFonts w:hint="eastAsia" w:ascii="黑体"/>
        </w:rPr>
        <w:t>绩效评价评分情况</w:t>
      </w:r>
      <w:bookmarkEnd w:id="56"/>
    </w:p>
    <w:bookmarkEnd w:id="57"/>
    <w:p w14:paraId="01291BF8">
      <w:pPr>
        <w:spacing w:after="0" w:line="360" w:lineRule="auto"/>
        <w:ind w:firstLine="640" w:firstLineChars="200"/>
        <w:jc w:val="both"/>
        <w:textAlignment w:val="baseline"/>
        <w:rPr>
          <w:rFonts w:ascii="仿宋_GB2312" w:eastAsia="仿宋_GB2312" w:cs="Times New Roman" w:hAnsiTheme="minorEastAsia"/>
          <w:sz w:val="32"/>
          <w:szCs w:val="32"/>
          <w:highlight w:val="none"/>
          <w:u w:color="000000"/>
        </w:rPr>
      </w:pPr>
      <w:r>
        <w:rPr>
          <w:rFonts w:hint="eastAsia" w:ascii="仿宋_GB2312" w:eastAsia="仿宋_GB2312" w:cs="DengXian-Regular"/>
          <w:sz w:val="32"/>
          <w:szCs w:val="32"/>
          <w:highlight w:val="none"/>
        </w:rPr>
        <w:t>区</w:t>
      </w:r>
      <w:r>
        <w:rPr>
          <w:rFonts w:hint="eastAsia" w:ascii="仿宋_GB2312" w:eastAsia="仿宋_GB2312" w:cs="DengXian-Regular"/>
          <w:sz w:val="32"/>
          <w:szCs w:val="32"/>
          <w:highlight w:val="none"/>
          <w:lang w:eastAsia="zh-CN"/>
        </w:rPr>
        <w:t>委政法委</w:t>
      </w:r>
      <w:r>
        <w:rPr>
          <w:rFonts w:hint="eastAsia" w:ascii="仿宋_GB2312" w:eastAsia="仿宋_GB2312" w:cs="DengXian-Regular"/>
          <w:sz w:val="32"/>
          <w:szCs w:val="32"/>
          <w:highlight w:val="none"/>
        </w:rPr>
        <w:t>部门整体支出绩效评价总得分为</w:t>
      </w:r>
      <w:r>
        <w:rPr>
          <w:rFonts w:hint="default" w:ascii="仿宋_GB2312" w:eastAsia="仿宋_GB2312" w:cs="DengXian-Regular"/>
          <w:sz w:val="32"/>
          <w:szCs w:val="32"/>
          <w:highlight w:val="none"/>
          <w:lang w:val="en-US"/>
        </w:rPr>
        <w:t>97.6</w:t>
      </w:r>
      <w:r>
        <w:rPr>
          <w:rFonts w:hint="eastAsia" w:ascii="仿宋_GB2312" w:eastAsia="仿宋_GB2312" w:cs="DengXian-Regular"/>
          <w:sz w:val="32"/>
          <w:szCs w:val="32"/>
          <w:highlight w:val="none"/>
        </w:rPr>
        <w:t>分，综合绩效评价等级为“</w:t>
      </w:r>
      <w:r>
        <w:rPr>
          <w:rFonts w:hint="eastAsia" w:ascii="仿宋_GB2312" w:eastAsia="仿宋_GB2312" w:cs="DengXian-Regular"/>
          <w:sz w:val="32"/>
          <w:szCs w:val="32"/>
          <w:highlight w:val="none"/>
          <w:lang w:eastAsia="zh-CN"/>
        </w:rPr>
        <w:t>优</w:t>
      </w:r>
      <w:r>
        <w:rPr>
          <w:rFonts w:hint="eastAsia" w:ascii="仿宋_GB2312" w:eastAsia="仿宋_GB2312" w:cs="DengXian-Regular"/>
          <w:sz w:val="32"/>
          <w:szCs w:val="32"/>
          <w:highlight w:val="none"/>
        </w:rPr>
        <w:t>”。各项得分情况如下</w:t>
      </w:r>
      <w:r>
        <w:rPr>
          <w:rFonts w:hint="eastAsia" w:ascii="仿宋_GB2312" w:eastAsia="仿宋_GB2312" w:cs="Times New Roman" w:hAnsiTheme="minorEastAsia"/>
          <w:sz w:val="32"/>
          <w:szCs w:val="32"/>
          <w:highlight w:val="none"/>
          <w:u w:color="000000"/>
        </w:rPr>
        <w:t>：</w:t>
      </w:r>
      <w:r>
        <w:rPr>
          <w:rFonts w:ascii="仿宋_GB2312" w:eastAsia="仿宋_GB2312" w:cs="Times New Roman" w:hAnsiTheme="minorEastAsia"/>
          <w:sz w:val="32"/>
          <w:szCs w:val="32"/>
          <w:highlight w:val="none"/>
          <w:u w:color="000000"/>
        </w:rPr>
        <w:t xml:space="preserve"> </w:t>
      </w:r>
    </w:p>
    <w:p w14:paraId="03B25032">
      <w:pPr>
        <w:pStyle w:val="4"/>
        <w:spacing w:before="0" w:after="0"/>
        <w:ind w:firstLine="643" w:firstLineChars="200"/>
        <w:jc w:val="both"/>
        <w:rPr>
          <w:rFonts w:ascii="楷体_GB2312" w:eastAsia="楷体_GB2312" w:hAnsiTheme="minorEastAsia"/>
          <w:kern w:val="2"/>
          <w:sz w:val="32"/>
          <w:highlight w:val="none"/>
        </w:rPr>
      </w:pPr>
      <w:bookmarkStart w:id="58" w:name="_Toc492652783"/>
      <w:bookmarkStart w:id="59" w:name="_Toc4390"/>
      <w:r>
        <w:rPr>
          <w:rFonts w:hint="eastAsia" w:ascii="楷体_GB2312" w:eastAsia="楷体_GB2312" w:hAnsiTheme="minorEastAsia"/>
          <w:kern w:val="2"/>
          <w:sz w:val="32"/>
          <w:highlight w:val="none"/>
        </w:rPr>
        <w:t>（一）</w:t>
      </w:r>
      <w:bookmarkEnd w:id="58"/>
      <w:r>
        <w:rPr>
          <w:rFonts w:hint="eastAsia" w:ascii="楷体_GB2312" w:eastAsia="楷体_GB2312" w:hAnsiTheme="minorEastAsia"/>
          <w:kern w:val="2"/>
          <w:sz w:val="32"/>
          <w:highlight w:val="none"/>
        </w:rPr>
        <w:t>投入（12分）</w:t>
      </w:r>
      <w:bookmarkEnd w:id="59"/>
    </w:p>
    <w:p w14:paraId="3B4B07E7">
      <w:pPr>
        <w:spacing w:after="0" w:line="360" w:lineRule="auto"/>
        <w:ind w:firstLine="640" w:firstLineChars="200"/>
        <w:jc w:val="both"/>
        <w:textAlignment w:val="baseline"/>
        <w:rPr>
          <w:rFonts w:ascii="仿宋_GB2312" w:eastAsia="仿宋_GB2312" w:cs="Times New Roman" w:hAnsiTheme="minorEastAsia"/>
          <w:sz w:val="32"/>
          <w:szCs w:val="32"/>
          <w:u w:color="000000"/>
        </w:rPr>
      </w:pPr>
      <w:r>
        <w:rPr>
          <w:rFonts w:hint="eastAsia" w:ascii="仿宋_GB2312" w:eastAsia="仿宋_GB2312" w:cs="DengXian-Regular"/>
          <w:sz w:val="32"/>
          <w:szCs w:val="32"/>
        </w:rPr>
        <w:t>该一级指标包含绩效目标设定和预算配置两个二级指标，主要反映绩效目标设定是否合理、科学，绩效指标的制定是否清晰、可衡量，预算编制是否完整，项目预算是否细化及在职人员控制情况。</w:t>
      </w:r>
      <w:r>
        <w:rPr>
          <w:rFonts w:hint="eastAsia" w:ascii="仿宋_GB2312" w:eastAsia="仿宋_GB2312" w:cs="Times New Roman" w:hAnsiTheme="minorEastAsia"/>
          <w:sz w:val="32"/>
          <w:szCs w:val="32"/>
          <w:u w:color="000000"/>
        </w:rPr>
        <w:tab/>
      </w:r>
    </w:p>
    <w:p w14:paraId="5A8EB100">
      <w:pPr>
        <w:spacing w:after="0" w:line="360" w:lineRule="auto"/>
        <w:jc w:val="center"/>
        <w:textAlignment w:val="baseline"/>
        <w:rPr>
          <w:rFonts w:asciiTheme="minorEastAsia" w:hAnsiTheme="minorEastAsia" w:eastAsiaTheme="minorEastAsia" w:cstheme="minorEastAsia"/>
          <w:b/>
          <w:bCs/>
          <w:sz w:val="32"/>
          <w:szCs w:val="32"/>
          <w:u w:color="000000"/>
        </w:rPr>
      </w:pPr>
      <w:r>
        <w:rPr>
          <w:rFonts w:hint="eastAsia" w:asciiTheme="minorEastAsia" w:hAnsiTheme="minorEastAsia" w:eastAsiaTheme="minorEastAsia" w:cstheme="minorEastAsia"/>
          <w:b/>
          <w:bCs/>
          <w:sz w:val="32"/>
          <w:szCs w:val="32"/>
          <w:u w:color="000000"/>
        </w:rPr>
        <w:t>表2  投入指标及得分情况表</w:t>
      </w:r>
    </w:p>
    <w:tbl>
      <w:tblPr>
        <w:tblStyle w:val="8"/>
        <w:tblW w:w="0" w:type="auto"/>
        <w:tblInd w:w="70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59"/>
        <w:gridCol w:w="1418"/>
        <w:gridCol w:w="1701"/>
        <w:gridCol w:w="1276"/>
        <w:gridCol w:w="1134"/>
      </w:tblGrid>
      <w:tr w14:paraId="16F240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trPr>
        <w:tc>
          <w:tcPr>
            <w:tcW w:w="1559" w:type="dxa"/>
            <w:vAlign w:val="center"/>
          </w:tcPr>
          <w:p w14:paraId="2D1D78AB">
            <w:pPr>
              <w:spacing w:line="420" w:lineRule="exact"/>
              <w:jc w:val="center"/>
              <w:rPr>
                <w:rFonts w:cs="宋体" w:asciiTheme="minorEastAsia" w:hAnsiTheme="minorEastAsia" w:eastAsiaTheme="minorEastAsia"/>
                <w:b/>
                <w:sz w:val="21"/>
                <w:szCs w:val="21"/>
              </w:rPr>
            </w:pPr>
            <w:r>
              <w:rPr>
                <w:rFonts w:hint="eastAsia" w:cs="宋体" w:asciiTheme="minorEastAsia" w:hAnsiTheme="minorEastAsia" w:eastAsiaTheme="minorEastAsia"/>
                <w:b/>
                <w:sz w:val="21"/>
                <w:szCs w:val="21"/>
              </w:rPr>
              <w:t>一级指标</w:t>
            </w:r>
          </w:p>
        </w:tc>
        <w:tc>
          <w:tcPr>
            <w:tcW w:w="1418" w:type="dxa"/>
            <w:vAlign w:val="center"/>
          </w:tcPr>
          <w:p w14:paraId="442F291B">
            <w:pPr>
              <w:spacing w:line="420" w:lineRule="exact"/>
              <w:jc w:val="center"/>
              <w:rPr>
                <w:rFonts w:cs="宋体" w:asciiTheme="minorEastAsia" w:hAnsiTheme="minorEastAsia" w:eastAsiaTheme="minorEastAsia"/>
                <w:b/>
                <w:sz w:val="21"/>
                <w:szCs w:val="21"/>
              </w:rPr>
            </w:pPr>
            <w:r>
              <w:rPr>
                <w:rFonts w:hint="eastAsia" w:cs="宋体" w:asciiTheme="minorEastAsia" w:hAnsiTheme="minorEastAsia" w:eastAsiaTheme="minorEastAsia"/>
                <w:b/>
                <w:sz w:val="21"/>
                <w:szCs w:val="21"/>
              </w:rPr>
              <w:t>二级指标</w:t>
            </w:r>
          </w:p>
        </w:tc>
        <w:tc>
          <w:tcPr>
            <w:tcW w:w="1701" w:type="dxa"/>
            <w:vAlign w:val="center"/>
          </w:tcPr>
          <w:p w14:paraId="069F3EBA">
            <w:pPr>
              <w:spacing w:line="420" w:lineRule="exact"/>
              <w:jc w:val="center"/>
              <w:rPr>
                <w:rFonts w:cs="宋体" w:asciiTheme="minorEastAsia" w:hAnsiTheme="minorEastAsia" w:eastAsiaTheme="minorEastAsia"/>
                <w:b/>
                <w:sz w:val="21"/>
                <w:szCs w:val="21"/>
              </w:rPr>
            </w:pPr>
            <w:r>
              <w:rPr>
                <w:rFonts w:hint="eastAsia" w:cs="宋体" w:asciiTheme="minorEastAsia" w:hAnsiTheme="minorEastAsia" w:eastAsiaTheme="minorEastAsia"/>
                <w:b/>
                <w:sz w:val="21"/>
                <w:szCs w:val="21"/>
              </w:rPr>
              <w:t>三级指标</w:t>
            </w:r>
          </w:p>
        </w:tc>
        <w:tc>
          <w:tcPr>
            <w:tcW w:w="1276" w:type="dxa"/>
            <w:vAlign w:val="center"/>
          </w:tcPr>
          <w:p w14:paraId="45933036">
            <w:pPr>
              <w:spacing w:line="420" w:lineRule="exact"/>
              <w:jc w:val="center"/>
              <w:rPr>
                <w:rFonts w:cs="宋体" w:asciiTheme="minorEastAsia" w:hAnsiTheme="minorEastAsia" w:eastAsiaTheme="minorEastAsia"/>
                <w:b/>
                <w:sz w:val="21"/>
                <w:szCs w:val="21"/>
              </w:rPr>
            </w:pPr>
            <w:r>
              <w:rPr>
                <w:rFonts w:hint="eastAsia" w:cs="宋体" w:asciiTheme="minorEastAsia" w:hAnsiTheme="minorEastAsia" w:eastAsiaTheme="minorEastAsia"/>
                <w:b/>
                <w:sz w:val="21"/>
                <w:szCs w:val="21"/>
              </w:rPr>
              <w:t>分值权重</w:t>
            </w:r>
          </w:p>
        </w:tc>
        <w:tc>
          <w:tcPr>
            <w:tcW w:w="1134" w:type="dxa"/>
            <w:vAlign w:val="center"/>
          </w:tcPr>
          <w:p w14:paraId="5403A293">
            <w:pPr>
              <w:spacing w:line="420" w:lineRule="exact"/>
              <w:jc w:val="center"/>
              <w:rPr>
                <w:rFonts w:cs="宋体" w:asciiTheme="minorEastAsia" w:hAnsiTheme="minorEastAsia" w:eastAsiaTheme="minorEastAsia"/>
                <w:b/>
                <w:sz w:val="21"/>
                <w:szCs w:val="21"/>
              </w:rPr>
            </w:pPr>
            <w:r>
              <w:rPr>
                <w:rFonts w:hint="eastAsia" w:cs="宋体" w:asciiTheme="minorEastAsia" w:hAnsiTheme="minorEastAsia" w:eastAsiaTheme="minorEastAsia"/>
                <w:b/>
                <w:sz w:val="21"/>
                <w:szCs w:val="21"/>
              </w:rPr>
              <w:t>得分</w:t>
            </w:r>
          </w:p>
        </w:tc>
      </w:tr>
      <w:tr w14:paraId="366C52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trPr>
        <w:tc>
          <w:tcPr>
            <w:tcW w:w="1559" w:type="dxa"/>
            <w:vMerge w:val="restart"/>
            <w:vAlign w:val="center"/>
          </w:tcPr>
          <w:p w14:paraId="35C0F637">
            <w:pPr>
              <w:spacing w:line="420" w:lineRule="exact"/>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投入</w:t>
            </w:r>
          </w:p>
          <w:p w14:paraId="362CAFB0">
            <w:pPr>
              <w:spacing w:line="420" w:lineRule="exact"/>
              <w:jc w:val="center"/>
              <w:rPr>
                <w:rFonts w:cs="宋体" w:asciiTheme="minorEastAsia" w:hAnsiTheme="minorEastAsia" w:eastAsiaTheme="minorEastAsia"/>
                <w:sz w:val="21"/>
                <w:szCs w:val="21"/>
                <w:highlight w:val="yellow"/>
              </w:rPr>
            </w:pPr>
            <w:r>
              <w:rPr>
                <w:rFonts w:hint="eastAsia" w:cs="宋体" w:asciiTheme="minorEastAsia" w:hAnsiTheme="minorEastAsia" w:eastAsiaTheme="minorEastAsia"/>
                <w:sz w:val="21"/>
                <w:szCs w:val="21"/>
              </w:rPr>
              <w:t>（12分）</w:t>
            </w:r>
          </w:p>
        </w:tc>
        <w:tc>
          <w:tcPr>
            <w:tcW w:w="1418" w:type="dxa"/>
            <w:vMerge w:val="restart"/>
            <w:vAlign w:val="center"/>
          </w:tcPr>
          <w:p w14:paraId="77242AD2">
            <w:pPr>
              <w:spacing w:line="420" w:lineRule="exact"/>
              <w:jc w:val="center"/>
              <w:rPr>
                <w:rFonts w:cs="宋体" w:asciiTheme="minorEastAsia" w:hAnsiTheme="minorEastAsia" w:eastAsiaTheme="minorEastAsia"/>
                <w:sz w:val="21"/>
                <w:szCs w:val="21"/>
                <w:highlight w:val="yellow"/>
              </w:rPr>
            </w:pPr>
            <w:r>
              <w:rPr>
                <w:rFonts w:hint="eastAsia" w:cs="宋体" w:asciiTheme="minorEastAsia" w:hAnsiTheme="minorEastAsia" w:eastAsiaTheme="minorEastAsia"/>
                <w:sz w:val="21"/>
                <w:szCs w:val="21"/>
              </w:rPr>
              <w:t>绩效目标设定（6分）</w:t>
            </w:r>
          </w:p>
        </w:tc>
        <w:tc>
          <w:tcPr>
            <w:tcW w:w="1701" w:type="dxa"/>
            <w:vAlign w:val="center"/>
          </w:tcPr>
          <w:p w14:paraId="328F16F6">
            <w:pPr>
              <w:spacing w:line="420" w:lineRule="exact"/>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绩效目标合理性</w:t>
            </w:r>
          </w:p>
        </w:tc>
        <w:tc>
          <w:tcPr>
            <w:tcW w:w="1276" w:type="dxa"/>
            <w:vAlign w:val="center"/>
          </w:tcPr>
          <w:p w14:paraId="23F143FB">
            <w:pPr>
              <w:spacing w:line="420" w:lineRule="exact"/>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w:t>
            </w:r>
          </w:p>
        </w:tc>
        <w:tc>
          <w:tcPr>
            <w:tcW w:w="1134" w:type="dxa"/>
            <w:vAlign w:val="center"/>
          </w:tcPr>
          <w:p w14:paraId="4F433038">
            <w:pPr>
              <w:spacing w:line="420" w:lineRule="exact"/>
              <w:jc w:val="center"/>
              <w:rPr>
                <w:rFonts w:hint="default" w:cs="宋体" w:asciiTheme="minorEastAsia" w:hAnsiTheme="minorEastAsia" w:eastAsiaTheme="minorEastAsia"/>
                <w:sz w:val="21"/>
                <w:szCs w:val="21"/>
                <w:lang w:val="en-US"/>
              </w:rPr>
            </w:pPr>
            <w:r>
              <w:rPr>
                <w:rFonts w:hint="default" w:cs="宋体" w:asciiTheme="minorEastAsia" w:hAnsiTheme="minorEastAsia" w:eastAsiaTheme="minorEastAsia"/>
                <w:sz w:val="21"/>
                <w:szCs w:val="21"/>
                <w:lang w:val="en-US"/>
              </w:rPr>
              <w:t>2</w:t>
            </w:r>
          </w:p>
        </w:tc>
      </w:tr>
      <w:tr w14:paraId="216516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trPr>
        <w:tc>
          <w:tcPr>
            <w:tcW w:w="1559" w:type="dxa"/>
            <w:vMerge w:val="continue"/>
            <w:vAlign w:val="center"/>
          </w:tcPr>
          <w:p w14:paraId="035944AD">
            <w:pPr>
              <w:spacing w:line="420" w:lineRule="exact"/>
              <w:ind w:firstLine="420" w:firstLineChars="200"/>
              <w:jc w:val="center"/>
              <w:rPr>
                <w:rFonts w:cs="宋体" w:asciiTheme="minorEastAsia" w:hAnsiTheme="minorEastAsia" w:eastAsiaTheme="minorEastAsia"/>
                <w:sz w:val="21"/>
                <w:szCs w:val="21"/>
                <w:highlight w:val="yellow"/>
              </w:rPr>
            </w:pPr>
          </w:p>
        </w:tc>
        <w:tc>
          <w:tcPr>
            <w:tcW w:w="1418" w:type="dxa"/>
            <w:vMerge w:val="continue"/>
            <w:vAlign w:val="center"/>
          </w:tcPr>
          <w:p w14:paraId="76AA1222">
            <w:pPr>
              <w:spacing w:line="420" w:lineRule="exact"/>
              <w:ind w:firstLine="420" w:firstLineChars="200"/>
              <w:jc w:val="center"/>
              <w:rPr>
                <w:rFonts w:cs="宋体" w:asciiTheme="minorEastAsia" w:hAnsiTheme="minorEastAsia" w:eastAsiaTheme="minorEastAsia"/>
                <w:sz w:val="21"/>
                <w:szCs w:val="21"/>
                <w:highlight w:val="yellow"/>
              </w:rPr>
            </w:pPr>
          </w:p>
        </w:tc>
        <w:tc>
          <w:tcPr>
            <w:tcW w:w="1701" w:type="dxa"/>
            <w:vAlign w:val="center"/>
          </w:tcPr>
          <w:p w14:paraId="22DC3A36">
            <w:pPr>
              <w:spacing w:line="420" w:lineRule="exact"/>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绩效目标科学性</w:t>
            </w:r>
          </w:p>
        </w:tc>
        <w:tc>
          <w:tcPr>
            <w:tcW w:w="1276" w:type="dxa"/>
            <w:vAlign w:val="center"/>
          </w:tcPr>
          <w:p w14:paraId="4795810E">
            <w:pPr>
              <w:spacing w:line="420" w:lineRule="exact"/>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w:t>
            </w:r>
          </w:p>
        </w:tc>
        <w:tc>
          <w:tcPr>
            <w:tcW w:w="1134" w:type="dxa"/>
            <w:vAlign w:val="center"/>
          </w:tcPr>
          <w:p w14:paraId="0929BA02">
            <w:pPr>
              <w:spacing w:line="420" w:lineRule="exact"/>
              <w:jc w:val="center"/>
              <w:rPr>
                <w:rFonts w:hint="default" w:cs="宋体" w:asciiTheme="minorEastAsia" w:hAnsiTheme="minorEastAsia" w:eastAsiaTheme="minorEastAsia"/>
                <w:sz w:val="21"/>
                <w:szCs w:val="21"/>
                <w:lang w:val="en-US"/>
              </w:rPr>
            </w:pPr>
            <w:r>
              <w:rPr>
                <w:rFonts w:hint="default" w:cs="宋体" w:asciiTheme="minorEastAsia" w:hAnsiTheme="minorEastAsia" w:eastAsiaTheme="minorEastAsia"/>
                <w:sz w:val="21"/>
                <w:szCs w:val="21"/>
                <w:lang w:val="en-US"/>
              </w:rPr>
              <w:t>2</w:t>
            </w:r>
          </w:p>
        </w:tc>
      </w:tr>
      <w:tr w14:paraId="0F744D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trPr>
        <w:tc>
          <w:tcPr>
            <w:tcW w:w="1559" w:type="dxa"/>
            <w:vMerge w:val="continue"/>
            <w:vAlign w:val="center"/>
          </w:tcPr>
          <w:p w14:paraId="60CAA58D">
            <w:pPr>
              <w:spacing w:line="420" w:lineRule="exact"/>
              <w:ind w:firstLine="420" w:firstLineChars="200"/>
              <w:jc w:val="center"/>
              <w:rPr>
                <w:rFonts w:cs="宋体" w:asciiTheme="minorEastAsia" w:hAnsiTheme="minorEastAsia" w:eastAsiaTheme="minorEastAsia"/>
                <w:sz w:val="21"/>
                <w:szCs w:val="21"/>
                <w:highlight w:val="yellow"/>
              </w:rPr>
            </w:pPr>
          </w:p>
        </w:tc>
        <w:tc>
          <w:tcPr>
            <w:tcW w:w="1418" w:type="dxa"/>
            <w:vMerge w:val="continue"/>
            <w:vAlign w:val="center"/>
          </w:tcPr>
          <w:p w14:paraId="0B412390">
            <w:pPr>
              <w:spacing w:line="420" w:lineRule="exact"/>
              <w:ind w:firstLine="420" w:firstLineChars="200"/>
              <w:jc w:val="center"/>
              <w:rPr>
                <w:rFonts w:cs="宋体" w:asciiTheme="minorEastAsia" w:hAnsiTheme="minorEastAsia" w:eastAsiaTheme="minorEastAsia"/>
                <w:sz w:val="21"/>
                <w:szCs w:val="21"/>
                <w:highlight w:val="yellow"/>
              </w:rPr>
            </w:pPr>
          </w:p>
        </w:tc>
        <w:tc>
          <w:tcPr>
            <w:tcW w:w="1701" w:type="dxa"/>
            <w:vAlign w:val="center"/>
          </w:tcPr>
          <w:p w14:paraId="78F3DDC4">
            <w:pPr>
              <w:spacing w:line="420" w:lineRule="exact"/>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绩效指标明确性</w:t>
            </w:r>
          </w:p>
        </w:tc>
        <w:tc>
          <w:tcPr>
            <w:tcW w:w="1276" w:type="dxa"/>
            <w:vAlign w:val="center"/>
          </w:tcPr>
          <w:p w14:paraId="5FDE4FAE">
            <w:pPr>
              <w:spacing w:line="420" w:lineRule="exact"/>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w:t>
            </w:r>
          </w:p>
        </w:tc>
        <w:tc>
          <w:tcPr>
            <w:tcW w:w="1134" w:type="dxa"/>
            <w:vAlign w:val="center"/>
          </w:tcPr>
          <w:p w14:paraId="3E1A5794">
            <w:pPr>
              <w:spacing w:line="420" w:lineRule="exact"/>
              <w:jc w:val="center"/>
              <w:rPr>
                <w:rFonts w:hint="default" w:cs="宋体" w:asciiTheme="minorEastAsia" w:hAnsiTheme="minorEastAsia" w:eastAsiaTheme="minorEastAsia"/>
                <w:sz w:val="21"/>
                <w:szCs w:val="21"/>
                <w:lang w:val="en-US"/>
              </w:rPr>
            </w:pPr>
            <w:r>
              <w:rPr>
                <w:rFonts w:hint="default" w:cs="宋体" w:asciiTheme="minorEastAsia" w:hAnsiTheme="minorEastAsia" w:eastAsiaTheme="minorEastAsia"/>
                <w:sz w:val="21"/>
                <w:szCs w:val="21"/>
                <w:lang w:val="en-US"/>
              </w:rPr>
              <w:t>2</w:t>
            </w:r>
          </w:p>
        </w:tc>
      </w:tr>
      <w:tr w14:paraId="4D17F9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trPr>
        <w:tc>
          <w:tcPr>
            <w:tcW w:w="1559" w:type="dxa"/>
            <w:vMerge w:val="continue"/>
            <w:vAlign w:val="center"/>
          </w:tcPr>
          <w:p w14:paraId="475D57F2">
            <w:pPr>
              <w:spacing w:line="420" w:lineRule="exact"/>
              <w:ind w:firstLine="420" w:firstLineChars="200"/>
              <w:jc w:val="center"/>
              <w:rPr>
                <w:rFonts w:cs="宋体" w:asciiTheme="minorEastAsia" w:hAnsiTheme="minorEastAsia" w:eastAsiaTheme="minorEastAsia"/>
                <w:sz w:val="21"/>
                <w:szCs w:val="21"/>
                <w:highlight w:val="yellow"/>
              </w:rPr>
            </w:pPr>
          </w:p>
        </w:tc>
        <w:tc>
          <w:tcPr>
            <w:tcW w:w="1418" w:type="dxa"/>
            <w:vMerge w:val="restart"/>
            <w:vAlign w:val="center"/>
          </w:tcPr>
          <w:p w14:paraId="55CF247C">
            <w:pPr>
              <w:spacing w:line="420" w:lineRule="exact"/>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预算配置</w:t>
            </w:r>
          </w:p>
          <w:p w14:paraId="437BBBDC">
            <w:pPr>
              <w:spacing w:line="420" w:lineRule="exact"/>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（6分）</w:t>
            </w:r>
          </w:p>
        </w:tc>
        <w:tc>
          <w:tcPr>
            <w:tcW w:w="1701" w:type="dxa"/>
            <w:vAlign w:val="center"/>
          </w:tcPr>
          <w:p w14:paraId="586C84EF">
            <w:pPr>
              <w:spacing w:line="420" w:lineRule="exact"/>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预算编制完整性</w:t>
            </w:r>
          </w:p>
        </w:tc>
        <w:tc>
          <w:tcPr>
            <w:tcW w:w="1276" w:type="dxa"/>
            <w:vAlign w:val="center"/>
          </w:tcPr>
          <w:p w14:paraId="41C031FC">
            <w:pPr>
              <w:spacing w:line="420" w:lineRule="exact"/>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w:t>
            </w:r>
          </w:p>
        </w:tc>
        <w:tc>
          <w:tcPr>
            <w:tcW w:w="1134" w:type="dxa"/>
            <w:vAlign w:val="center"/>
          </w:tcPr>
          <w:p w14:paraId="62790385">
            <w:pPr>
              <w:spacing w:line="420" w:lineRule="exact"/>
              <w:jc w:val="center"/>
              <w:rPr>
                <w:rFonts w:hint="default" w:cs="宋体" w:asciiTheme="minorEastAsia" w:hAnsiTheme="minorEastAsia" w:eastAsiaTheme="minorEastAsia"/>
                <w:sz w:val="21"/>
                <w:szCs w:val="21"/>
                <w:lang w:val="en-US"/>
              </w:rPr>
            </w:pPr>
            <w:r>
              <w:rPr>
                <w:rFonts w:hint="default" w:cs="宋体" w:asciiTheme="minorEastAsia" w:hAnsiTheme="minorEastAsia" w:eastAsiaTheme="minorEastAsia"/>
                <w:sz w:val="21"/>
                <w:szCs w:val="21"/>
                <w:lang w:val="en-US"/>
              </w:rPr>
              <w:t>2</w:t>
            </w:r>
          </w:p>
        </w:tc>
      </w:tr>
      <w:tr w14:paraId="1C74DD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trPr>
        <w:tc>
          <w:tcPr>
            <w:tcW w:w="1559" w:type="dxa"/>
            <w:vMerge w:val="continue"/>
            <w:vAlign w:val="center"/>
          </w:tcPr>
          <w:p w14:paraId="408A46A1">
            <w:pPr>
              <w:spacing w:line="420" w:lineRule="exact"/>
              <w:ind w:firstLine="420" w:firstLineChars="200"/>
              <w:jc w:val="center"/>
              <w:rPr>
                <w:rFonts w:cs="宋体" w:asciiTheme="minorEastAsia" w:hAnsiTheme="minorEastAsia" w:eastAsiaTheme="minorEastAsia"/>
                <w:sz w:val="21"/>
                <w:szCs w:val="21"/>
                <w:highlight w:val="yellow"/>
              </w:rPr>
            </w:pPr>
          </w:p>
        </w:tc>
        <w:tc>
          <w:tcPr>
            <w:tcW w:w="1418" w:type="dxa"/>
            <w:vMerge w:val="continue"/>
            <w:vAlign w:val="center"/>
          </w:tcPr>
          <w:p w14:paraId="443D54EE">
            <w:pPr>
              <w:spacing w:line="420" w:lineRule="exact"/>
              <w:ind w:firstLine="420" w:firstLineChars="200"/>
              <w:jc w:val="center"/>
              <w:rPr>
                <w:rFonts w:cs="宋体" w:asciiTheme="minorEastAsia" w:hAnsiTheme="minorEastAsia" w:eastAsiaTheme="minorEastAsia"/>
                <w:sz w:val="21"/>
                <w:szCs w:val="21"/>
                <w:highlight w:val="yellow"/>
              </w:rPr>
            </w:pPr>
          </w:p>
        </w:tc>
        <w:tc>
          <w:tcPr>
            <w:tcW w:w="1701" w:type="dxa"/>
            <w:vAlign w:val="center"/>
          </w:tcPr>
          <w:p w14:paraId="76ECFC68">
            <w:pPr>
              <w:spacing w:line="420" w:lineRule="exact"/>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项目预算细化率</w:t>
            </w:r>
          </w:p>
        </w:tc>
        <w:tc>
          <w:tcPr>
            <w:tcW w:w="1276" w:type="dxa"/>
            <w:vAlign w:val="center"/>
          </w:tcPr>
          <w:p w14:paraId="7D233B83">
            <w:pPr>
              <w:spacing w:line="420" w:lineRule="exact"/>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w:t>
            </w:r>
          </w:p>
        </w:tc>
        <w:tc>
          <w:tcPr>
            <w:tcW w:w="1134" w:type="dxa"/>
            <w:vAlign w:val="center"/>
          </w:tcPr>
          <w:p w14:paraId="399D0413">
            <w:pPr>
              <w:spacing w:line="420" w:lineRule="exact"/>
              <w:jc w:val="center"/>
              <w:rPr>
                <w:rFonts w:hint="default" w:cs="宋体" w:asciiTheme="minorEastAsia" w:hAnsiTheme="minorEastAsia" w:eastAsiaTheme="minorEastAsia"/>
                <w:sz w:val="21"/>
                <w:szCs w:val="21"/>
                <w:lang w:val="en-US"/>
              </w:rPr>
            </w:pPr>
            <w:r>
              <w:rPr>
                <w:rFonts w:hint="default" w:cs="宋体" w:asciiTheme="minorEastAsia" w:hAnsiTheme="minorEastAsia" w:eastAsiaTheme="minorEastAsia"/>
                <w:sz w:val="21"/>
                <w:szCs w:val="21"/>
                <w:lang w:val="en-US"/>
              </w:rPr>
              <w:t>2</w:t>
            </w:r>
          </w:p>
        </w:tc>
      </w:tr>
      <w:tr w14:paraId="360B77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trPr>
        <w:tc>
          <w:tcPr>
            <w:tcW w:w="1559" w:type="dxa"/>
            <w:vMerge w:val="continue"/>
            <w:vAlign w:val="center"/>
          </w:tcPr>
          <w:p w14:paraId="60708CA3">
            <w:pPr>
              <w:spacing w:line="420" w:lineRule="exact"/>
              <w:ind w:firstLine="420" w:firstLineChars="200"/>
              <w:jc w:val="center"/>
              <w:rPr>
                <w:rFonts w:cs="宋体" w:asciiTheme="minorEastAsia" w:hAnsiTheme="minorEastAsia" w:eastAsiaTheme="minorEastAsia"/>
                <w:sz w:val="21"/>
                <w:szCs w:val="21"/>
                <w:highlight w:val="yellow"/>
              </w:rPr>
            </w:pPr>
          </w:p>
        </w:tc>
        <w:tc>
          <w:tcPr>
            <w:tcW w:w="1418" w:type="dxa"/>
            <w:vMerge w:val="continue"/>
            <w:vAlign w:val="center"/>
          </w:tcPr>
          <w:p w14:paraId="46FD5969">
            <w:pPr>
              <w:spacing w:line="420" w:lineRule="exact"/>
              <w:ind w:firstLine="420" w:firstLineChars="200"/>
              <w:jc w:val="center"/>
              <w:rPr>
                <w:rFonts w:cs="宋体" w:asciiTheme="minorEastAsia" w:hAnsiTheme="minorEastAsia" w:eastAsiaTheme="minorEastAsia"/>
                <w:sz w:val="21"/>
                <w:szCs w:val="21"/>
                <w:highlight w:val="yellow"/>
              </w:rPr>
            </w:pPr>
          </w:p>
        </w:tc>
        <w:tc>
          <w:tcPr>
            <w:tcW w:w="1701" w:type="dxa"/>
            <w:vAlign w:val="center"/>
          </w:tcPr>
          <w:p w14:paraId="6FB30CF4">
            <w:pPr>
              <w:spacing w:line="420" w:lineRule="exact"/>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在职人员控制率</w:t>
            </w:r>
          </w:p>
        </w:tc>
        <w:tc>
          <w:tcPr>
            <w:tcW w:w="1276" w:type="dxa"/>
            <w:vAlign w:val="center"/>
          </w:tcPr>
          <w:p w14:paraId="69A3867F">
            <w:pPr>
              <w:spacing w:line="420" w:lineRule="exact"/>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w:t>
            </w:r>
          </w:p>
        </w:tc>
        <w:tc>
          <w:tcPr>
            <w:tcW w:w="1134" w:type="dxa"/>
            <w:vAlign w:val="center"/>
          </w:tcPr>
          <w:p w14:paraId="36E0231E">
            <w:pPr>
              <w:spacing w:line="420" w:lineRule="exact"/>
              <w:jc w:val="center"/>
              <w:rPr>
                <w:rFonts w:hint="default" w:cs="宋体" w:asciiTheme="minorEastAsia" w:hAnsiTheme="minorEastAsia" w:eastAsiaTheme="minorEastAsia"/>
                <w:sz w:val="21"/>
                <w:szCs w:val="21"/>
                <w:lang w:val="en-US"/>
              </w:rPr>
            </w:pPr>
            <w:r>
              <w:rPr>
                <w:rFonts w:hint="default" w:cs="宋体" w:asciiTheme="minorEastAsia" w:hAnsiTheme="minorEastAsia" w:eastAsiaTheme="minorEastAsia"/>
                <w:sz w:val="21"/>
                <w:szCs w:val="21"/>
                <w:lang w:val="en-US"/>
              </w:rPr>
              <w:t>1.8</w:t>
            </w:r>
          </w:p>
        </w:tc>
      </w:tr>
      <w:tr w14:paraId="452B5A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trPr>
        <w:tc>
          <w:tcPr>
            <w:tcW w:w="2977" w:type="dxa"/>
            <w:gridSpan w:val="2"/>
            <w:vAlign w:val="center"/>
          </w:tcPr>
          <w:p w14:paraId="16ACE739">
            <w:pPr>
              <w:spacing w:line="420" w:lineRule="exact"/>
              <w:ind w:firstLine="420" w:firstLineChars="200"/>
              <w:jc w:val="center"/>
              <w:rPr>
                <w:rFonts w:cs="宋体" w:asciiTheme="minorEastAsia" w:hAnsiTheme="minorEastAsia" w:eastAsiaTheme="minorEastAsia"/>
                <w:sz w:val="21"/>
                <w:szCs w:val="21"/>
                <w:highlight w:val="yellow"/>
              </w:rPr>
            </w:pPr>
            <w:r>
              <w:rPr>
                <w:rFonts w:hint="eastAsia" w:cs="宋体" w:asciiTheme="minorEastAsia" w:hAnsiTheme="minorEastAsia" w:eastAsiaTheme="minorEastAsia"/>
                <w:sz w:val="21"/>
                <w:szCs w:val="21"/>
              </w:rPr>
              <w:t>合计</w:t>
            </w:r>
          </w:p>
        </w:tc>
        <w:tc>
          <w:tcPr>
            <w:tcW w:w="1701" w:type="dxa"/>
            <w:vAlign w:val="center"/>
          </w:tcPr>
          <w:p w14:paraId="64EDA76E">
            <w:pPr>
              <w:spacing w:line="420" w:lineRule="exact"/>
              <w:ind w:firstLine="420" w:firstLineChars="200"/>
              <w:jc w:val="center"/>
              <w:rPr>
                <w:rFonts w:cs="宋体" w:asciiTheme="minorEastAsia" w:hAnsiTheme="minorEastAsia" w:eastAsiaTheme="minorEastAsia"/>
                <w:sz w:val="21"/>
                <w:szCs w:val="21"/>
                <w:highlight w:val="yellow"/>
              </w:rPr>
            </w:pPr>
          </w:p>
        </w:tc>
        <w:tc>
          <w:tcPr>
            <w:tcW w:w="1276" w:type="dxa"/>
            <w:vAlign w:val="center"/>
          </w:tcPr>
          <w:p w14:paraId="19E50718">
            <w:pPr>
              <w:spacing w:line="420" w:lineRule="exact"/>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12</w:t>
            </w:r>
          </w:p>
        </w:tc>
        <w:tc>
          <w:tcPr>
            <w:tcW w:w="1134" w:type="dxa"/>
            <w:vAlign w:val="center"/>
          </w:tcPr>
          <w:p w14:paraId="5F2C5FF5">
            <w:pPr>
              <w:spacing w:line="420" w:lineRule="exact"/>
              <w:jc w:val="center"/>
              <w:rPr>
                <w:rFonts w:hint="default" w:cs="宋体" w:asciiTheme="minorEastAsia" w:hAnsiTheme="minorEastAsia" w:eastAsiaTheme="minorEastAsia"/>
                <w:sz w:val="21"/>
                <w:szCs w:val="21"/>
                <w:lang w:val="en-US"/>
              </w:rPr>
            </w:pPr>
            <w:r>
              <w:rPr>
                <w:rFonts w:hint="default" w:cs="宋体" w:asciiTheme="minorEastAsia" w:hAnsiTheme="minorEastAsia" w:eastAsiaTheme="minorEastAsia"/>
                <w:sz w:val="21"/>
                <w:szCs w:val="21"/>
                <w:lang w:val="en-US"/>
              </w:rPr>
              <w:t>11.8</w:t>
            </w:r>
          </w:p>
        </w:tc>
      </w:tr>
    </w:tbl>
    <w:p w14:paraId="3E76F599">
      <w:pPr>
        <w:spacing w:after="0" w:line="360" w:lineRule="auto"/>
        <w:ind w:firstLine="640" w:firstLineChars="200"/>
        <w:jc w:val="both"/>
        <w:textAlignment w:val="baseline"/>
        <w:rPr>
          <w:rFonts w:ascii="仿宋_GB2312" w:eastAsia="仿宋_GB2312" w:cs="DengXian-Regular"/>
          <w:sz w:val="32"/>
          <w:szCs w:val="32"/>
        </w:rPr>
      </w:pPr>
      <w:bookmarkStart w:id="60" w:name="_Toc464638478"/>
      <w:bookmarkStart w:id="61" w:name="_Toc465149513"/>
      <w:r>
        <w:rPr>
          <w:rFonts w:hint="eastAsia" w:ascii="仿宋_GB2312" w:eastAsia="仿宋_GB2312" w:cs="DengXian-Regular"/>
          <w:sz w:val="32"/>
          <w:szCs w:val="32"/>
        </w:rPr>
        <w:t>1.绩效目标设定（6分）</w:t>
      </w:r>
    </w:p>
    <w:p w14:paraId="626C7E12">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（1）绩效目标合理性(2分)</w:t>
      </w:r>
    </w:p>
    <w:p w14:paraId="551EB115">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该指标主要评价部门的职责设定是否符合“三定”方案中所赋予的职责；工作活动是否与部门职责、工作规划和重点工作相关；工作活动项下确定的预算项目是否合理，是否与工作活动密切相关；工作活动和项目预算安排是否合理。</w:t>
      </w:r>
    </w:p>
    <w:p w14:paraId="70AB7CEB">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通过对比保定市徐水区委办公室及保定市徐水区人民政府办公室印发的《保定市徐水区</w:t>
      </w:r>
      <w:r>
        <w:rPr>
          <w:rFonts w:hint="eastAsia" w:ascii="仿宋_GB2312" w:eastAsia="仿宋_GB2312" w:cs="DengXian-Regular"/>
          <w:sz w:val="32"/>
          <w:szCs w:val="32"/>
          <w:lang w:eastAsia="zh-CN"/>
        </w:rPr>
        <w:t>委政法委员会</w:t>
      </w:r>
      <w:r>
        <w:rPr>
          <w:rFonts w:hint="eastAsia" w:ascii="仿宋_GB2312" w:eastAsia="仿宋_GB2312" w:cs="DengXian-Regular"/>
          <w:sz w:val="32"/>
          <w:szCs w:val="32"/>
        </w:rPr>
        <w:t>职能配置内设机构和人员编制规定》和徐水区</w:t>
      </w:r>
      <w:r>
        <w:rPr>
          <w:rFonts w:hint="eastAsia" w:ascii="仿宋_GB2312" w:eastAsia="仿宋_GB2312" w:cs="DengXian-Regular"/>
          <w:sz w:val="32"/>
          <w:szCs w:val="32"/>
          <w:lang w:eastAsia="zh-CN"/>
        </w:rPr>
        <w:t>委政法委</w:t>
      </w:r>
      <w:r>
        <w:rPr>
          <w:rFonts w:hint="eastAsia" w:ascii="仿宋_GB2312" w:eastAsia="仿宋_GB2312" w:cs="DengXian-Regular"/>
          <w:sz w:val="32"/>
          <w:szCs w:val="32"/>
        </w:rPr>
        <w:t>202</w:t>
      </w:r>
      <w:r>
        <w:rPr>
          <w:rFonts w:ascii="仿宋_GB2312" w:eastAsia="仿宋_GB2312" w:cs="DengXian-Regular"/>
          <w:sz w:val="32"/>
          <w:szCs w:val="32"/>
        </w:rPr>
        <w:t>1</w:t>
      </w:r>
      <w:r>
        <w:rPr>
          <w:rFonts w:hint="eastAsia" w:ascii="仿宋_GB2312" w:eastAsia="仿宋_GB2312" w:cs="DengXian-Regular"/>
          <w:sz w:val="32"/>
          <w:szCs w:val="32"/>
        </w:rPr>
        <w:t>年预算文本—部门职责工作活动绩效目标，评价工作组认为区</w:t>
      </w:r>
      <w:r>
        <w:rPr>
          <w:rFonts w:hint="eastAsia" w:ascii="仿宋_GB2312" w:eastAsia="仿宋_GB2312" w:cs="DengXian-Regular"/>
          <w:sz w:val="32"/>
          <w:szCs w:val="32"/>
          <w:lang w:eastAsia="zh-CN"/>
        </w:rPr>
        <w:t>委政法委</w:t>
      </w:r>
      <w:r>
        <w:rPr>
          <w:rFonts w:hint="eastAsia" w:ascii="仿宋_GB2312" w:eastAsia="仿宋_GB2312" w:cs="DengXian-Regular"/>
          <w:sz w:val="32"/>
          <w:szCs w:val="32"/>
        </w:rPr>
        <w:t>部门职责符合“三定”方案中所赋予的职责，绩效目标设立依据充分，符合客观实际，与部门职责、工作规划和重点工作相关，工作活动和项目预算安排合理。</w:t>
      </w:r>
    </w:p>
    <w:p w14:paraId="6E5A39A5">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该指标实际得分2分。</w:t>
      </w:r>
    </w:p>
    <w:p w14:paraId="24343693">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（2）绩效目标科学性（2分）</w:t>
      </w:r>
    </w:p>
    <w:p w14:paraId="5B6ACD7D">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该指标主要评价预算批复的部门年度发展规划目标和部门职责分类绩效目标是否充分，是否与部门履职、年度工作任务相符；工作活动是否有明确的绩效目标，绩效目标是否与部门职责目标、部门年度工作目标一致，是否能体现工作活动的产出和效果。</w:t>
      </w:r>
    </w:p>
    <w:p w14:paraId="638D9FBD">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根据区</w:t>
      </w:r>
      <w:r>
        <w:rPr>
          <w:rFonts w:hint="eastAsia" w:ascii="仿宋_GB2312" w:eastAsia="仿宋_GB2312" w:cs="DengXian-Regular"/>
          <w:sz w:val="32"/>
          <w:szCs w:val="32"/>
          <w:lang w:eastAsia="zh-CN"/>
        </w:rPr>
        <w:t>委政法委</w:t>
      </w:r>
      <w:r>
        <w:rPr>
          <w:rFonts w:hint="eastAsia" w:ascii="仿宋_GB2312" w:eastAsia="仿宋_GB2312" w:cs="DengXian-Regular"/>
          <w:sz w:val="32"/>
          <w:szCs w:val="32"/>
        </w:rPr>
        <w:t>202</w:t>
      </w:r>
      <w:r>
        <w:rPr>
          <w:rFonts w:ascii="仿宋_GB2312" w:eastAsia="仿宋_GB2312" w:cs="DengXian-Regular"/>
          <w:sz w:val="32"/>
          <w:szCs w:val="32"/>
        </w:rPr>
        <w:t>1</w:t>
      </w:r>
      <w:r>
        <w:rPr>
          <w:rFonts w:hint="eastAsia" w:ascii="仿宋_GB2312" w:eastAsia="仿宋_GB2312" w:cs="DengXian-Regular"/>
          <w:sz w:val="32"/>
          <w:szCs w:val="32"/>
        </w:rPr>
        <w:t>年预算文本—部门职责工作活动绩效目标（详见附件4），绩效目标与部门履职、年度工作任务相符；工作活动有明确的绩效目标，绩效目标与部门职责目标、部门年度工作目标一致。</w:t>
      </w:r>
    </w:p>
    <w:p w14:paraId="38B5B78E">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该项指标实际得分2分。</w:t>
      </w:r>
    </w:p>
    <w:p w14:paraId="13E7E585">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（3）绩效目标明确性（2分）</w:t>
      </w:r>
    </w:p>
    <w:p w14:paraId="581F88C0">
      <w:pPr>
        <w:spacing w:after="0" w:line="360" w:lineRule="auto"/>
        <w:ind w:firstLine="640" w:firstLineChars="200"/>
        <w:jc w:val="both"/>
        <w:textAlignment w:val="baseline"/>
        <w:rPr>
          <w:rFonts w:ascii="仿宋_GB2312" w:eastAsia="仿宋_GB2312" w:cs="DengXian-Regular"/>
          <w:sz w:val="32"/>
          <w:szCs w:val="32"/>
          <w:highlight w:val="yellow"/>
        </w:rPr>
      </w:pPr>
      <w:r>
        <w:rPr>
          <w:rFonts w:hint="eastAsia" w:ascii="仿宋_GB2312" w:eastAsia="仿宋_GB2312" w:cs="DengXian-Regular"/>
          <w:sz w:val="32"/>
          <w:szCs w:val="32"/>
        </w:rPr>
        <w:t>该指标主要评价是否将部门整体的绩效目标细化分解为具体的工作任务，工作活动、预算项目绩效指标是否清晰、细化、可评价、可衡量；工作活动、预算项目绩效指标的评价标准是否清晰、可衡量；是否与部门年度的任务数或计划数相对应。</w:t>
      </w:r>
    </w:p>
    <w:p w14:paraId="55574AA4">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根据区</w:t>
      </w:r>
      <w:r>
        <w:rPr>
          <w:rFonts w:hint="eastAsia" w:ascii="仿宋_GB2312" w:eastAsia="仿宋_GB2312" w:cs="DengXian-Regular"/>
          <w:sz w:val="32"/>
          <w:szCs w:val="32"/>
          <w:lang w:eastAsia="zh-CN"/>
        </w:rPr>
        <w:t>委政法委</w:t>
      </w:r>
      <w:r>
        <w:rPr>
          <w:rFonts w:hint="eastAsia" w:ascii="仿宋_GB2312" w:eastAsia="仿宋_GB2312" w:cs="DengXian-Regular"/>
          <w:sz w:val="32"/>
          <w:szCs w:val="32"/>
        </w:rPr>
        <w:t>202</w:t>
      </w:r>
      <w:r>
        <w:rPr>
          <w:rFonts w:ascii="仿宋_GB2312" w:eastAsia="仿宋_GB2312" w:cs="DengXian-Regular"/>
          <w:sz w:val="32"/>
          <w:szCs w:val="32"/>
        </w:rPr>
        <w:t>1</w:t>
      </w:r>
      <w:r>
        <w:rPr>
          <w:rFonts w:hint="eastAsia" w:ascii="仿宋_GB2312" w:eastAsia="仿宋_GB2312" w:cs="DengXian-Regular"/>
          <w:sz w:val="32"/>
          <w:szCs w:val="32"/>
        </w:rPr>
        <w:t>年预算文本—部门职责工作活动绩效目标,该指标实际得分</w:t>
      </w:r>
      <w:r>
        <w:rPr>
          <w:rFonts w:hint="default" w:ascii="仿宋_GB2312" w:eastAsia="仿宋_GB2312" w:cs="DengXian-Regular"/>
          <w:sz w:val="32"/>
          <w:szCs w:val="32"/>
          <w:lang w:val="en-US"/>
        </w:rPr>
        <w:t>2</w:t>
      </w:r>
      <w:r>
        <w:rPr>
          <w:rFonts w:hint="eastAsia" w:ascii="仿宋_GB2312" w:eastAsia="仿宋_GB2312" w:cs="DengXian-Regular"/>
          <w:sz w:val="32"/>
          <w:szCs w:val="32"/>
        </w:rPr>
        <w:t>分。</w:t>
      </w:r>
    </w:p>
    <w:p w14:paraId="566D7508">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2.预算配置（6分）</w:t>
      </w:r>
    </w:p>
    <w:p w14:paraId="2F3A55B2">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（1）预算编制完整性（2分）</w:t>
      </w:r>
    </w:p>
    <w:p w14:paraId="1EFCB8E0">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该指标主要评价部门所有收入是否全部纳入部门预算，部门支出预算是否统筹各类支出，按基本支出、项目支出分别编制。</w:t>
      </w:r>
    </w:p>
    <w:p w14:paraId="617B97FC">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根据区</w:t>
      </w:r>
      <w:r>
        <w:rPr>
          <w:rFonts w:hint="eastAsia" w:ascii="仿宋_GB2312" w:eastAsia="仿宋_GB2312" w:cs="DengXian-Regular"/>
          <w:sz w:val="32"/>
          <w:szCs w:val="32"/>
          <w:lang w:eastAsia="zh-CN"/>
        </w:rPr>
        <w:t>委政法委</w:t>
      </w:r>
      <w:r>
        <w:rPr>
          <w:rFonts w:hint="eastAsia" w:ascii="仿宋_GB2312" w:eastAsia="仿宋_GB2312" w:cs="DengXian-Regular"/>
          <w:sz w:val="32"/>
          <w:szCs w:val="32"/>
        </w:rPr>
        <w:t>202</w:t>
      </w:r>
      <w:r>
        <w:rPr>
          <w:rFonts w:ascii="仿宋_GB2312" w:eastAsia="仿宋_GB2312" w:cs="DengXian-Regular"/>
          <w:sz w:val="32"/>
          <w:szCs w:val="32"/>
        </w:rPr>
        <w:t>1</w:t>
      </w:r>
      <w:r>
        <w:rPr>
          <w:rFonts w:hint="eastAsia" w:ascii="仿宋_GB2312" w:eastAsia="仿宋_GB2312" w:cs="DengXian-Regular"/>
          <w:sz w:val="32"/>
          <w:szCs w:val="32"/>
        </w:rPr>
        <w:t>年预算文本及相关会计资料，区</w:t>
      </w:r>
      <w:r>
        <w:rPr>
          <w:rFonts w:hint="eastAsia" w:ascii="仿宋_GB2312" w:eastAsia="仿宋_GB2312" w:cs="DengXian-Regular"/>
          <w:sz w:val="32"/>
          <w:szCs w:val="32"/>
          <w:lang w:eastAsia="zh-CN"/>
        </w:rPr>
        <w:t>委政法委</w:t>
      </w:r>
      <w:r>
        <w:rPr>
          <w:rFonts w:hint="eastAsia" w:ascii="仿宋_GB2312" w:eastAsia="仿宋_GB2312" w:cs="DengXian-Regular"/>
          <w:sz w:val="32"/>
          <w:szCs w:val="32"/>
        </w:rPr>
        <w:t>所有收入均已纳入部门预算，部门支出按基本支出、项目支出分别编制。</w:t>
      </w:r>
    </w:p>
    <w:p w14:paraId="25C424A2">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该指标实际得分</w:t>
      </w:r>
      <w:r>
        <w:rPr>
          <w:rFonts w:hint="default" w:ascii="仿宋_GB2312" w:eastAsia="仿宋_GB2312" w:cs="DengXian-Regular"/>
          <w:sz w:val="32"/>
          <w:szCs w:val="32"/>
          <w:lang w:val="en-US"/>
        </w:rPr>
        <w:t>2</w:t>
      </w:r>
      <w:r>
        <w:rPr>
          <w:rFonts w:hint="eastAsia" w:ascii="仿宋_GB2312" w:eastAsia="仿宋_GB2312" w:cs="DengXian-Regular"/>
          <w:sz w:val="32"/>
          <w:szCs w:val="32"/>
        </w:rPr>
        <w:t>分。</w:t>
      </w:r>
    </w:p>
    <w:p w14:paraId="0020AC80">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（2）项目预算细化率（2分）</w:t>
      </w:r>
    </w:p>
    <w:p w14:paraId="32D1ADB2">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该指标主要评价编报的项目支出是否细化到具体用款单位和项目的资金额度，通过项目预算细化率衡量。</w:t>
      </w:r>
    </w:p>
    <w:p w14:paraId="3E82462F">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项目预算细化率=细化的项目金额/实际编报的项目金额×100%。</w:t>
      </w:r>
    </w:p>
    <w:p w14:paraId="662E1854">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根据区</w:t>
      </w:r>
      <w:r>
        <w:rPr>
          <w:rFonts w:hint="eastAsia" w:ascii="仿宋_GB2312" w:eastAsia="仿宋_GB2312" w:cs="DengXian-Regular"/>
          <w:sz w:val="32"/>
          <w:szCs w:val="32"/>
          <w:lang w:eastAsia="zh-CN"/>
        </w:rPr>
        <w:t>委政法委</w:t>
      </w:r>
      <w:r>
        <w:rPr>
          <w:rFonts w:hint="eastAsia" w:ascii="仿宋_GB2312" w:eastAsia="仿宋_GB2312" w:cs="DengXian-Regular"/>
          <w:sz w:val="32"/>
          <w:szCs w:val="32"/>
        </w:rPr>
        <w:t>202</w:t>
      </w:r>
      <w:r>
        <w:rPr>
          <w:rFonts w:ascii="仿宋_GB2312" w:eastAsia="仿宋_GB2312" w:cs="DengXian-Regular"/>
          <w:sz w:val="32"/>
          <w:szCs w:val="32"/>
        </w:rPr>
        <w:t>1</w:t>
      </w:r>
      <w:r>
        <w:rPr>
          <w:rFonts w:hint="eastAsia" w:ascii="仿宋_GB2312" w:eastAsia="仿宋_GB2312" w:cs="DengXian-Regular"/>
          <w:sz w:val="32"/>
          <w:szCs w:val="32"/>
        </w:rPr>
        <w:t>年预算文本—部门项目支出预算表，</w:t>
      </w:r>
      <w:r>
        <w:rPr>
          <w:rFonts w:hint="eastAsia" w:ascii="仿宋_GB2312" w:eastAsia="仿宋_GB2312" w:cs="DengXian-Regular"/>
          <w:sz w:val="32"/>
          <w:szCs w:val="32"/>
          <w:lang w:eastAsia="zh-CN"/>
        </w:rPr>
        <w:t>政法委</w:t>
      </w:r>
      <w:r>
        <w:rPr>
          <w:rFonts w:hint="eastAsia" w:ascii="仿宋_GB2312" w:eastAsia="仿宋_GB2312" w:cs="DengXian-Regular"/>
          <w:sz w:val="32"/>
          <w:szCs w:val="32"/>
        </w:rPr>
        <w:t>部门202</w:t>
      </w:r>
      <w:r>
        <w:rPr>
          <w:rFonts w:hint="default" w:ascii="仿宋_GB2312" w:eastAsia="仿宋_GB2312" w:cs="DengXian-Regular"/>
          <w:sz w:val="32"/>
          <w:szCs w:val="32"/>
          <w:lang w:val="en-US"/>
        </w:rPr>
        <w:t>1</w:t>
      </w:r>
      <w:r>
        <w:rPr>
          <w:rFonts w:hint="eastAsia" w:ascii="仿宋_GB2312" w:eastAsia="仿宋_GB2312" w:cs="DengXian-Regular"/>
          <w:sz w:val="32"/>
          <w:szCs w:val="32"/>
        </w:rPr>
        <w:t>年预算项目共</w:t>
      </w:r>
      <w:r>
        <w:rPr>
          <w:rFonts w:hint="default" w:ascii="仿宋_GB2312" w:eastAsia="仿宋_GB2312" w:cs="DengXian-Regular"/>
          <w:sz w:val="32"/>
          <w:szCs w:val="32"/>
          <w:lang w:val="en-US"/>
        </w:rPr>
        <w:t>16</w:t>
      </w:r>
      <w:r>
        <w:rPr>
          <w:rFonts w:hint="eastAsia" w:ascii="仿宋_GB2312" w:eastAsia="仿宋_GB2312" w:cs="DengXian-Regular"/>
          <w:sz w:val="32"/>
          <w:szCs w:val="32"/>
        </w:rPr>
        <w:t>个（详见附件2-2-2），涉及资金</w:t>
      </w:r>
      <w:r>
        <w:rPr>
          <w:rFonts w:hint="default" w:ascii="仿宋_GB2312" w:eastAsia="仿宋_GB2312" w:cs="DengXian-Regular"/>
          <w:sz w:val="32"/>
          <w:szCs w:val="32"/>
          <w:lang w:val="en-US"/>
        </w:rPr>
        <w:t>818.14</w:t>
      </w:r>
      <w:r>
        <w:rPr>
          <w:rFonts w:hint="eastAsia" w:ascii="仿宋_GB2312" w:eastAsia="仿宋_GB2312" w:cs="DengXian-Regular"/>
          <w:sz w:val="32"/>
          <w:szCs w:val="32"/>
        </w:rPr>
        <w:t>万元，所有项目均细化到具体用款单位及项目资金额度。项目预算细化率=（</w:t>
      </w:r>
      <w:r>
        <w:rPr>
          <w:rFonts w:hint="default" w:ascii="仿宋_GB2312" w:eastAsia="仿宋_GB2312" w:cs="DengXian-Regular"/>
          <w:sz w:val="32"/>
          <w:szCs w:val="32"/>
          <w:lang w:val="en-US"/>
        </w:rPr>
        <w:t>818.14</w:t>
      </w:r>
      <w:r>
        <w:rPr>
          <w:rFonts w:hint="eastAsia" w:ascii="仿宋_GB2312" w:eastAsia="仿宋_GB2312" w:cs="DengXian-Regular"/>
          <w:sz w:val="32"/>
          <w:szCs w:val="32"/>
        </w:rPr>
        <w:t>/</w:t>
      </w:r>
      <w:r>
        <w:rPr>
          <w:rFonts w:hint="default" w:ascii="仿宋_GB2312" w:eastAsia="仿宋_GB2312" w:cs="DengXian-Regular"/>
          <w:sz w:val="32"/>
          <w:szCs w:val="32"/>
          <w:lang w:val="en-US"/>
        </w:rPr>
        <w:t>818.14</w:t>
      </w:r>
      <w:r>
        <w:rPr>
          <w:rFonts w:hint="eastAsia" w:ascii="仿宋_GB2312" w:eastAsia="仿宋_GB2312" w:cs="DengXian-Regular"/>
          <w:sz w:val="32"/>
          <w:szCs w:val="32"/>
        </w:rPr>
        <w:t>）*100%=100%</w:t>
      </w:r>
    </w:p>
    <w:p w14:paraId="1F2EB339">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该指标实际得分</w:t>
      </w:r>
      <w:r>
        <w:rPr>
          <w:rFonts w:hint="default" w:ascii="仿宋_GB2312" w:eastAsia="仿宋_GB2312" w:cs="DengXian-Regular"/>
          <w:sz w:val="32"/>
          <w:szCs w:val="32"/>
          <w:lang w:val="en-US"/>
        </w:rPr>
        <w:t>2</w:t>
      </w:r>
      <w:r>
        <w:rPr>
          <w:rFonts w:hint="eastAsia" w:ascii="仿宋_GB2312" w:eastAsia="仿宋_GB2312" w:cs="DengXian-Regular"/>
          <w:sz w:val="32"/>
          <w:szCs w:val="32"/>
        </w:rPr>
        <w:t>分。</w:t>
      </w:r>
    </w:p>
    <w:p w14:paraId="0653ED4F">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（3）在职人员控制率（2分）</w:t>
      </w:r>
    </w:p>
    <w:p w14:paraId="49CBFAEC">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该指标主要考核截至202</w:t>
      </w:r>
      <w:r>
        <w:rPr>
          <w:rFonts w:ascii="仿宋_GB2312" w:eastAsia="仿宋_GB2312" w:cs="DengXian-Regular"/>
          <w:sz w:val="32"/>
          <w:szCs w:val="32"/>
        </w:rPr>
        <w:t>1</w:t>
      </w:r>
      <w:r>
        <w:rPr>
          <w:rFonts w:hint="eastAsia" w:ascii="仿宋_GB2312" w:eastAsia="仿宋_GB2312" w:cs="DengXian-Regular"/>
          <w:sz w:val="32"/>
          <w:szCs w:val="32"/>
        </w:rPr>
        <w:t>年底区</w:t>
      </w:r>
      <w:r>
        <w:rPr>
          <w:rFonts w:hint="eastAsia" w:ascii="仿宋_GB2312" w:eastAsia="仿宋_GB2312" w:cs="DengXian-Regular"/>
          <w:sz w:val="32"/>
          <w:szCs w:val="32"/>
          <w:lang w:eastAsia="zh-CN"/>
        </w:rPr>
        <w:t>委政法委</w:t>
      </w:r>
      <w:r>
        <w:rPr>
          <w:rFonts w:hint="eastAsia" w:ascii="仿宋_GB2312" w:eastAsia="仿宋_GB2312" w:cs="DengXian-Regular"/>
          <w:sz w:val="32"/>
          <w:szCs w:val="32"/>
        </w:rPr>
        <w:t>在职人员控制情况，通过在职人员控制率衡量。</w:t>
      </w:r>
    </w:p>
    <w:p w14:paraId="1A9D6942">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在职人员控制率=决算在职人员/编制数×100%。</w:t>
      </w:r>
    </w:p>
    <w:p w14:paraId="4E664587">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根据保定市徐水区委办公室及保定市徐水区人民政府办公室关于印发《保定市徐水区</w:t>
      </w:r>
      <w:r>
        <w:rPr>
          <w:rFonts w:hint="eastAsia" w:ascii="仿宋_GB2312" w:eastAsia="仿宋_GB2312" w:cs="DengXian-Regular"/>
          <w:sz w:val="32"/>
          <w:szCs w:val="32"/>
          <w:lang w:eastAsia="zh-CN"/>
        </w:rPr>
        <w:t>委政法委</w:t>
      </w:r>
      <w:r>
        <w:rPr>
          <w:rFonts w:hint="eastAsia" w:ascii="仿宋_GB2312" w:eastAsia="仿宋_GB2312" w:cs="DengXian-Regular"/>
          <w:sz w:val="32"/>
          <w:szCs w:val="32"/>
        </w:rPr>
        <w:t>职能配置内设机构和人员编制规定》的通知，部门人员编制为</w:t>
      </w:r>
      <w:r>
        <w:rPr>
          <w:rFonts w:hint="default" w:ascii="仿宋_GB2312" w:eastAsia="仿宋_GB2312" w:cs="DengXian-Regular"/>
          <w:sz w:val="32"/>
          <w:szCs w:val="32"/>
          <w:lang w:val="en-US"/>
        </w:rPr>
        <w:t>14</w:t>
      </w:r>
      <w:r>
        <w:rPr>
          <w:rFonts w:hint="eastAsia" w:ascii="仿宋_GB2312" w:eastAsia="仿宋_GB2312" w:cs="DengXian-Regular"/>
          <w:sz w:val="32"/>
          <w:szCs w:val="32"/>
        </w:rPr>
        <w:t>人，根据区</w:t>
      </w:r>
      <w:r>
        <w:rPr>
          <w:rFonts w:hint="eastAsia" w:ascii="仿宋_GB2312" w:eastAsia="仿宋_GB2312" w:cs="DengXian-Regular"/>
          <w:sz w:val="32"/>
          <w:szCs w:val="32"/>
          <w:lang w:eastAsia="zh-CN"/>
        </w:rPr>
        <w:t>委政法委</w:t>
      </w:r>
      <w:r>
        <w:rPr>
          <w:rFonts w:hint="eastAsia" w:ascii="仿宋_GB2312" w:eastAsia="仿宋_GB2312" w:cs="DengXian-Regular"/>
          <w:sz w:val="32"/>
          <w:szCs w:val="32"/>
        </w:rPr>
        <w:t>202</w:t>
      </w:r>
      <w:r>
        <w:rPr>
          <w:rFonts w:ascii="仿宋_GB2312" w:eastAsia="仿宋_GB2312" w:cs="DengXian-Regular"/>
          <w:sz w:val="32"/>
          <w:szCs w:val="32"/>
        </w:rPr>
        <w:t>1</w:t>
      </w:r>
      <w:r>
        <w:rPr>
          <w:rFonts w:hint="eastAsia" w:ascii="仿宋_GB2312" w:eastAsia="仿宋_GB2312" w:cs="DengXian-Regular"/>
          <w:sz w:val="32"/>
          <w:szCs w:val="32"/>
        </w:rPr>
        <w:t>年决算文本-部门基本情况表，截至202</w:t>
      </w:r>
      <w:r>
        <w:rPr>
          <w:rFonts w:ascii="仿宋_GB2312" w:eastAsia="仿宋_GB2312" w:cs="DengXian-Regular"/>
          <w:sz w:val="32"/>
          <w:szCs w:val="32"/>
        </w:rPr>
        <w:t>1</w:t>
      </w:r>
      <w:r>
        <w:rPr>
          <w:rFonts w:hint="eastAsia" w:ascii="仿宋_GB2312" w:eastAsia="仿宋_GB2312" w:cs="DengXian-Regular"/>
          <w:sz w:val="32"/>
          <w:szCs w:val="32"/>
        </w:rPr>
        <w:t>年底，在职人员</w:t>
      </w:r>
      <w:r>
        <w:rPr>
          <w:rFonts w:hint="default" w:ascii="仿宋_GB2312" w:eastAsia="仿宋_GB2312" w:cs="DengXian-Regular"/>
          <w:sz w:val="32"/>
          <w:szCs w:val="32"/>
          <w:lang w:val="en-US"/>
        </w:rPr>
        <w:t>14</w:t>
      </w:r>
      <w:r>
        <w:rPr>
          <w:rFonts w:hint="eastAsia" w:ascii="仿宋_GB2312" w:eastAsia="仿宋_GB2312" w:cs="DengXian-Regular"/>
          <w:sz w:val="32"/>
          <w:szCs w:val="32"/>
        </w:rPr>
        <w:t>人，在职人员控制率=（</w:t>
      </w:r>
      <w:r>
        <w:rPr>
          <w:rFonts w:hint="default" w:ascii="仿宋_GB2312" w:eastAsia="仿宋_GB2312" w:cs="DengXian-Regular"/>
          <w:sz w:val="32"/>
          <w:szCs w:val="32"/>
          <w:lang w:val="en-US"/>
        </w:rPr>
        <w:t>15</w:t>
      </w:r>
      <w:r>
        <w:rPr>
          <w:rFonts w:hint="eastAsia" w:ascii="仿宋_GB2312" w:eastAsia="仿宋_GB2312" w:cs="DengXian-Regular"/>
          <w:sz w:val="32"/>
          <w:szCs w:val="32"/>
        </w:rPr>
        <w:t>/</w:t>
      </w:r>
      <w:r>
        <w:rPr>
          <w:rFonts w:hint="default" w:ascii="仿宋_GB2312" w:eastAsia="仿宋_GB2312" w:cs="DengXian-Regular"/>
          <w:sz w:val="32"/>
          <w:szCs w:val="32"/>
          <w:lang w:val="en-US"/>
        </w:rPr>
        <w:t>14</w:t>
      </w:r>
      <w:r>
        <w:rPr>
          <w:rFonts w:hint="eastAsia" w:ascii="仿宋_GB2312" w:eastAsia="仿宋_GB2312" w:cs="DengXian-Regular"/>
          <w:sz w:val="32"/>
          <w:szCs w:val="32"/>
        </w:rPr>
        <w:t>）*100%=1</w:t>
      </w:r>
      <w:r>
        <w:rPr>
          <w:rFonts w:hint="default" w:ascii="仿宋_GB2312" w:eastAsia="仿宋_GB2312" w:cs="DengXian-Regular"/>
          <w:sz w:val="32"/>
          <w:szCs w:val="32"/>
          <w:lang w:val="en-US"/>
        </w:rPr>
        <w:t>07</w:t>
      </w:r>
      <w:r>
        <w:rPr>
          <w:rFonts w:hint="eastAsia" w:ascii="仿宋_GB2312" w:eastAsia="仿宋_GB2312" w:cs="DengXian-Regular"/>
          <w:sz w:val="32"/>
          <w:szCs w:val="32"/>
        </w:rPr>
        <w:t>%。</w:t>
      </w:r>
    </w:p>
    <w:p w14:paraId="059589D1">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该指标实际得分</w:t>
      </w:r>
      <w:r>
        <w:rPr>
          <w:rFonts w:hint="default" w:ascii="仿宋_GB2312" w:eastAsia="仿宋_GB2312" w:cs="DengXian-Regular"/>
          <w:sz w:val="32"/>
          <w:szCs w:val="32"/>
          <w:lang w:val="en-US"/>
        </w:rPr>
        <w:t>1.8</w:t>
      </w:r>
      <w:r>
        <w:rPr>
          <w:rFonts w:hint="eastAsia" w:ascii="仿宋_GB2312" w:eastAsia="仿宋_GB2312" w:cs="DengXian-Regular"/>
          <w:sz w:val="32"/>
          <w:szCs w:val="32"/>
        </w:rPr>
        <w:t>分。</w:t>
      </w:r>
    </w:p>
    <w:bookmarkEnd w:id="60"/>
    <w:bookmarkEnd w:id="61"/>
    <w:p w14:paraId="4138E130">
      <w:pPr>
        <w:pStyle w:val="4"/>
        <w:spacing w:before="0" w:after="0"/>
        <w:ind w:firstLine="643" w:firstLineChars="200"/>
        <w:jc w:val="both"/>
        <w:rPr>
          <w:rFonts w:ascii="楷体" w:hAnsi="楷体" w:eastAsia="楷体"/>
          <w:sz w:val="32"/>
        </w:rPr>
      </w:pPr>
      <w:bookmarkStart w:id="62" w:name="_Toc19940"/>
      <w:r>
        <w:rPr>
          <w:rFonts w:hint="eastAsia" w:ascii="楷体" w:hAnsi="楷体" w:eastAsia="楷体"/>
          <w:sz w:val="32"/>
        </w:rPr>
        <w:t>（二）过程（48分）</w:t>
      </w:r>
      <w:bookmarkEnd w:id="62"/>
    </w:p>
    <w:p w14:paraId="4E3260D9">
      <w:pPr>
        <w:spacing w:after="0" w:line="360" w:lineRule="auto"/>
        <w:ind w:firstLine="640" w:firstLineChars="200"/>
        <w:jc w:val="both"/>
        <w:textAlignment w:val="baseline"/>
        <w:rPr>
          <w:rFonts w:ascii="仿宋_GB2312" w:eastAsia="仿宋_GB2312" w:cs="DengXian-Regular"/>
          <w:sz w:val="32"/>
          <w:szCs w:val="32"/>
        </w:rPr>
      </w:pPr>
      <w:bookmarkStart w:id="63" w:name="_Toc464638480"/>
      <w:r>
        <w:rPr>
          <w:rFonts w:hint="eastAsia" w:ascii="仿宋_GB2312" w:eastAsia="仿宋_GB2312" w:cs="DengXian-Regular"/>
          <w:sz w:val="32"/>
          <w:szCs w:val="32"/>
        </w:rPr>
        <w:t>该一级指标包含预算执行、预算管理和绩效评价三个二级指标，主要反映预算调整、收入支出完成情况，“三公”经费、政府采购执行情况，财务管理是否规范、资金使用是否合规，决算真实性。</w:t>
      </w:r>
    </w:p>
    <w:p w14:paraId="0A7F7D0E">
      <w:pPr>
        <w:spacing w:after="0" w:line="360" w:lineRule="auto"/>
        <w:jc w:val="center"/>
        <w:textAlignment w:val="baseline"/>
        <w:rPr>
          <w:rFonts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t>表3  过程指标及得分情况表</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557"/>
        <w:gridCol w:w="1388"/>
        <w:gridCol w:w="2277"/>
        <w:gridCol w:w="1155"/>
        <w:gridCol w:w="1276"/>
      </w:tblGrid>
      <w:tr w14:paraId="10333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exact"/>
          <w:jc w:val="center"/>
        </w:trPr>
        <w:tc>
          <w:tcPr>
            <w:tcW w:w="1557" w:type="dxa"/>
            <w:vAlign w:val="center"/>
          </w:tcPr>
          <w:p w14:paraId="4D9570EB">
            <w:pPr>
              <w:spacing w:after="0"/>
              <w:jc w:val="center"/>
              <w:textAlignment w:val="center"/>
              <w:rPr>
                <w:rFonts w:cs="宋体" w:asciiTheme="minorEastAsia" w:hAnsiTheme="minorEastAsia" w:eastAsiaTheme="minorEastAsia"/>
                <w:b/>
                <w:color w:val="000000"/>
                <w:sz w:val="21"/>
                <w:szCs w:val="21"/>
              </w:rPr>
            </w:pPr>
            <w:r>
              <w:rPr>
                <w:rFonts w:hint="eastAsia" w:cs="宋体" w:asciiTheme="minorEastAsia" w:hAnsiTheme="minorEastAsia" w:eastAsiaTheme="minorEastAsia"/>
                <w:b/>
                <w:color w:val="000000"/>
                <w:sz w:val="21"/>
                <w:szCs w:val="21"/>
              </w:rPr>
              <w:t>一级指标</w:t>
            </w:r>
          </w:p>
        </w:tc>
        <w:tc>
          <w:tcPr>
            <w:tcW w:w="1388" w:type="dxa"/>
            <w:vAlign w:val="center"/>
          </w:tcPr>
          <w:p w14:paraId="4B739EB0">
            <w:pPr>
              <w:spacing w:after="0"/>
              <w:jc w:val="center"/>
              <w:textAlignment w:val="center"/>
              <w:rPr>
                <w:rFonts w:cs="宋体" w:asciiTheme="minorEastAsia" w:hAnsiTheme="minorEastAsia" w:eastAsiaTheme="minorEastAsia"/>
                <w:b/>
                <w:color w:val="000000"/>
                <w:sz w:val="21"/>
                <w:szCs w:val="21"/>
              </w:rPr>
            </w:pPr>
            <w:r>
              <w:rPr>
                <w:rFonts w:hint="eastAsia" w:cs="宋体" w:asciiTheme="minorEastAsia" w:hAnsiTheme="minorEastAsia" w:eastAsiaTheme="minorEastAsia"/>
                <w:b/>
                <w:color w:val="000000"/>
                <w:sz w:val="21"/>
                <w:szCs w:val="21"/>
              </w:rPr>
              <w:t>二级指标</w:t>
            </w:r>
          </w:p>
        </w:tc>
        <w:tc>
          <w:tcPr>
            <w:tcW w:w="2277" w:type="dxa"/>
            <w:vAlign w:val="center"/>
          </w:tcPr>
          <w:p w14:paraId="0239DA0D">
            <w:pPr>
              <w:spacing w:after="0"/>
              <w:jc w:val="center"/>
              <w:textAlignment w:val="center"/>
              <w:rPr>
                <w:rFonts w:cs="宋体" w:asciiTheme="minorEastAsia" w:hAnsiTheme="minorEastAsia" w:eastAsiaTheme="minorEastAsia"/>
                <w:b/>
                <w:color w:val="000000"/>
                <w:sz w:val="21"/>
                <w:szCs w:val="21"/>
              </w:rPr>
            </w:pPr>
            <w:r>
              <w:rPr>
                <w:rFonts w:hint="eastAsia" w:cs="宋体" w:asciiTheme="minorEastAsia" w:hAnsiTheme="minorEastAsia" w:eastAsiaTheme="minorEastAsia"/>
                <w:b/>
                <w:color w:val="000000"/>
                <w:sz w:val="21"/>
                <w:szCs w:val="21"/>
              </w:rPr>
              <w:t>三级指标</w:t>
            </w:r>
          </w:p>
        </w:tc>
        <w:tc>
          <w:tcPr>
            <w:tcW w:w="1155" w:type="dxa"/>
            <w:vAlign w:val="center"/>
          </w:tcPr>
          <w:p w14:paraId="1D53B51D">
            <w:pPr>
              <w:spacing w:after="0"/>
              <w:jc w:val="center"/>
              <w:textAlignment w:val="center"/>
              <w:rPr>
                <w:rFonts w:cs="宋体" w:asciiTheme="minorEastAsia" w:hAnsiTheme="minorEastAsia" w:eastAsiaTheme="minorEastAsia"/>
                <w:b/>
                <w:color w:val="000000"/>
                <w:sz w:val="21"/>
                <w:szCs w:val="21"/>
              </w:rPr>
            </w:pPr>
            <w:r>
              <w:rPr>
                <w:rFonts w:hint="eastAsia" w:cs="宋体" w:asciiTheme="minorEastAsia" w:hAnsiTheme="minorEastAsia" w:eastAsiaTheme="minorEastAsia"/>
                <w:b/>
                <w:color w:val="000000"/>
                <w:sz w:val="21"/>
                <w:szCs w:val="21"/>
              </w:rPr>
              <w:t>分数权重</w:t>
            </w:r>
          </w:p>
        </w:tc>
        <w:tc>
          <w:tcPr>
            <w:tcW w:w="1276" w:type="dxa"/>
            <w:vAlign w:val="center"/>
          </w:tcPr>
          <w:p w14:paraId="1B0683D5">
            <w:pPr>
              <w:spacing w:after="0"/>
              <w:jc w:val="center"/>
              <w:textAlignment w:val="center"/>
              <w:rPr>
                <w:rFonts w:cs="宋体" w:asciiTheme="minorEastAsia" w:hAnsiTheme="minorEastAsia" w:eastAsiaTheme="minorEastAsia"/>
                <w:b/>
                <w:color w:val="000000"/>
                <w:sz w:val="21"/>
                <w:szCs w:val="21"/>
              </w:rPr>
            </w:pPr>
            <w:r>
              <w:rPr>
                <w:rFonts w:hint="eastAsia" w:cs="宋体" w:asciiTheme="minorEastAsia" w:hAnsiTheme="minorEastAsia" w:eastAsiaTheme="minorEastAsia"/>
                <w:b/>
                <w:color w:val="000000"/>
                <w:sz w:val="21"/>
                <w:szCs w:val="21"/>
              </w:rPr>
              <w:t>得分</w:t>
            </w:r>
          </w:p>
        </w:tc>
      </w:tr>
      <w:tr w14:paraId="050BB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exact"/>
          <w:jc w:val="center"/>
        </w:trPr>
        <w:tc>
          <w:tcPr>
            <w:tcW w:w="1557" w:type="dxa"/>
            <w:vMerge w:val="restart"/>
            <w:vAlign w:val="center"/>
          </w:tcPr>
          <w:p w14:paraId="27F838D0">
            <w:pPr>
              <w:spacing w:line="420" w:lineRule="exact"/>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过程（48分）</w:t>
            </w:r>
          </w:p>
        </w:tc>
        <w:tc>
          <w:tcPr>
            <w:tcW w:w="1388" w:type="dxa"/>
            <w:vMerge w:val="restart"/>
            <w:vAlign w:val="center"/>
          </w:tcPr>
          <w:p w14:paraId="53555290">
            <w:pPr>
              <w:spacing w:line="420" w:lineRule="exact"/>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预算执行</w:t>
            </w:r>
          </w:p>
          <w:p w14:paraId="57529344">
            <w:pPr>
              <w:spacing w:line="420" w:lineRule="exact"/>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（24分）</w:t>
            </w:r>
          </w:p>
        </w:tc>
        <w:tc>
          <w:tcPr>
            <w:tcW w:w="2277" w:type="dxa"/>
            <w:vAlign w:val="center"/>
          </w:tcPr>
          <w:p w14:paraId="4A5FF9E4">
            <w:pPr>
              <w:spacing w:line="420" w:lineRule="exact"/>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预算收入调整率</w:t>
            </w:r>
          </w:p>
        </w:tc>
        <w:tc>
          <w:tcPr>
            <w:tcW w:w="1155" w:type="dxa"/>
            <w:vAlign w:val="center"/>
          </w:tcPr>
          <w:p w14:paraId="307D55AC">
            <w:pPr>
              <w:spacing w:line="420" w:lineRule="exact"/>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w:t>
            </w:r>
          </w:p>
        </w:tc>
        <w:tc>
          <w:tcPr>
            <w:tcW w:w="1276" w:type="dxa"/>
            <w:vAlign w:val="center"/>
          </w:tcPr>
          <w:p w14:paraId="0AE1DCD7">
            <w:pPr>
              <w:spacing w:line="420" w:lineRule="exact"/>
              <w:jc w:val="center"/>
              <w:rPr>
                <w:rFonts w:hint="default" w:cs="宋体" w:asciiTheme="minorEastAsia" w:hAnsiTheme="minorEastAsia" w:eastAsiaTheme="minorEastAsia"/>
                <w:sz w:val="21"/>
                <w:szCs w:val="21"/>
                <w:lang w:val="en-US"/>
              </w:rPr>
            </w:pPr>
            <w:r>
              <w:rPr>
                <w:rFonts w:hint="default" w:cs="宋体" w:asciiTheme="minorEastAsia" w:hAnsiTheme="minorEastAsia" w:eastAsiaTheme="minorEastAsia"/>
                <w:sz w:val="21"/>
                <w:szCs w:val="21"/>
                <w:lang w:val="en-US"/>
              </w:rPr>
              <w:t>1.8</w:t>
            </w:r>
          </w:p>
        </w:tc>
      </w:tr>
      <w:tr w14:paraId="39A2B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exact"/>
          <w:jc w:val="center"/>
        </w:trPr>
        <w:tc>
          <w:tcPr>
            <w:tcW w:w="1557" w:type="dxa"/>
            <w:vMerge w:val="continue"/>
            <w:vAlign w:val="center"/>
          </w:tcPr>
          <w:p w14:paraId="513EC78E">
            <w:pPr>
              <w:spacing w:line="420" w:lineRule="exact"/>
              <w:jc w:val="center"/>
              <w:rPr>
                <w:rFonts w:cs="宋体" w:asciiTheme="minorEastAsia" w:hAnsiTheme="minorEastAsia" w:eastAsiaTheme="minorEastAsia"/>
                <w:sz w:val="21"/>
                <w:szCs w:val="21"/>
              </w:rPr>
            </w:pPr>
          </w:p>
        </w:tc>
        <w:tc>
          <w:tcPr>
            <w:tcW w:w="1388" w:type="dxa"/>
            <w:vMerge w:val="continue"/>
            <w:vAlign w:val="center"/>
          </w:tcPr>
          <w:p w14:paraId="1EA074A1">
            <w:pPr>
              <w:spacing w:line="420" w:lineRule="exact"/>
              <w:jc w:val="center"/>
              <w:rPr>
                <w:rFonts w:cs="宋体" w:asciiTheme="minorEastAsia" w:hAnsiTheme="minorEastAsia" w:eastAsiaTheme="minorEastAsia"/>
                <w:sz w:val="21"/>
                <w:szCs w:val="21"/>
              </w:rPr>
            </w:pPr>
          </w:p>
        </w:tc>
        <w:tc>
          <w:tcPr>
            <w:tcW w:w="2277" w:type="dxa"/>
            <w:vAlign w:val="center"/>
          </w:tcPr>
          <w:p w14:paraId="0F86CBC3">
            <w:pPr>
              <w:spacing w:line="420" w:lineRule="exact"/>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收入完成率</w:t>
            </w:r>
          </w:p>
        </w:tc>
        <w:tc>
          <w:tcPr>
            <w:tcW w:w="1155" w:type="dxa"/>
            <w:vAlign w:val="center"/>
          </w:tcPr>
          <w:p w14:paraId="17822A46">
            <w:pPr>
              <w:spacing w:line="420" w:lineRule="exact"/>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4</w:t>
            </w:r>
          </w:p>
        </w:tc>
        <w:tc>
          <w:tcPr>
            <w:tcW w:w="1276" w:type="dxa"/>
            <w:vAlign w:val="center"/>
          </w:tcPr>
          <w:p w14:paraId="73A4A756">
            <w:pPr>
              <w:spacing w:line="420" w:lineRule="exact"/>
              <w:jc w:val="center"/>
              <w:rPr>
                <w:rFonts w:hint="default" w:cs="宋体" w:asciiTheme="minorEastAsia" w:hAnsiTheme="minorEastAsia" w:eastAsiaTheme="minorEastAsia"/>
                <w:sz w:val="21"/>
                <w:szCs w:val="21"/>
                <w:lang w:val="en-US"/>
              </w:rPr>
            </w:pPr>
            <w:r>
              <w:rPr>
                <w:rFonts w:hint="default" w:cs="宋体" w:asciiTheme="minorEastAsia" w:hAnsiTheme="minorEastAsia" w:eastAsiaTheme="minorEastAsia"/>
                <w:sz w:val="21"/>
                <w:szCs w:val="21"/>
                <w:lang w:val="en-US"/>
              </w:rPr>
              <w:t>4</w:t>
            </w:r>
          </w:p>
        </w:tc>
      </w:tr>
      <w:tr w14:paraId="00ED7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exact"/>
          <w:jc w:val="center"/>
        </w:trPr>
        <w:tc>
          <w:tcPr>
            <w:tcW w:w="1557" w:type="dxa"/>
            <w:vMerge w:val="continue"/>
            <w:vAlign w:val="center"/>
          </w:tcPr>
          <w:p w14:paraId="304EA137">
            <w:pPr>
              <w:spacing w:line="420" w:lineRule="exact"/>
              <w:jc w:val="center"/>
              <w:rPr>
                <w:rFonts w:cs="宋体" w:asciiTheme="minorEastAsia" w:hAnsiTheme="minorEastAsia" w:eastAsiaTheme="minorEastAsia"/>
                <w:sz w:val="21"/>
                <w:szCs w:val="21"/>
              </w:rPr>
            </w:pPr>
          </w:p>
        </w:tc>
        <w:tc>
          <w:tcPr>
            <w:tcW w:w="1388" w:type="dxa"/>
            <w:vMerge w:val="continue"/>
            <w:vAlign w:val="center"/>
          </w:tcPr>
          <w:p w14:paraId="66EA7E8B">
            <w:pPr>
              <w:spacing w:line="420" w:lineRule="exact"/>
              <w:jc w:val="center"/>
              <w:rPr>
                <w:rFonts w:cs="宋体" w:asciiTheme="minorEastAsia" w:hAnsiTheme="minorEastAsia" w:eastAsiaTheme="minorEastAsia"/>
                <w:sz w:val="21"/>
                <w:szCs w:val="21"/>
              </w:rPr>
            </w:pPr>
          </w:p>
        </w:tc>
        <w:tc>
          <w:tcPr>
            <w:tcW w:w="2277" w:type="dxa"/>
            <w:vAlign w:val="center"/>
          </w:tcPr>
          <w:p w14:paraId="74807656">
            <w:pPr>
              <w:spacing w:line="420" w:lineRule="exact"/>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预算支出调整率</w:t>
            </w:r>
          </w:p>
        </w:tc>
        <w:tc>
          <w:tcPr>
            <w:tcW w:w="1155" w:type="dxa"/>
            <w:vAlign w:val="center"/>
          </w:tcPr>
          <w:p w14:paraId="3F527C9C">
            <w:pPr>
              <w:spacing w:line="420" w:lineRule="exact"/>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w:t>
            </w:r>
          </w:p>
        </w:tc>
        <w:tc>
          <w:tcPr>
            <w:tcW w:w="1276" w:type="dxa"/>
            <w:vAlign w:val="center"/>
          </w:tcPr>
          <w:p w14:paraId="5AD6C79B">
            <w:pPr>
              <w:spacing w:line="420" w:lineRule="exact"/>
              <w:jc w:val="center"/>
              <w:rPr>
                <w:rFonts w:hint="default" w:cs="宋体" w:asciiTheme="minorEastAsia" w:hAnsiTheme="minorEastAsia" w:eastAsiaTheme="minorEastAsia"/>
                <w:sz w:val="21"/>
                <w:szCs w:val="21"/>
                <w:lang w:val="en-US"/>
              </w:rPr>
            </w:pPr>
            <w:r>
              <w:rPr>
                <w:rFonts w:hint="default" w:cs="宋体" w:asciiTheme="minorEastAsia" w:hAnsiTheme="minorEastAsia" w:eastAsiaTheme="minorEastAsia"/>
                <w:sz w:val="21"/>
                <w:szCs w:val="21"/>
                <w:lang w:val="en-US"/>
              </w:rPr>
              <w:t>1.8</w:t>
            </w:r>
          </w:p>
        </w:tc>
      </w:tr>
      <w:tr w14:paraId="258B0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exact"/>
          <w:jc w:val="center"/>
        </w:trPr>
        <w:tc>
          <w:tcPr>
            <w:tcW w:w="1557" w:type="dxa"/>
            <w:vMerge w:val="continue"/>
            <w:vAlign w:val="center"/>
          </w:tcPr>
          <w:p w14:paraId="7FC83EA3">
            <w:pPr>
              <w:spacing w:line="420" w:lineRule="exact"/>
              <w:jc w:val="center"/>
              <w:rPr>
                <w:rFonts w:cs="宋体" w:asciiTheme="minorEastAsia" w:hAnsiTheme="minorEastAsia" w:eastAsiaTheme="minorEastAsia"/>
                <w:sz w:val="21"/>
                <w:szCs w:val="21"/>
              </w:rPr>
            </w:pPr>
          </w:p>
        </w:tc>
        <w:tc>
          <w:tcPr>
            <w:tcW w:w="1388" w:type="dxa"/>
            <w:vMerge w:val="continue"/>
            <w:vAlign w:val="center"/>
          </w:tcPr>
          <w:p w14:paraId="63D69B0B">
            <w:pPr>
              <w:spacing w:line="420" w:lineRule="exact"/>
              <w:jc w:val="center"/>
              <w:rPr>
                <w:rFonts w:cs="宋体" w:asciiTheme="minorEastAsia" w:hAnsiTheme="minorEastAsia" w:eastAsiaTheme="minorEastAsia"/>
                <w:sz w:val="21"/>
                <w:szCs w:val="21"/>
              </w:rPr>
            </w:pPr>
          </w:p>
        </w:tc>
        <w:tc>
          <w:tcPr>
            <w:tcW w:w="2277" w:type="dxa"/>
            <w:vAlign w:val="center"/>
          </w:tcPr>
          <w:p w14:paraId="7BA9C1BC">
            <w:pPr>
              <w:spacing w:line="420" w:lineRule="exact"/>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财政拨款支出完成率</w:t>
            </w:r>
          </w:p>
        </w:tc>
        <w:tc>
          <w:tcPr>
            <w:tcW w:w="1155" w:type="dxa"/>
            <w:vAlign w:val="center"/>
          </w:tcPr>
          <w:p w14:paraId="120476AA">
            <w:pPr>
              <w:spacing w:line="420" w:lineRule="exact"/>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4</w:t>
            </w:r>
          </w:p>
        </w:tc>
        <w:tc>
          <w:tcPr>
            <w:tcW w:w="1276" w:type="dxa"/>
            <w:vAlign w:val="center"/>
          </w:tcPr>
          <w:p w14:paraId="25E918A4">
            <w:pPr>
              <w:spacing w:line="420" w:lineRule="exact"/>
              <w:jc w:val="center"/>
              <w:rPr>
                <w:rFonts w:hint="default" w:cs="宋体" w:asciiTheme="minorEastAsia" w:hAnsiTheme="minorEastAsia" w:eastAsiaTheme="minorEastAsia"/>
                <w:sz w:val="21"/>
                <w:szCs w:val="21"/>
                <w:lang w:val="en-US"/>
              </w:rPr>
            </w:pPr>
            <w:r>
              <w:rPr>
                <w:rFonts w:hint="default" w:cs="宋体" w:asciiTheme="minorEastAsia" w:hAnsiTheme="minorEastAsia" w:eastAsiaTheme="minorEastAsia"/>
                <w:sz w:val="21"/>
                <w:szCs w:val="21"/>
                <w:lang w:val="en-US"/>
              </w:rPr>
              <w:t>3</w:t>
            </w:r>
          </w:p>
        </w:tc>
      </w:tr>
      <w:tr w14:paraId="63D62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exact"/>
          <w:jc w:val="center"/>
        </w:trPr>
        <w:tc>
          <w:tcPr>
            <w:tcW w:w="1557" w:type="dxa"/>
            <w:vMerge w:val="continue"/>
            <w:vAlign w:val="center"/>
          </w:tcPr>
          <w:p w14:paraId="2B01BE02">
            <w:pPr>
              <w:spacing w:line="420" w:lineRule="exact"/>
              <w:jc w:val="center"/>
              <w:rPr>
                <w:rFonts w:cs="宋体" w:asciiTheme="minorEastAsia" w:hAnsiTheme="minorEastAsia" w:eastAsiaTheme="minorEastAsia"/>
                <w:sz w:val="21"/>
                <w:szCs w:val="21"/>
              </w:rPr>
            </w:pPr>
          </w:p>
        </w:tc>
        <w:tc>
          <w:tcPr>
            <w:tcW w:w="1388" w:type="dxa"/>
            <w:vMerge w:val="continue"/>
            <w:vAlign w:val="center"/>
          </w:tcPr>
          <w:p w14:paraId="7B411E3E">
            <w:pPr>
              <w:spacing w:line="420" w:lineRule="exact"/>
              <w:jc w:val="center"/>
              <w:rPr>
                <w:rFonts w:cs="宋体" w:asciiTheme="minorEastAsia" w:hAnsiTheme="minorEastAsia" w:eastAsiaTheme="minorEastAsia"/>
                <w:sz w:val="21"/>
                <w:szCs w:val="21"/>
              </w:rPr>
            </w:pPr>
          </w:p>
        </w:tc>
        <w:tc>
          <w:tcPr>
            <w:tcW w:w="2277" w:type="dxa"/>
            <w:vAlign w:val="center"/>
          </w:tcPr>
          <w:p w14:paraId="5EFF22E4">
            <w:pPr>
              <w:spacing w:line="420" w:lineRule="exact"/>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“三公经费”控制率</w:t>
            </w:r>
          </w:p>
        </w:tc>
        <w:tc>
          <w:tcPr>
            <w:tcW w:w="1155" w:type="dxa"/>
            <w:vAlign w:val="center"/>
          </w:tcPr>
          <w:p w14:paraId="51051EDE">
            <w:pPr>
              <w:spacing w:line="420" w:lineRule="exact"/>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w:t>
            </w:r>
          </w:p>
        </w:tc>
        <w:tc>
          <w:tcPr>
            <w:tcW w:w="1276" w:type="dxa"/>
            <w:vAlign w:val="center"/>
          </w:tcPr>
          <w:p w14:paraId="12C516A9">
            <w:pPr>
              <w:spacing w:line="420" w:lineRule="exact"/>
              <w:jc w:val="center"/>
              <w:rPr>
                <w:rFonts w:hint="default" w:cs="宋体" w:asciiTheme="minorEastAsia" w:hAnsiTheme="minorEastAsia" w:eastAsiaTheme="minorEastAsia"/>
                <w:sz w:val="21"/>
                <w:szCs w:val="21"/>
                <w:lang w:val="en-US"/>
              </w:rPr>
            </w:pPr>
            <w:r>
              <w:rPr>
                <w:rFonts w:hint="default" w:cs="宋体" w:asciiTheme="minorEastAsia" w:hAnsiTheme="minorEastAsia" w:eastAsiaTheme="minorEastAsia"/>
                <w:sz w:val="21"/>
                <w:szCs w:val="21"/>
                <w:lang w:val="en-US"/>
              </w:rPr>
              <w:t>3</w:t>
            </w:r>
          </w:p>
        </w:tc>
      </w:tr>
      <w:tr w14:paraId="317F9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exact"/>
          <w:jc w:val="center"/>
        </w:trPr>
        <w:tc>
          <w:tcPr>
            <w:tcW w:w="1557" w:type="dxa"/>
            <w:vMerge w:val="continue"/>
            <w:vAlign w:val="center"/>
          </w:tcPr>
          <w:p w14:paraId="214B0329">
            <w:pPr>
              <w:spacing w:line="420" w:lineRule="exact"/>
              <w:jc w:val="center"/>
              <w:rPr>
                <w:rFonts w:cs="宋体" w:asciiTheme="minorEastAsia" w:hAnsiTheme="minorEastAsia" w:eastAsiaTheme="minorEastAsia"/>
                <w:sz w:val="21"/>
                <w:szCs w:val="21"/>
              </w:rPr>
            </w:pPr>
          </w:p>
        </w:tc>
        <w:tc>
          <w:tcPr>
            <w:tcW w:w="1388" w:type="dxa"/>
            <w:vMerge w:val="continue"/>
            <w:vAlign w:val="center"/>
          </w:tcPr>
          <w:p w14:paraId="6DAE9EA4">
            <w:pPr>
              <w:spacing w:line="420" w:lineRule="exact"/>
              <w:jc w:val="center"/>
              <w:rPr>
                <w:rFonts w:cs="宋体" w:asciiTheme="minorEastAsia" w:hAnsiTheme="minorEastAsia" w:eastAsiaTheme="minorEastAsia"/>
                <w:sz w:val="21"/>
                <w:szCs w:val="21"/>
              </w:rPr>
            </w:pPr>
          </w:p>
        </w:tc>
        <w:tc>
          <w:tcPr>
            <w:tcW w:w="2277" w:type="dxa"/>
            <w:vAlign w:val="center"/>
          </w:tcPr>
          <w:p w14:paraId="0BFE1817">
            <w:pPr>
              <w:spacing w:line="420" w:lineRule="exact"/>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政府采购执行率</w:t>
            </w:r>
          </w:p>
        </w:tc>
        <w:tc>
          <w:tcPr>
            <w:tcW w:w="1155" w:type="dxa"/>
            <w:vAlign w:val="center"/>
          </w:tcPr>
          <w:p w14:paraId="5AD3B3C5">
            <w:pPr>
              <w:spacing w:line="420" w:lineRule="exact"/>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w:t>
            </w:r>
          </w:p>
        </w:tc>
        <w:tc>
          <w:tcPr>
            <w:tcW w:w="1276" w:type="dxa"/>
            <w:vAlign w:val="center"/>
          </w:tcPr>
          <w:p w14:paraId="4D4496AF">
            <w:pPr>
              <w:spacing w:line="420" w:lineRule="exact"/>
              <w:jc w:val="center"/>
              <w:rPr>
                <w:rFonts w:hint="default" w:cs="宋体" w:asciiTheme="minorEastAsia" w:hAnsiTheme="minorEastAsia" w:eastAsiaTheme="minorEastAsia"/>
                <w:sz w:val="21"/>
                <w:szCs w:val="21"/>
                <w:lang w:val="en-US"/>
              </w:rPr>
            </w:pPr>
            <w:r>
              <w:rPr>
                <w:rFonts w:hint="default" w:cs="宋体" w:asciiTheme="minorEastAsia" w:hAnsiTheme="minorEastAsia" w:eastAsiaTheme="minorEastAsia"/>
                <w:sz w:val="21"/>
                <w:szCs w:val="21"/>
                <w:lang w:val="en-US"/>
              </w:rPr>
              <w:t>3</w:t>
            </w:r>
          </w:p>
        </w:tc>
      </w:tr>
      <w:tr w14:paraId="13174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exact"/>
          <w:jc w:val="center"/>
        </w:trPr>
        <w:tc>
          <w:tcPr>
            <w:tcW w:w="1557" w:type="dxa"/>
            <w:vMerge w:val="continue"/>
            <w:vAlign w:val="center"/>
          </w:tcPr>
          <w:p w14:paraId="7B58BF11">
            <w:pPr>
              <w:spacing w:line="420" w:lineRule="exact"/>
              <w:jc w:val="center"/>
              <w:rPr>
                <w:rFonts w:cs="宋体" w:asciiTheme="minorEastAsia" w:hAnsiTheme="minorEastAsia" w:eastAsiaTheme="minorEastAsia"/>
                <w:sz w:val="21"/>
                <w:szCs w:val="21"/>
              </w:rPr>
            </w:pPr>
          </w:p>
        </w:tc>
        <w:tc>
          <w:tcPr>
            <w:tcW w:w="1388" w:type="dxa"/>
            <w:vMerge w:val="continue"/>
            <w:vAlign w:val="center"/>
          </w:tcPr>
          <w:p w14:paraId="1515F9B6">
            <w:pPr>
              <w:spacing w:line="420" w:lineRule="exact"/>
              <w:jc w:val="center"/>
              <w:rPr>
                <w:rFonts w:cs="宋体" w:asciiTheme="minorEastAsia" w:hAnsiTheme="minorEastAsia" w:eastAsiaTheme="minorEastAsia"/>
                <w:sz w:val="21"/>
                <w:szCs w:val="21"/>
              </w:rPr>
            </w:pPr>
          </w:p>
        </w:tc>
        <w:tc>
          <w:tcPr>
            <w:tcW w:w="2277" w:type="dxa"/>
            <w:vAlign w:val="center"/>
          </w:tcPr>
          <w:p w14:paraId="649A1242">
            <w:pPr>
              <w:spacing w:line="420" w:lineRule="exact"/>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资金使用合规性</w:t>
            </w:r>
          </w:p>
        </w:tc>
        <w:tc>
          <w:tcPr>
            <w:tcW w:w="1155" w:type="dxa"/>
            <w:vAlign w:val="center"/>
          </w:tcPr>
          <w:p w14:paraId="5E4B2682">
            <w:pPr>
              <w:spacing w:line="420" w:lineRule="exact"/>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w:t>
            </w:r>
          </w:p>
        </w:tc>
        <w:tc>
          <w:tcPr>
            <w:tcW w:w="1276" w:type="dxa"/>
            <w:vAlign w:val="center"/>
          </w:tcPr>
          <w:p w14:paraId="72449FDA">
            <w:pPr>
              <w:spacing w:line="420" w:lineRule="exact"/>
              <w:jc w:val="center"/>
              <w:rPr>
                <w:rFonts w:hint="default" w:cs="宋体" w:asciiTheme="minorEastAsia" w:hAnsiTheme="minorEastAsia" w:eastAsiaTheme="minorEastAsia"/>
                <w:sz w:val="21"/>
                <w:szCs w:val="21"/>
                <w:lang w:val="en-US"/>
              </w:rPr>
            </w:pPr>
            <w:r>
              <w:rPr>
                <w:rFonts w:hint="default" w:cs="宋体" w:asciiTheme="minorEastAsia" w:hAnsiTheme="minorEastAsia" w:eastAsiaTheme="minorEastAsia"/>
                <w:sz w:val="21"/>
                <w:szCs w:val="21"/>
                <w:lang w:val="en-US"/>
              </w:rPr>
              <w:t>3</w:t>
            </w:r>
          </w:p>
        </w:tc>
      </w:tr>
      <w:tr w14:paraId="1C711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exact"/>
          <w:jc w:val="center"/>
        </w:trPr>
        <w:tc>
          <w:tcPr>
            <w:tcW w:w="1557" w:type="dxa"/>
            <w:vMerge w:val="continue"/>
            <w:vAlign w:val="center"/>
          </w:tcPr>
          <w:p w14:paraId="38F30279">
            <w:pPr>
              <w:spacing w:line="420" w:lineRule="exact"/>
              <w:jc w:val="center"/>
              <w:rPr>
                <w:rFonts w:cs="宋体" w:asciiTheme="minorEastAsia" w:hAnsiTheme="minorEastAsia" w:eastAsiaTheme="minorEastAsia"/>
                <w:sz w:val="21"/>
                <w:szCs w:val="21"/>
              </w:rPr>
            </w:pPr>
          </w:p>
        </w:tc>
        <w:tc>
          <w:tcPr>
            <w:tcW w:w="1388" w:type="dxa"/>
            <w:vMerge w:val="continue"/>
            <w:vAlign w:val="center"/>
          </w:tcPr>
          <w:p w14:paraId="1BA168DC">
            <w:pPr>
              <w:spacing w:line="420" w:lineRule="exact"/>
              <w:jc w:val="center"/>
              <w:rPr>
                <w:rFonts w:cs="宋体" w:asciiTheme="minorEastAsia" w:hAnsiTheme="minorEastAsia" w:eastAsiaTheme="minorEastAsia"/>
                <w:sz w:val="21"/>
                <w:szCs w:val="21"/>
              </w:rPr>
            </w:pPr>
          </w:p>
        </w:tc>
        <w:tc>
          <w:tcPr>
            <w:tcW w:w="2277" w:type="dxa"/>
            <w:vAlign w:val="center"/>
          </w:tcPr>
          <w:p w14:paraId="34E5E430">
            <w:pPr>
              <w:spacing w:line="420" w:lineRule="exact"/>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决算真实性</w:t>
            </w:r>
          </w:p>
        </w:tc>
        <w:tc>
          <w:tcPr>
            <w:tcW w:w="1155" w:type="dxa"/>
            <w:vAlign w:val="center"/>
          </w:tcPr>
          <w:p w14:paraId="5876FAD8">
            <w:pPr>
              <w:spacing w:line="420" w:lineRule="exact"/>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w:t>
            </w:r>
          </w:p>
        </w:tc>
        <w:tc>
          <w:tcPr>
            <w:tcW w:w="1276" w:type="dxa"/>
            <w:vAlign w:val="center"/>
          </w:tcPr>
          <w:p w14:paraId="0B781984">
            <w:pPr>
              <w:spacing w:line="420" w:lineRule="exact"/>
              <w:jc w:val="center"/>
              <w:rPr>
                <w:rFonts w:hint="default" w:cs="宋体" w:asciiTheme="minorEastAsia" w:hAnsiTheme="minorEastAsia" w:eastAsiaTheme="minorEastAsia"/>
                <w:sz w:val="21"/>
                <w:szCs w:val="21"/>
                <w:lang w:val="en-US"/>
              </w:rPr>
            </w:pPr>
            <w:r>
              <w:rPr>
                <w:rFonts w:hint="default" w:cs="宋体" w:asciiTheme="minorEastAsia" w:hAnsiTheme="minorEastAsia" w:eastAsiaTheme="minorEastAsia"/>
                <w:sz w:val="21"/>
                <w:szCs w:val="21"/>
                <w:lang w:val="en-US"/>
              </w:rPr>
              <w:t>3</w:t>
            </w:r>
          </w:p>
        </w:tc>
      </w:tr>
      <w:tr w14:paraId="71C7F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exact"/>
          <w:jc w:val="center"/>
        </w:trPr>
        <w:tc>
          <w:tcPr>
            <w:tcW w:w="1557" w:type="dxa"/>
            <w:vMerge w:val="continue"/>
            <w:vAlign w:val="center"/>
          </w:tcPr>
          <w:p w14:paraId="20F71CDF">
            <w:pPr>
              <w:spacing w:line="420" w:lineRule="exact"/>
              <w:jc w:val="center"/>
              <w:rPr>
                <w:rFonts w:cs="宋体" w:asciiTheme="minorEastAsia" w:hAnsiTheme="minorEastAsia" w:eastAsiaTheme="minorEastAsia"/>
                <w:sz w:val="21"/>
                <w:szCs w:val="21"/>
              </w:rPr>
            </w:pPr>
          </w:p>
        </w:tc>
        <w:tc>
          <w:tcPr>
            <w:tcW w:w="1388" w:type="dxa"/>
            <w:vMerge w:val="restart"/>
            <w:vAlign w:val="center"/>
          </w:tcPr>
          <w:p w14:paraId="3715FFA0">
            <w:pPr>
              <w:spacing w:line="420" w:lineRule="exact"/>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预算管理</w:t>
            </w:r>
          </w:p>
          <w:p w14:paraId="4EE6A4FD">
            <w:pPr>
              <w:spacing w:line="420" w:lineRule="exact"/>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（16分）</w:t>
            </w:r>
          </w:p>
        </w:tc>
        <w:tc>
          <w:tcPr>
            <w:tcW w:w="2277" w:type="dxa"/>
            <w:vAlign w:val="center"/>
          </w:tcPr>
          <w:p w14:paraId="6ECDD964">
            <w:pPr>
              <w:spacing w:line="420" w:lineRule="exact"/>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管理制度健全性</w:t>
            </w:r>
          </w:p>
        </w:tc>
        <w:tc>
          <w:tcPr>
            <w:tcW w:w="1155" w:type="dxa"/>
            <w:vAlign w:val="center"/>
          </w:tcPr>
          <w:p w14:paraId="03233426">
            <w:pPr>
              <w:spacing w:line="420" w:lineRule="exact"/>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4</w:t>
            </w:r>
          </w:p>
        </w:tc>
        <w:tc>
          <w:tcPr>
            <w:tcW w:w="1276" w:type="dxa"/>
            <w:vAlign w:val="center"/>
          </w:tcPr>
          <w:p w14:paraId="6276031C">
            <w:pPr>
              <w:spacing w:line="420" w:lineRule="exact"/>
              <w:jc w:val="center"/>
              <w:rPr>
                <w:rFonts w:hint="default" w:cs="宋体" w:asciiTheme="minorEastAsia" w:hAnsiTheme="minorEastAsia" w:eastAsiaTheme="minorEastAsia"/>
                <w:sz w:val="21"/>
                <w:szCs w:val="21"/>
                <w:lang w:val="en-US"/>
              </w:rPr>
            </w:pPr>
            <w:r>
              <w:rPr>
                <w:rFonts w:hint="default" w:cs="宋体" w:asciiTheme="minorEastAsia" w:hAnsiTheme="minorEastAsia" w:eastAsiaTheme="minorEastAsia"/>
                <w:sz w:val="21"/>
                <w:szCs w:val="21"/>
                <w:lang w:val="en-US"/>
              </w:rPr>
              <w:t>3</w:t>
            </w:r>
          </w:p>
        </w:tc>
      </w:tr>
      <w:tr w14:paraId="22168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exact"/>
          <w:jc w:val="center"/>
        </w:trPr>
        <w:tc>
          <w:tcPr>
            <w:tcW w:w="1557" w:type="dxa"/>
            <w:vMerge w:val="continue"/>
            <w:vAlign w:val="center"/>
          </w:tcPr>
          <w:p w14:paraId="65954445">
            <w:pPr>
              <w:spacing w:line="420" w:lineRule="exact"/>
              <w:jc w:val="center"/>
              <w:rPr>
                <w:rFonts w:cs="宋体" w:asciiTheme="minorEastAsia" w:hAnsiTheme="minorEastAsia" w:eastAsiaTheme="minorEastAsia"/>
                <w:sz w:val="21"/>
                <w:szCs w:val="21"/>
              </w:rPr>
            </w:pPr>
          </w:p>
        </w:tc>
        <w:tc>
          <w:tcPr>
            <w:tcW w:w="1388" w:type="dxa"/>
            <w:vMerge w:val="continue"/>
            <w:vAlign w:val="center"/>
          </w:tcPr>
          <w:p w14:paraId="01DCA79B">
            <w:pPr>
              <w:spacing w:line="420" w:lineRule="exact"/>
              <w:jc w:val="center"/>
              <w:rPr>
                <w:rFonts w:cs="宋体" w:asciiTheme="minorEastAsia" w:hAnsiTheme="minorEastAsia" w:eastAsiaTheme="minorEastAsia"/>
                <w:sz w:val="21"/>
                <w:szCs w:val="21"/>
              </w:rPr>
            </w:pPr>
          </w:p>
        </w:tc>
        <w:tc>
          <w:tcPr>
            <w:tcW w:w="2277" w:type="dxa"/>
            <w:vAlign w:val="center"/>
          </w:tcPr>
          <w:p w14:paraId="365062EF">
            <w:pPr>
              <w:spacing w:line="420" w:lineRule="exact"/>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预决算信息公开</w:t>
            </w:r>
          </w:p>
        </w:tc>
        <w:tc>
          <w:tcPr>
            <w:tcW w:w="1155" w:type="dxa"/>
            <w:vAlign w:val="center"/>
          </w:tcPr>
          <w:p w14:paraId="1B7E97D1">
            <w:pPr>
              <w:spacing w:line="420" w:lineRule="exact"/>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4</w:t>
            </w:r>
          </w:p>
        </w:tc>
        <w:tc>
          <w:tcPr>
            <w:tcW w:w="1276" w:type="dxa"/>
            <w:vAlign w:val="center"/>
          </w:tcPr>
          <w:p w14:paraId="59990562">
            <w:pPr>
              <w:spacing w:line="420" w:lineRule="exact"/>
              <w:jc w:val="center"/>
              <w:rPr>
                <w:rFonts w:hint="default" w:cs="宋体" w:asciiTheme="minorEastAsia" w:hAnsiTheme="minorEastAsia" w:eastAsiaTheme="minorEastAsia"/>
                <w:sz w:val="21"/>
                <w:szCs w:val="21"/>
                <w:lang w:val="en-US"/>
              </w:rPr>
            </w:pPr>
            <w:r>
              <w:rPr>
                <w:rFonts w:hint="default" w:cs="宋体" w:asciiTheme="minorEastAsia" w:hAnsiTheme="minorEastAsia" w:eastAsiaTheme="minorEastAsia"/>
                <w:sz w:val="21"/>
                <w:szCs w:val="21"/>
                <w:lang w:val="en-US"/>
              </w:rPr>
              <w:t>4</w:t>
            </w:r>
          </w:p>
        </w:tc>
      </w:tr>
      <w:tr w14:paraId="40809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exact"/>
          <w:jc w:val="center"/>
        </w:trPr>
        <w:tc>
          <w:tcPr>
            <w:tcW w:w="1557" w:type="dxa"/>
            <w:vMerge w:val="continue"/>
            <w:vAlign w:val="center"/>
          </w:tcPr>
          <w:p w14:paraId="4B58DBF3">
            <w:pPr>
              <w:spacing w:line="420" w:lineRule="exact"/>
              <w:jc w:val="center"/>
              <w:rPr>
                <w:rFonts w:cs="宋体" w:asciiTheme="minorEastAsia" w:hAnsiTheme="minorEastAsia" w:eastAsiaTheme="minorEastAsia"/>
                <w:sz w:val="21"/>
                <w:szCs w:val="21"/>
              </w:rPr>
            </w:pPr>
          </w:p>
        </w:tc>
        <w:tc>
          <w:tcPr>
            <w:tcW w:w="1388" w:type="dxa"/>
            <w:vMerge w:val="continue"/>
            <w:vAlign w:val="center"/>
          </w:tcPr>
          <w:p w14:paraId="69F75A3A">
            <w:pPr>
              <w:spacing w:line="420" w:lineRule="exact"/>
              <w:jc w:val="center"/>
              <w:rPr>
                <w:rFonts w:cs="宋体" w:asciiTheme="minorEastAsia" w:hAnsiTheme="minorEastAsia" w:eastAsiaTheme="minorEastAsia"/>
                <w:sz w:val="21"/>
                <w:szCs w:val="21"/>
              </w:rPr>
            </w:pPr>
          </w:p>
        </w:tc>
        <w:tc>
          <w:tcPr>
            <w:tcW w:w="2277" w:type="dxa"/>
            <w:vAlign w:val="center"/>
          </w:tcPr>
          <w:p w14:paraId="5D9B363C">
            <w:pPr>
              <w:spacing w:line="420" w:lineRule="exact"/>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基础信息完善性</w:t>
            </w:r>
          </w:p>
        </w:tc>
        <w:tc>
          <w:tcPr>
            <w:tcW w:w="1155" w:type="dxa"/>
            <w:vAlign w:val="center"/>
          </w:tcPr>
          <w:p w14:paraId="2AD82D41">
            <w:pPr>
              <w:spacing w:line="420" w:lineRule="exact"/>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4</w:t>
            </w:r>
          </w:p>
        </w:tc>
        <w:tc>
          <w:tcPr>
            <w:tcW w:w="1276" w:type="dxa"/>
            <w:vAlign w:val="center"/>
          </w:tcPr>
          <w:p w14:paraId="25114ED1">
            <w:pPr>
              <w:spacing w:line="420" w:lineRule="exact"/>
              <w:jc w:val="center"/>
              <w:rPr>
                <w:rFonts w:hint="default" w:cs="宋体" w:asciiTheme="minorEastAsia" w:hAnsiTheme="minorEastAsia" w:eastAsiaTheme="minorEastAsia"/>
                <w:sz w:val="21"/>
                <w:szCs w:val="21"/>
                <w:lang w:val="en-US"/>
              </w:rPr>
            </w:pPr>
            <w:r>
              <w:rPr>
                <w:rFonts w:hint="default" w:cs="宋体" w:asciiTheme="minorEastAsia" w:hAnsiTheme="minorEastAsia" w:eastAsiaTheme="minorEastAsia"/>
                <w:sz w:val="21"/>
                <w:szCs w:val="21"/>
                <w:lang w:val="en-US"/>
              </w:rPr>
              <w:t>4</w:t>
            </w:r>
          </w:p>
        </w:tc>
      </w:tr>
      <w:tr w14:paraId="64CDC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exact"/>
          <w:jc w:val="center"/>
        </w:trPr>
        <w:tc>
          <w:tcPr>
            <w:tcW w:w="1557" w:type="dxa"/>
            <w:vMerge w:val="continue"/>
            <w:vAlign w:val="center"/>
          </w:tcPr>
          <w:p w14:paraId="1DABBEBA">
            <w:pPr>
              <w:spacing w:line="420" w:lineRule="exact"/>
              <w:jc w:val="center"/>
              <w:rPr>
                <w:rFonts w:cs="宋体" w:asciiTheme="minorEastAsia" w:hAnsiTheme="minorEastAsia" w:eastAsiaTheme="minorEastAsia"/>
                <w:sz w:val="21"/>
                <w:szCs w:val="21"/>
              </w:rPr>
            </w:pPr>
          </w:p>
        </w:tc>
        <w:tc>
          <w:tcPr>
            <w:tcW w:w="1388" w:type="dxa"/>
            <w:vMerge w:val="continue"/>
            <w:vAlign w:val="center"/>
          </w:tcPr>
          <w:p w14:paraId="19E96E84">
            <w:pPr>
              <w:spacing w:line="420" w:lineRule="exact"/>
              <w:jc w:val="center"/>
              <w:rPr>
                <w:rFonts w:cs="宋体" w:asciiTheme="minorEastAsia" w:hAnsiTheme="minorEastAsia" w:eastAsiaTheme="minorEastAsia"/>
                <w:sz w:val="21"/>
                <w:szCs w:val="21"/>
              </w:rPr>
            </w:pPr>
          </w:p>
        </w:tc>
        <w:tc>
          <w:tcPr>
            <w:tcW w:w="2277" w:type="dxa"/>
            <w:vAlign w:val="center"/>
          </w:tcPr>
          <w:p w14:paraId="7F3832E1">
            <w:pPr>
              <w:spacing w:line="420" w:lineRule="exact"/>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资产管理规范性</w:t>
            </w:r>
          </w:p>
        </w:tc>
        <w:tc>
          <w:tcPr>
            <w:tcW w:w="1155" w:type="dxa"/>
            <w:vAlign w:val="center"/>
          </w:tcPr>
          <w:p w14:paraId="18F80BCA">
            <w:pPr>
              <w:spacing w:line="420" w:lineRule="exact"/>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4</w:t>
            </w:r>
          </w:p>
        </w:tc>
        <w:tc>
          <w:tcPr>
            <w:tcW w:w="1276" w:type="dxa"/>
            <w:vAlign w:val="center"/>
          </w:tcPr>
          <w:p w14:paraId="648F6817">
            <w:pPr>
              <w:spacing w:line="420" w:lineRule="exact"/>
              <w:jc w:val="center"/>
              <w:rPr>
                <w:rFonts w:hint="default" w:cs="宋体" w:asciiTheme="minorEastAsia" w:hAnsiTheme="minorEastAsia" w:eastAsiaTheme="minorEastAsia"/>
                <w:sz w:val="21"/>
                <w:szCs w:val="21"/>
                <w:lang w:val="en-US"/>
              </w:rPr>
            </w:pPr>
            <w:r>
              <w:rPr>
                <w:rFonts w:hint="default" w:cs="宋体" w:asciiTheme="minorEastAsia" w:hAnsiTheme="minorEastAsia" w:eastAsiaTheme="minorEastAsia"/>
                <w:sz w:val="21"/>
                <w:szCs w:val="21"/>
                <w:lang w:val="en-US"/>
              </w:rPr>
              <w:t>4</w:t>
            </w:r>
          </w:p>
        </w:tc>
      </w:tr>
      <w:tr w14:paraId="3D431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67" w:hRule="exact"/>
          <w:jc w:val="center"/>
        </w:trPr>
        <w:tc>
          <w:tcPr>
            <w:tcW w:w="1557" w:type="dxa"/>
            <w:vMerge w:val="continue"/>
            <w:vAlign w:val="center"/>
          </w:tcPr>
          <w:p w14:paraId="5CCA4353">
            <w:pPr>
              <w:spacing w:line="420" w:lineRule="exact"/>
              <w:jc w:val="center"/>
              <w:rPr>
                <w:rFonts w:cs="宋体" w:asciiTheme="minorEastAsia" w:hAnsiTheme="minorEastAsia" w:eastAsiaTheme="minorEastAsia"/>
                <w:sz w:val="21"/>
                <w:szCs w:val="21"/>
              </w:rPr>
            </w:pPr>
          </w:p>
        </w:tc>
        <w:tc>
          <w:tcPr>
            <w:tcW w:w="1388" w:type="dxa"/>
            <w:vMerge w:val="restart"/>
            <w:vAlign w:val="center"/>
          </w:tcPr>
          <w:p w14:paraId="7C9B1D1E">
            <w:pPr>
              <w:spacing w:line="420" w:lineRule="exact"/>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绩效评价</w:t>
            </w:r>
          </w:p>
          <w:p w14:paraId="68F9A80C">
            <w:pPr>
              <w:spacing w:line="420" w:lineRule="exact"/>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（8分）</w:t>
            </w:r>
          </w:p>
        </w:tc>
        <w:tc>
          <w:tcPr>
            <w:tcW w:w="2277" w:type="dxa"/>
            <w:vAlign w:val="center"/>
          </w:tcPr>
          <w:p w14:paraId="14ECCD76">
            <w:pPr>
              <w:spacing w:line="420" w:lineRule="exact"/>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绩效自评覆盖率</w:t>
            </w:r>
          </w:p>
        </w:tc>
        <w:tc>
          <w:tcPr>
            <w:tcW w:w="1155" w:type="dxa"/>
            <w:vAlign w:val="center"/>
          </w:tcPr>
          <w:p w14:paraId="38ECA3B7">
            <w:pPr>
              <w:spacing w:line="420" w:lineRule="exact"/>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4</w:t>
            </w:r>
          </w:p>
        </w:tc>
        <w:tc>
          <w:tcPr>
            <w:tcW w:w="1276" w:type="dxa"/>
            <w:vAlign w:val="center"/>
          </w:tcPr>
          <w:p w14:paraId="5F3FC902">
            <w:pPr>
              <w:spacing w:line="420" w:lineRule="exact"/>
              <w:jc w:val="center"/>
              <w:rPr>
                <w:rFonts w:hint="default" w:cs="宋体" w:asciiTheme="minorEastAsia" w:hAnsiTheme="minorEastAsia" w:eastAsiaTheme="minorEastAsia"/>
                <w:sz w:val="21"/>
                <w:szCs w:val="21"/>
                <w:lang w:val="en-US"/>
              </w:rPr>
            </w:pPr>
            <w:r>
              <w:rPr>
                <w:rFonts w:hint="default" w:cs="宋体" w:asciiTheme="minorEastAsia" w:hAnsiTheme="minorEastAsia" w:eastAsiaTheme="minorEastAsia"/>
                <w:sz w:val="21"/>
                <w:szCs w:val="21"/>
                <w:lang w:val="en-US"/>
              </w:rPr>
              <w:t>4</w:t>
            </w:r>
          </w:p>
        </w:tc>
      </w:tr>
      <w:tr w14:paraId="7A61B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82" w:hRule="exact"/>
          <w:jc w:val="center"/>
        </w:trPr>
        <w:tc>
          <w:tcPr>
            <w:tcW w:w="1557" w:type="dxa"/>
            <w:vMerge w:val="continue"/>
            <w:vAlign w:val="center"/>
          </w:tcPr>
          <w:p w14:paraId="35649397">
            <w:pPr>
              <w:spacing w:line="420" w:lineRule="exact"/>
              <w:jc w:val="center"/>
              <w:rPr>
                <w:rFonts w:cs="宋体" w:asciiTheme="minorEastAsia" w:hAnsiTheme="minorEastAsia" w:eastAsiaTheme="minorEastAsia"/>
                <w:sz w:val="21"/>
                <w:szCs w:val="21"/>
              </w:rPr>
            </w:pPr>
          </w:p>
        </w:tc>
        <w:tc>
          <w:tcPr>
            <w:tcW w:w="1388" w:type="dxa"/>
            <w:vMerge w:val="continue"/>
            <w:vAlign w:val="center"/>
          </w:tcPr>
          <w:p w14:paraId="6BCA246C">
            <w:pPr>
              <w:spacing w:line="420" w:lineRule="exact"/>
              <w:jc w:val="center"/>
              <w:rPr>
                <w:rFonts w:cs="宋体" w:asciiTheme="minorEastAsia" w:hAnsiTheme="minorEastAsia" w:eastAsiaTheme="minorEastAsia"/>
                <w:sz w:val="21"/>
                <w:szCs w:val="21"/>
              </w:rPr>
            </w:pPr>
          </w:p>
        </w:tc>
        <w:tc>
          <w:tcPr>
            <w:tcW w:w="2277" w:type="dxa"/>
            <w:vAlign w:val="center"/>
          </w:tcPr>
          <w:p w14:paraId="6F93D57B">
            <w:pPr>
              <w:spacing w:line="420" w:lineRule="exact"/>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绩效评价优等率</w:t>
            </w:r>
          </w:p>
        </w:tc>
        <w:tc>
          <w:tcPr>
            <w:tcW w:w="1155" w:type="dxa"/>
            <w:vAlign w:val="center"/>
          </w:tcPr>
          <w:p w14:paraId="6186D571">
            <w:pPr>
              <w:spacing w:line="420" w:lineRule="exact"/>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4</w:t>
            </w:r>
          </w:p>
        </w:tc>
        <w:tc>
          <w:tcPr>
            <w:tcW w:w="1276" w:type="dxa"/>
            <w:vAlign w:val="center"/>
          </w:tcPr>
          <w:p w14:paraId="0C573BF8">
            <w:pPr>
              <w:spacing w:line="420" w:lineRule="exact"/>
              <w:jc w:val="center"/>
              <w:rPr>
                <w:rFonts w:hint="default" w:cs="宋体" w:asciiTheme="minorEastAsia" w:hAnsiTheme="minorEastAsia" w:eastAsiaTheme="minorEastAsia"/>
                <w:sz w:val="21"/>
                <w:szCs w:val="21"/>
                <w:lang w:val="en-US"/>
              </w:rPr>
            </w:pPr>
            <w:r>
              <w:rPr>
                <w:rFonts w:hint="default" w:cs="宋体" w:asciiTheme="minorEastAsia" w:hAnsiTheme="minorEastAsia" w:eastAsiaTheme="minorEastAsia"/>
                <w:sz w:val="21"/>
                <w:szCs w:val="21"/>
                <w:lang w:val="en-US"/>
              </w:rPr>
              <w:t>3</w:t>
            </w:r>
          </w:p>
        </w:tc>
      </w:tr>
      <w:tr w14:paraId="4EA16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exact"/>
          <w:jc w:val="center"/>
        </w:trPr>
        <w:tc>
          <w:tcPr>
            <w:tcW w:w="2945" w:type="dxa"/>
            <w:gridSpan w:val="2"/>
            <w:vAlign w:val="center"/>
          </w:tcPr>
          <w:p w14:paraId="58BBE5F9">
            <w:pPr>
              <w:spacing w:line="420" w:lineRule="exact"/>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合计</w:t>
            </w:r>
          </w:p>
        </w:tc>
        <w:tc>
          <w:tcPr>
            <w:tcW w:w="2277" w:type="dxa"/>
            <w:vAlign w:val="center"/>
          </w:tcPr>
          <w:p w14:paraId="2CA708E9">
            <w:pPr>
              <w:spacing w:line="420" w:lineRule="exact"/>
              <w:jc w:val="center"/>
              <w:rPr>
                <w:rFonts w:cs="宋体" w:asciiTheme="minorEastAsia" w:hAnsiTheme="minorEastAsia" w:eastAsiaTheme="minorEastAsia"/>
                <w:sz w:val="21"/>
                <w:szCs w:val="21"/>
              </w:rPr>
            </w:pPr>
          </w:p>
        </w:tc>
        <w:tc>
          <w:tcPr>
            <w:tcW w:w="1155" w:type="dxa"/>
            <w:vAlign w:val="center"/>
          </w:tcPr>
          <w:p w14:paraId="558B2ED4">
            <w:pPr>
              <w:spacing w:line="420" w:lineRule="exact"/>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48</w:t>
            </w:r>
          </w:p>
        </w:tc>
        <w:tc>
          <w:tcPr>
            <w:tcW w:w="1276" w:type="dxa"/>
            <w:vAlign w:val="center"/>
          </w:tcPr>
          <w:p w14:paraId="0BE5341C">
            <w:pPr>
              <w:spacing w:line="420" w:lineRule="exact"/>
              <w:jc w:val="center"/>
              <w:rPr>
                <w:rFonts w:hint="default" w:cs="宋体" w:asciiTheme="minorEastAsia" w:hAnsiTheme="minorEastAsia" w:eastAsiaTheme="minorEastAsia"/>
                <w:sz w:val="21"/>
                <w:szCs w:val="21"/>
                <w:lang w:val="en-US"/>
              </w:rPr>
            </w:pPr>
            <w:r>
              <w:rPr>
                <w:rFonts w:hint="default" w:cs="宋体" w:asciiTheme="minorEastAsia" w:hAnsiTheme="minorEastAsia" w:eastAsiaTheme="minorEastAsia"/>
                <w:sz w:val="21"/>
                <w:szCs w:val="21"/>
                <w:lang w:val="en-US"/>
              </w:rPr>
              <w:t>44.6</w:t>
            </w:r>
          </w:p>
        </w:tc>
      </w:tr>
      <w:bookmarkEnd w:id="63"/>
    </w:tbl>
    <w:p w14:paraId="4A05F7D4">
      <w:pPr>
        <w:spacing w:after="0" w:line="360" w:lineRule="auto"/>
        <w:ind w:firstLine="640" w:firstLineChars="200"/>
        <w:jc w:val="both"/>
        <w:textAlignment w:val="baseline"/>
        <w:rPr>
          <w:rFonts w:ascii="仿宋_GB2312" w:eastAsia="仿宋_GB2312" w:cs="DengXian-Regular"/>
          <w:sz w:val="32"/>
          <w:szCs w:val="32"/>
        </w:rPr>
      </w:pPr>
      <w:bookmarkStart w:id="64" w:name="_Toc465149514"/>
      <w:bookmarkStart w:id="65" w:name="_Toc464638487"/>
      <w:r>
        <w:rPr>
          <w:rFonts w:hint="eastAsia" w:ascii="仿宋_GB2312" w:eastAsia="仿宋_GB2312" w:cs="DengXian-Regular"/>
          <w:sz w:val="32"/>
          <w:szCs w:val="32"/>
        </w:rPr>
        <w:t>1.预算执行（24分）</w:t>
      </w:r>
    </w:p>
    <w:p w14:paraId="4D83E6D0">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（1）预算收入调整率（2分）</w:t>
      </w:r>
    </w:p>
    <w:p w14:paraId="6B9A3182">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该指标主要评价预算收入的调整情况，进而衡量预算收入编制的准确性，通过预算收入调整率衡量。</w:t>
      </w:r>
    </w:p>
    <w:p w14:paraId="6D0A60A1">
      <w:pPr>
        <w:spacing w:after="0" w:line="360" w:lineRule="auto"/>
        <w:ind w:firstLine="640" w:firstLineChars="200"/>
        <w:jc w:val="both"/>
        <w:textAlignment w:val="baseline"/>
        <w:rPr>
          <w:rFonts w:ascii="仿宋_GB2312" w:eastAsia="仿宋_GB2312" w:cs="DengXian-Regular"/>
          <w:sz w:val="32"/>
          <w:szCs w:val="32"/>
          <w:highlight w:val="none"/>
        </w:rPr>
      </w:pPr>
      <w:r>
        <w:rPr>
          <w:rFonts w:hint="eastAsia" w:ascii="仿宋_GB2312" w:eastAsia="仿宋_GB2312" w:cs="DengXian-Regular"/>
          <w:sz w:val="32"/>
          <w:szCs w:val="32"/>
          <w:highlight w:val="none"/>
        </w:rPr>
        <w:t>预算收入调整率=（调整预算数-年初预算数）/年初预算数*100%</w:t>
      </w:r>
    </w:p>
    <w:p w14:paraId="7543DAE3">
      <w:pPr>
        <w:spacing w:after="0" w:line="360" w:lineRule="auto"/>
        <w:ind w:firstLine="640" w:firstLineChars="200"/>
        <w:jc w:val="both"/>
        <w:textAlignment w:val="baseline"/>
        <w:rPr>
          <w:rFonts w:hint="eastAsia" w:ascii="仿宋_GB2312" w:eastAsia="仿宋_GB2312" w:cs="DengXian-Regular"/>
          <w:sz w:val="32"/>
          <w:szCs w:val="32"/>
          <w:lang w:eastAsia="zh-CN"/>
        </w:rPr>
      </w:pPr>
      <w:r>
        <w:rPr>
          <w:rFonts w:hint="eastAsia" w:ascii="仿宋_GB2312" w:eastAsia="仿宋_GB2312" w:cs="DengXian-Regular"/>
          <w:sz w:val="32"/>
          <w:szCs w:val="32"/>
        </w:rPr>
        <w:t>根据区</w:t>
      </w:r>
      <w:r>
        <w:rPr>
          <w:rFonts w:hint="eastAsia" w:ascii="仿宋_GB2312" w:eastAsia="仿宋_GB2312" w:cs="DengXian-Regular"/>
          <w:sz w:val="32"/>
          <w:szCs w:val="32"/>
          <w:lang w:eastAsia="zh-CN"/>
        </w:rPr>
        <w:t>委政法委</w:t>
      </w:r>
      <w:r>
        <w:rPr>
          <w:rFonts w:hint="eastAsia" w:ascii="仿宋_GB2312" w:eastAsia="仿宋_GB2312" w:cs="DengXian-Regular"/>
          <w:sz w:val="32"/>
          <w:szCs w:val="32"/>
        </w:rPr>
        <w:t>的预算指标文件，其中：徐财预指[</w:t>
      </w:r>
      <w:r>
        <w:rPr>
          <w:rFonts w:ascii="仿宋_GB2312" w:eastAsia="仿宋_GB2312" w:cs="DengXian-Regular"/>
          <w:sz w:val="32"/>
          <w:szCs w:val="32"/>
        </w:rPr>
        <w:t>2021</w:t>
      </w:r>
      <w:r>
        <w:rPr>
          <w:rFonts w:hint="eastAsia" w:ascii="仿宋_GB2312" w:eastAsia="仿宋_GB2312" w:cs="DengXian-Regular"/>
          <w:sz w:val="32"/>
          <w:szCs w:val="32"/>
        </w:rPr>
        <w:t>]</w:t>
      </w:r>
      <w:r>
        <w:rPr>
          <w:rFonts w:hint="default" w:ascii="仿宋_GB2312" w:eastAsia="仿宋_GB2312" w:cs="DengXian-Regular"/>
          <w:sz w:val="32"/>
          <w:szCs w:val="32"/>
          <w:lang w:val="en-US"/>
        </w:rPr>
        <w:t>1-1357</w:t>
      </w:r>
      <w:r>
        <w:rPr>
          <w:rFonts w:hint="eastAsia" w:ascii="仿宋_GB2312" w:eastAsia="仿宋_GB2312" w:cs="DengXian-Regular"/>
          <w:sz w:val="32"/>
          <w:szCs w:val="32"/>
        </w:rPr>
        <w:t>号追加</w:t>
      </w:r>
      <w:r>
        <w:rPr>
          <w:rFonts w:hint="eastAsia" w:ascii="仿宋_GB2312" w:eastAsia="仿宋_GB2312" w:cs="DengXian-Regular"/>
          <w:sz w:val="32"/>
          <w:szCs w:val="32"/>
          <w:lang w:eastAsia="zh-CN"/>
        </w:rPr>
        <w:t>解决“联合接访服务中心”项目后续遗留问题</w:t>
      </w:r>
      <w:r>
        <w:rPr>
          <w:rFonts w:hint="eastAsia" w:ascii="仿宋_GB2312" w:eastAsia="仿宋_GB2312" w:cs="DengXian-Regular"/>
          <w:sz w:val="32"/>
          <w:szCs w:val="32"/>
        </w:rPr>
        <w:t>经费</w:t>
      </w:r>
      <w:r>
        <w:rPr>
          <w:rFonts w:hint="default" w:ascii="仿宋_GB2312" w:eastAsia="仿宋_GB2312" w:cs="DengXian-Regular"/>
          <w:sz w:val="32"/>
          <w:szCs w:val="32"/>
          <w:lang w:val="en-US"/>
        </w:rPr>
        <w:t>8.5</w:t>
      </w:r>
      <w:r>
        <w:rPr>
          <w:rFonts w:hint="eastAsia" w:ascii="仿宋_GB2312" w:eastAsia="仿宋_GB2312" w:cs="DengXian-Regular"/>
          <w:sz w:val="32"/>
          <w:szCs w:val="32"/>
        </w:rPr>
        <w:t>万元；徐财预指[</w:t>
      </w:r>
      <w:r>
        <w:rPr>
          <w:rFonts w:ascii="仿宋_GB2312" w:eastAsia="仿宋_GB2312" w:cs="DengXian-Regular"/>
          <w:sz w:val="32"/>
          <w:szCs w:val="32"/>
        </w:rPr>
        <w:t>2021</w:t>
      </w:r>
      <w:r>
        <w:rPr>
          <w:rFonts w:hint="eastAsia" w:ascii="仿宋_GB2312" w:eastAsia="仿宋_GB2312" w:cs="DengXian-Regular"/>
          <w:sz w:val="32"/>
          <w:szCs w:val="32"/>
        </w:rPr>
        <w:t>]</w:t>
      </w:r>
      <w:r>
        <w:rPr>
          <w:rFonts w:hint="default" w:ascii="仿宋_GB2312" w:eastAsia="仿宋_GB2312" w:cs="DengXian-Regular"/>
          <w:sz w:val="32"/>
          <w:szCs w:val="32"/>
          <w:lang w:val="en-US"/>
        </w:rPr>
        <w:t>1-1442</w:t>
      </w:r>
      <w:r>
        <w:rPr>
          <w:rFonts w:hint="eastAsia" w:ascii="仿宋_GB2312" w:eastAsia="仿宋_GB2312" w:cs="DengXian-Regular"/>
          <w:sz w:val="32"/>
          <w:szCs w:val="32"/>
        </w:rPr>
        <w:t>号追加</w:t>
      </w:r>
      <w:r>
        <w:rPr>
          <w:rFonts w:hint="eastAsia" w:ascii="仿宋_GB2312" w:eastAsia="仿宋_GB2312" w:cs="DengXian-Regular"/>
          <w:sz w:val="32"/>
          <w:szCs w:val="32"/>
          <w:lang w:eastAsia="zh-CN"/>
        </w:rPr>
        <w:t>政法稳定工作经费</w:t>
      </w:r>
      <w:r>
        <w:rPr>
          <w:rFonts w:hint="default" w:ascii="仿宋_GB2312" w:eastAsia="仿宋_GB2312" w:cs="DengXian-Regular"/>
          <w:sz w:val="32"/>
          <w:szCs w:val="32"/>
          <w:lang w:val="en-US" w:eastAsia="zh-CN"/>
        </w:rPr>
        <w:t>1.5</w:t>
      </w:r>
      <w:r>
        <w:rPr>
          <w:rFonts w:hint="eastAsia" w:ascii="仿宋_GB2312" w:eastAsia="仿宋_GB2312" w:cs="DengXian-Regular"/>
          <w:sz w:val="32"/>
          <w:szCs w:val="32"/>
        </w:rPr>
        <w:t>万元；区</w:t>
      </w:r>
      <w:r>
        <w:rPr>
          <w:rFonts w:hint="eastAsia" w:ascii="仿宋_GB2312" w:eastAsia="仿宋_GB2312" w:cs="DengXian-Regular"/>
          <w:sz w:val="32"/>
          <w:szCs w:val="32"/>
          <w:lang w:eastAsia="zh-CN"/>
        </w:rPr>
        <w:t>委政法委</w:t>
      </w:r>
      <w:r>
        <w:rPr>
          <w:rFonts w:hint="eastAsia" w:ascii="仿宋_GB2312" w:eastAsia="仿宋_GB2312" w:cs="DengXian-Regular"/>
          <w:sz w:val="32"/>
          <w:szCs w:val="32"/>
        </w:rPr>
        <w:t>202</w:t>
      </w:r>
      <w:r>
        <w:rPr>
          <w:rFonts w:ascii="仿宋_GB2312" w:eastAsia="仿宋_GB2312" w:cs="DengXian-Regular"/>
          <w:sz w:val="32"/>
          <w:szCs w:val="32"/>
        </w:rPr>
        <w:t>1</w:t>
      </w:r>
      <w:r>
        <w:rPr>
          <w:rFonts w:hint="eastAsia" w:ascii="仿宋_GB2312" w:eastAsia="仿宋_GB2312" w:cs="DengXian-Regular"/>
          <w:sz w:val="32"/>
          <w:szCs w:val="32"/>
        </w:rPr>
        <w:t>年度预算收入的追加数为</w:t>
      </w:r>
      <w:r>
        <w:rPr>
          <w:rFonts w:hint="default" w:ascii="仿宋_GB2312" w:eastAsia="仿宋_GB2312" w:cs="DengXian-Regular"/>
          <w:sz w:val="32"/>
          <w:szCs w:val="32"/>
          <w:lang w:val="en-US"/>
        </w:rPr>
        <w:t>10</w:t>
      </w:r>
      <w:r>
        <w:rPr>
          <w:rFonts w:hint="eastAsia" w:ascii="仿宋_GB2312" w:eastAsia="仿宋_GB2312" w:cs="DengXian-Regular"/>
          <w:sz w:val="32"/>
          <w:szCs w:val="32"/>
        </w:rPr>
        <w:t>万元，年初预算数为</w:t>
      </w:r>
      <w:r>
        <w:rPr>
          <w:rFonts w:hint="default" w:ascii="仿宋_GB2312" w:eastAsia="仿宋_GB2312" w:cs="DengXian-Regular"/>
          <w:sz w:val="32"/>
          <w:szCs w:val="32"/>
          <w:lang w:val="en-US"/>
        </w:rPr>
        <w:t>1057.40</w:t>
      </w:r>
      <w:r>
        <w:rPr>
          <w:rFonts w:hint="eastAsia" w:ascii="仿宋_GB2312" w:eastAsia="仿宋_GB2312" w:cs="DengXian-Regular"/>
          <w:sz w:val="32"/>
          <w:szCs w:val="32"/>
        </w:rPr>
        <w:t>万元，预算收入调整率为</w:t>
      </w:r>
      <w:r>
        <w:rPr>
          <w:rFonts w:hint="default" w:ascii="仿宋_GB2312" w:eastAsia="仿宋_GB2312" w:cs="DengXian-Regular"/>
          <w:sz w:val="32"/>
          <w:szCs w:val="32"/>
          <w:lang w:val="en-US"/>
        </w:rPr>
        <w:t>-99.05</w:t>
      </w:r>
      <w:r>
        <w:rPr>
          <w:rFonts w:hint="eastAsia" w:ascii="仿宋_GB2312" w:eastAsia="仿宋_GB2312" w:cs="DengXian-Regular"/>
          <w:sz w:val="32"/>
          <w:szCs w:val="32"/>
        </w:rPr>
        <w:t>%</w:t>
      </w:r>
      <w:r>
        <w:rPr>
          <w:rFonts w:hint="eastAsia" w:ascii="仿宋_GB2312" w:eastAsia="仿宋_GB2312" w:cs="DengXian-Regular"/>
          <w:sz w:val="32"/>
          <w:szCs w:val="32"/>
          <w:lang w:eastAsia="zh-CN"/>
        </w:rPr>
        <w:t>。</w:t>
      </w:r>
    </w:p>
    <w:p w14:paraId="5C4195AA">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该项指标实际得分</w:t>
      </w:r>
      <w:r>
        <w:rPr>
          <w:rFonts w:hint="default" w:ascii="仿宋_GB2312" w:eastAsia="仿宋_GB2312" w:cs="DengXian-Regular"/>
          <w:sz w:val="32"/>
          <w:szCs w:val="32"/>
          <w:lang w:val="en-US"/>
        </w:rPr>
        <w:t>1.8</w:t>
      </w:r>
      <w:r>
        <w:rPr>
          <w:rFonts w:hint="eastAsia" w:ascii="仿宋_GB2312" w:eastAsia="仿宋_GB2312" w:cs="DengXian-Regular"/>
          <w:sz w:val="32"/>
          <w:szCs w:val="32"/>
        </w:rPr>
        <w:t>分。</w:t>
      </w:r>
    </w:p>
    <w:p w14:paraId="07171809">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（2）收入完成率（4分）</w:t>
      </w:r>
    </w:p>
    <w:p w14:paraId="00669437">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该指标主要评价部门预算收入的完成情况，用以反映部门预算收入的完成程度，通过收入完成率衡量。</w:t>
      </w:r>
    </w:p>
    <w:p w14:paraId="6C373BC3">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收入完成率=（决算收入/预算收入）×100%。</w:t>
      </w:r>
    </w:p>
    <w:p w14:paraId="56FDFE11">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根据区</w:t>
      </w:r>
      <w:r>
        <w:rPr>
          <w:rFonts w:hint="eastAsia" w:ascii="仿宋_GB2312" w:eastAsia="仿宋_GB2312" w:cs="DengXian-Regular"/>
          <w:sz w:val="32"/>
          <w:szCs w:val="32"/>
          <w:lang w:eastAsia="zh-CN"/>
        </w:rPr>
        <w:t>委政法委</w:t>
      </w:r>
      <w:r>
        <w:rPr>
          <w:rFonts w:hint="eastAsia" w:ascii="仿宋_GB2312" w:eastAsia="仿宋_GB2312" w:cs="DengXian-Regular"/>
          <w:sz w:val="32"/>
          <w:szCs w:val="32"/>
        </w:rPr>
        <w:t>202</w:t>
      </w:r>
      <w:r>
        <w:rPr>
          <w:rFonts w:ascii="仿宋_GB2312" w:eastAsia="仿宋_GB2312" w:cs="DengXian-Regular"/>
          <w:sz w:val="32"/>
          <w:szCs w:val="32"/>
        </w:rPr>
        <w:t>1</w:t>
      </w:r>
      <w:r>
        <w:rPr>
          <w:rFonts w:hint="eastAsia" w:ascii="仿宋_GB2312" w:eastAsia="仿宋_GB2312" w:cs="DengXian-Regular"/>
          <w:sz w:val="32"/>
          <w:szCs w:val="32"/>
        </w:rPr>
        <w:t>年预算文本、决算文本，202</w:t>
      </w:r>
      <w:r>
        <w:rPr>
          <w:rFonts w:ascii="仿宋_GB2312" w:eastAsia="仿宋_GB2312" w:cs="DengXian-Regular"/>
          <w:sz w:val="32"/>
          <w:szCs w:val="32"/>
        </w:rPr>
        <w:t>1</w:t>
      </w:r>
      <w:r>
        <w:rPr>
          <w:rFonts w:hint="eastAsia" w:ascii="仿宋_GB2312" w:eastAsia="仿宋_GB2312" w:cs="DengXian-Regular"/>
          <w:sz w:val="32"/>
          <w:szCs w:val="32"/>
        </w:rPr>
        <w:t>年收入预算数</w:t>
      </w:r>
      <w:r>
        <w:rPr>
          <w:rFonts w:hint="default" w:ascii="仿宋_GB2312" w:eastAsia="仿宋_GB2312" w:cs="DengXian-Regular"/>
          <w:sz w:val="32"/>
          <w:szCs w:val="32"/>
          <w:lang w:val="en-US"/>
        </w:rPr>
        <w:t>1346.02</w:t>
      </w:r>
      <w:r>
        <w:rPr>
          <w:rFonts w:hint="eastAsia" w:ascii="仿宋_GB2312" w:eastAsia="仿宋_GB2312" w:cs="DengXian-Regular"/>
          <w:sz w:val="32"/>
          <w:szCs w:val="32"/>
        </w:rPr>
        <w:t>万元，收入决算数</w:t>
      </w:r>
      <w:r>
        <w:rPr>
          <w:rFonts w:hint="default" w:ascii="仿宋_GB2312" w:eastAsia="仿宋_GB2312" w:cs="DengXian-Regular"/>
          <w:sz w:val="32"/>
          <w:szCs w:val="32"/>
          <w:lang w:val="en-US"/>
        </w:rPr>
        <w:t>1092.24</w:t>
      </w:r>
      <w:r>
        <w:rPr>
          <w:rFonts w:hint="eastAsia" w:ascii="仿宋_GB2312" w:eastAsia="仿宋_GB2312" w:cs="DengXian-Regular"/>
          <w:sz w:val="32"/>
          <w:szCs w:val="32"/>
        </w:rPr>
        <w:t>万元，收入完成率=（决算数/预算数）*100%=</w:t>
      </w:r>
      <w:r>
        <w:rPr>
          <w:rFonts w:hint="default" w:ascii="仿宋_GB2312" w:eastAsia="仿宋_GB2312" w:cs="DengXian-Regular"/>
          <w:sz w:val="32"/>
          <w:szCs w:val="32"/>
          <w:lang w:val="en-US"/>
        </w:rPr>
        <w:t>81.15</w:t>
      </w:r>
      <w:r>
        <w:rPr>
          <w:rFonts w:hint="eastAsia" w:ascii="仿宋_GB2312" w:eastAsia="仿宋_GB2312" w:cs="DengXian-Regular"/>
          <w:sz w:val="32"/>
          <w:szCs w:val="32"/>
        </w:rPr>
        <w:t>%。</w:t>
      </w:r>
    </w:p>
    <w:p w14:paraId="1C104F68">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该指标实际得分</w:t>
      </w:r>
      <w:r>
        <w:rPr>
          <w:rFonts w:hint="default" w:ascii="仿宋_GB2312" w:eastAsia="仿宋_GB2312" w:cs="DengXian-Regular"/>
          <w:sz w:val="32"/>
          <w:szCs w:val="32"/>
          <w:lang w:val="en-US"/>
        </w:rPr>
        <w:t>4</w:t>
      </w:r>
      <w:r>
        <w:rPr>
          <w:rFonts w:hint="eastAsia" w:ascii="仿宋_GB2312" w:eastAsia="仿宋_GB2312" w:cs="DengXian-Regular"/>
          <w:sz w:val="32"/>
          <w:szCs w:val="32"/>
        </w:rPr>
        <w:t>分。</w:t>
      </w:r>
    </w:p>
    <w:p w14:paraId="5F629689">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（3）预算支出调整率（2分）</w:t>
      </w:r>
    </w:p>
    <w:p w14:paraId="68EBAAA4">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该指标主要评价预算支出的调整情况，进而衡量预算支出编制的准确性，通过预算支出调整率衡量。</w:t>
      </w:r>
    </w:p>
    <w:p w14:paraId="5D9C229F">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预算支出调整率=（调整预算数-年初预算数）/年初预算数*100%</w:t>
      </w:r>
    </w:p>
    <w:p w14:paraId="1F84E2EE">
      <w:pPr>
        <w:spacing w:after="0" w:line="360" w:lineRule="auto"/>
        <w:ind w:firstLine="640" w:firstLineChars="200"/>
        <w:jc w:val="both"/>
        <w:textAlignment w:val="baseline"/>
        <w:rPr>
          <w:rFonts w:hint="eastAsia" w:ascii="仿宋_GB2312" w:eastAsia="仿宋_GB2312" w:cs="DengXian-Regular"/>
          <w:sz w:val="32"/>
          <w:szCs w:val="32"/>
          <w:lang w:eastAsia="zh-CN"/>
        </w:rPr>
      </w:pPr>
      <w:r>
        <w:rPr>
          <w:rFonts w:hint="eastAsia" w:ascii="仿宋_GB2312" w:eastAsia="仿宋_GB2312" w:cs="DengXian-Regular"/>
          <w:sz w:val="32"/>
          <w:szCs w:val="32"/>
        </w:rPr>
        <w:t>根据区</w:t>
      </w:r>
      <w:r>
        <w:rPr>
          <w:rFonts w:hint="eastAsia" w:ascii="仿宋_GB2312" w:eastAsia="仿宋_GB2312" w:cs="DengXian-Regular"/>
          <w:sz w:val="32"/>
          <w:szCs w:val="32"/>
          <w:lang w:eastAsia="zh-CN"/>
        </w:rPr>
        <w:t>委政法委</w:t>
      </w:r>
      <w:r>
        <w:rPr>
          <w:rFonts w:hint="eastAsia" w:ascii="仿宋_GB2312" w:eastAsia="仿宋_GB2312" w:cs="DengXian-Regular"/>
          <w:sz w:val="32"/>
          <w:szCs w:val="32"/>
        </w:rPr>
        <w:t>提供的保定市财政局下发的预算指标文件，其中：徐财预指[</w:t>
      </w:r>
      <w:r>
        <w:rPr>
          <w:rFonts w:ascii="仿宋_GB2312" w:eastAsia="仿宋_GB2312" w:cs="DengXian-Regular"/>
          <w:sz w:val="32"/>
          <w:szCs w:val="32"/>
        </w:rPr>
        <w:t>2021</w:t>
      </w:r>
      <w:r>
        <w:rPr>
          <w:rFonts w:hint="eastAsia" w:ascii="仿宋_GB2312" w:eastAsia="仿宋_GB2312" w:cs="DengXian-Regular"/>
          <w:sz w:val="32"/>
          <w:szCs w:val="32"/>
        </w:rPr>
        <w:t>]</w:t>
      </w:r>
      <w:r>
        <w:rPr>
          <w:rFonts w:hint="default" w:ascii="仿宋_GB2312" w:eastAsia="仿宋_GB2312" w:cs="DengXian-Regular"/>
          <w:sz w:val="32"/>
          <w:szCs w:val="32"/>
          <w:lang w:val="en-US"/>
        </w:rPr>
        <w:t>1-1357</w:t>
      </w:r>
      <w:r>
        <w:rPr>
          <w:rFonts w:hint="eastAsia" w:ascii="仿宋_GB2312" w:eastAsia="仿宋_GB2312" w:cs="DengXian-Regular"/>
          <w:sz w:val="32"/>
          <w:szCs w:val="32"/>
        </w:rPr>
        <w:t>号追加</w:t>
      </w:r>
      <w:r>
        <w:rPr>
          <w:rFonts w:hint="eastAsia" w:ascii="仿宋_GB2312" w:eastAsia="仿宋_GB2312" w:cs="DengXian-Regular"/>
          <w:sz w:val="32"/>
          <w:szCs w:val="32"/>
          <w:lang w:eastAsia="zh-CN"/>
        </w:rPr>
        <w:t>解决“联合接访服务中心”项目后续遗留问题</w:t>
      </w:r>
      <w:r>
        <w:rPr>
          <w:rFonts w:hint="eastAsia" w:ascii="仿宋_GB2312" w:eastAsia="仿宋_GB2312" w:cs="DengXian-Regular"/>
          <w:sz w:val="32"/>
          <w:szCs w:val="32"/>
        </w:rPr>
        <w:t>经费</w:t>
      </w:r>
      <w:r>
        <w:rPr>
          <w:rFonts w:hint="default" w:ascii="仿宋_GB2312" w:eastAsia="仿宋_GB2312" w:cs="DengXian-Regular"/>
          <w:sz w:val="32"/>
          <w:szCs w:val="32"/>
          <w:lang w:val="en-US"/>
        </w:rPr>
        <w:t>8.5</w:t>
      </w:r>
      <w:r>
        <w:rPr>
          <w:rFonts w:hint="eastAsia" w:ascii="仿宋_GB2312" w:eastAsia="仿宋_GB2312" w:cs="DengXian-Regular"/>
          <w:sz w:val="32"/>
          <w:szCs w:val="32"/>
        </w:rPr>
        <w:t>万元；徐财预指[</w:t>
      </w:r>
      <w:r>
        <w:rPr>
          <w:rFonts w:ascii="仿宋_GB2312" w:eastAsia="仿宋_GB2312" w:cs="DengXian-Regular"/>
          <w:sz w:val="32"/>
          <w:szCs w:val="32"/>
        </w:rPr>
        <w:t>2021</w:t>
      </w:r>
      <w:r>
        <w:rPr>
          <w:rFonts w:hint="eastAsia" w:ascii="仿宋_GB2312" w:eastAsia="仿宋_GB2312" w:cs="DengXian-Regular"/>
          <w:sz w:val="32"/>
          <w:szCs w:val="32"/>
        </w:rPr>
        <w:t>]</w:t>
      </w:r>
      <w:r>
        <w:rPr>
          <w:rFonts w:hint="default" w:ascii="仿宋_GB2312" w:eastAsia="仿宋_GB2312" w:cs="DengXian-Regular"/>
          <w:sz w:val="32"/>
          <w:szCs w:val="32"/>
          <w:lang w:val="en-US"/>
        </w:rPr>
        <w:t>1-1442</w:t>
      </w:r>
      <w:r>
        <w:rPr>
          <w:rFonts w:hint="eastAsia" w:ascii="仿宋_GB2312" w:eastAsia="仿宋_GB2312" w:cs="DengXian-Regular"/>
          <w:sz w:val="32"/>
          <w:szCs w:val="32"/>
        </w:rPr>
        <w:t>号追加</w:t>
      </w:r>
      <w:r>
        <w:rPr>
          <w:rFonts w:hint="eastAsia" w:ascii="仿宋_GB2312" w:eastAsia="仿宋_GB2312" w:cs="DengXian-Regular"/>
          <w:sz w:val="32"/>
          <w:szCs w:val="32"/>
          <w:lang w:eastAsia="zh-CN"/>
        </w:rPr>
        <w:t>政法稳定工作经费</w:t>
      </w:r>
      <w:r>
        <w:rPr>
          <w:rFonts w:hint="default" w:ascii="仿宋_GB2312" w:eastAsia="仿宋_GB2312" w:cs="DengXian-Regular"/>
          <w:sz w:val="32"/>
          <w:szCs w:val="32"/>
          <w:lang w:val="en-US" w:eastAsia="zh-CN"/>
        </w:rPr>
        <w:t>1.5</w:t>
      </w:r>
      <w:r>
        <w:rPr>
          <w:rFonts w:hint="eastAsia" w:ascii="仿宋_GB2312" w:eastAsia="仿宋_GB2312" w:cs="DengXian-Regular"/>
          <w:sz w:val="32"/>
          <w:szCs w:val="32"/>
        </w:rPr>
        <w:t>万元；区</w:t>
      </w:r>
      <w:r>
        <w:rPr>
          <w:rFonts w:hint="eastAsia" w:ascii="仿宋_GB2312" w:eastAsia="仿宋_GB2312" w:cs="DengXian-Regular"/>
          <w:sz w:val="32"/>
          <w:szCs w:val="32"/>
          <w:lang w:eastAsia="zh-CN"/>
        </w:rPr>
        <w:t>委政法委</w:t>
      </w:r>
      <w:r>
        <w:rPr>
          <w:rFonts w:hint="eastAsia" w:ascii="仿宋_GB2312" w:eastAsia="仿宋_GB2312" w:cs="DengXian-Regular"/>
          <w:sz w:val="32"/>
          <w:szCs w:val="32"/>
        </w:rPr>
        <w:t>202</w:t>
      </w:r>
      <w:r>
        <w:rPr>
          <w:rFonts w:ascii="仿宋_GB2312" w:eastAsia="仿宋_GB2312" w:cs="DengXian-Regular"/>
          <w:sz w:val="32"/>
          <w:szCs w:val="32"/>
        </w:rPr>
        <w:t>1</w:t>
      </w:r>
      <w:r>
        <w:rPr>
          <w:rFonts w:hint="eastAsia" w:ascii="仿宋_GB2312" w:eastAsia="仿宋_GB2312" w:cs="DengXian-Regular"/>
          <w:sz w:val="32"/>
          <w:szCs w:val="32"/>
        </w:rPr>
        <w:t>年度预算收入的追加数为</w:t>
      </w:r>
      <w:r>
        <w:rPr>
          <w:rFonts w:hint="default" w:ascii="仿宋_GB2312" w:eastAsia="仿宋_GB2312" w:cs="DengXian-Regular"/>
          <w:sz w:val="32"/>
          <w:szCs w:val="32"/>
          <w:lang w:val="en-US"/>
        </w:rPr>
        <w:t>10</w:t>
      </w:r>
      <w:r>
        <w:rPr>
          <w:rFonts w:hint="eastAsia" w:ascii="仿宋_GB2312" w:eastAsia="仿宋_GB2312" w:cs="DengXian-Regular"/>
          <w:sz w:val="32"/>
          <w:szCs w:val="32"/>
        </w:rPr>
        <w:t>万元，年初预算数为</w:t>
      </w:r>
      <w:r>
        <w:rPr>
          <w:rFonts w:hint="default" w:ascii="仿宋_GB2312" w:eastAsia="仿宋_GB2312" w:cs="DengXian-Regular"/>
          <w:sz w:val="32"/>
          <w:szCs w:val="32"/>
          <w:lang w:val="en-US"/>
        </w:rPr>
        <w:t>1057.40</w:t>
      </w:r>
      <w:r>
        <w:rPr>
          <w:rFonts w:hint="eastAsia" w:ascii="仿宋_GB2312" w:eastAsia="仿宋_GB2312" w:cs="DengXian-Regular"/>
          <w:sz w:val="32"/>
          <w:szCs w:val="32"/>
        </w:rPr>
        <w:t>万元，预算收入调整率为</w:t>
      </w:r>
      <w:r>
        <w:rPr>
          <w:rFonts w:hint="default" w:ascii="仿宋_GB2312" w:eastAsia="仿宋_GB2312" w:cs="DengXian-Regular"/>
          <w:sz w:val="32"/>
          <w:szCs w:val="32"/>
          <w:lang w:val="en-US"/>
        </w:rPr>
        <w:t>99.05</w:t>
      </w:r>
      <w:r>
        <w:rPr>
          <w:rFonts w:hint="eastAsia" w:ascii="仿宋_GB2312" w:eastAsia="仿宋_GB2312" w:cs="DengXian-Regular"/>
          <w:sz w:val="32"/>
          <w:szCs w:val="32"/>
        </w:rPr>
        <w:t>%</w:t>
      </w:r>
      <w:r>
        <w:rPr>
          <w:rFonts w:hint="eastAsia" w:ascii="仿宋_GB2312" w:eastAsia="仿宋_GB2312" w:cs="DengXian-Regular"/>
          <w:sz w:val="32"/>
          <w:szCs w:val="32"/>
          <w:lang w:eastAsia="zh-CN"/>
        </w:rPr>
        <w:t>。</w:t>
      </w:r>
    </w:p>
    <w:p w14:paraId="748B80C5">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该指标实际得分</w:t>
      </w:r>
      <w:r>
        <w:rPr>
          <w:rFonts w:hint="default" w:ascii="仿宋_GB2312" w:eastAsia="仿宋_GB2312" w:cs="DengXian-Regular"/>
          <w:sz w:val="32"/>
          <w:szCs w:val="32"/>
          <w:lang w:val="en-US"/>
        </w:rPr>
        <w:t>1.8</w:t>
      </w:r>
      <w:r>
        <w:rPr>
          <w:rFonts w:hint="eastAsia" w:ascii="仿宋_GB2312" w:eastAsia="仿宋_GB2312" w:cs="DengXian-Regular"/>
          <w:sz w:val="32"/>
          <w:szCs w:val="32"/>
        </w:rPr>
        <w:t>分。</w:t>
      </w:r>
    </w:p>
    <w:p w14:paraId="53C1BCBF">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（4）财政拨款支出完成率（4分）</w:t>
      </w:r>
    </w:p>
    <w:p w14:paraId="6C95AE79">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该指标主要评价部门财政拨款的支出进度，通过财政拨款支出完成率来衡量。</w:t>
      </w:r>
    </w:p>
    <w:p w14:paraId="1450E56A">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财政拨款支出完成率=（部门决算财政拨款支出/部门决算财政拨款收入）*100%。</w:t>
      </w:r>
    </w:p>
    <w:p w14:paraId="3BFCEC8A">
      <w:pPr>
        <w:spacing w:after="0" w:line="360" w:lineRule="auto"/>
        <w:ind w:firstLine="640" w:firstLineChars="200"/>
        <w:jc w:val="both"/>
        <w:textAlignment w:val="baseline"/>
        <w:rPr>
          <w:rFonts w:hint="eastAsia" w:ascii="仿宋_GB2312" w:eastAsia="仿宋_GB2312" w:cs="DengXian-Regular"/>
          <w:sz w:val="32"/>
          <w:szCs w:val="32"/>
        </w:rPr>
      </w:pPr>
      <w:r>
        <w:rPr>
          <w:rFonts w:hint="eastAsia" w:ascii="仿宋_GB2312" w:eastAsia="仿宋_GB2312" w:cs="DengXian-Regular"/>
          <w:sz w:val="32"/>
          <w:szCs w:val="32"/>
        </w:rPr>
        <w:t>区</w:t>
      </w:r>
      <w:r>
        <w:rPr>
          <w:rFonts w:hint="eastAsia" w:ascii="仿宋_GB2312" w:eastAsia="仿宋_GB2312" w:cs="DengXian-Regular"/>
          <w:sz w:val="32"/>
          <w:szCs w:val="32"/>
          <w:lang w:eastAsia="zh-CN"/>
        </w:rPr>
        <w:t>委政法委</w:t>
      </w:r>
      <w:r>
        <w:rPr>
          <w:rFonts w:hint="eastAsia" w:ascii="仿宋_GB2312" w:eastAsia="仿宋_GB2312" w:cs="DengXian-Regular"/>
          <w:sz w:val="32"/>
          <w:szCs w:val="32"/>
        </w:rPr>
        <w:t>提供的202</w:t>
      </w:r>
      <w:r>
        <w:rPr>
          <w:rFonts w:ascii="仿宋_GB2312" w:eastAsia="仿宋_GB2312" w:cs="DengXian-Regular"/>
          <w:sz w:val="32"/>
          <w:szCs w:val="32"/>
        </w:rPr>
        <w:t>1</w:t>
      </w:r>
      <w:r>
        <w:rPr>
          <w:rFonts w:hint="eastAsia" w:ascii="仿宋_GB2312" w:eastAsia="仿宋_GB2312" w:cs="DengXian-Regular"/>
          <w:sz w:val="32"/>
          <w:szCs w:val="32"/>
        </w:rPr>
        <w:t>年决算文本，部门决算财政拨款支出数</w:t>
      </w:r>
      <w:r>
        <w:rPr>
          <w:rFonts w:hint="default" w:ascii="仿宋_GB2312" w:eastAsia="仿宋_GB2312" w:cs="DengXian-Regular"/>
          <w:sz w:val="32"/>
          <w:szCs w:val="32"/>
          <w:lang w:val="en-US"/>
        </w:rPr>
        <w:t>1085.87</w:t>
      </w:r>
      <w:r>
        <w:rPr>
          <w:rFonts w:hint="eastAsia" w:ascii="仿宋_GB2312" w:eastAsia="仿宋_GB2312" w:cs="DengXian-Regular"/>
          <w:sz w:val="32"/>
          <w:szCs w:val="32"/>
        </w:rPr>
        <w:t>万元，财政拨款收入数</w:t>
      </w:r>
      <w:r>
        <w:rPr>
          <w:rFonts w:hint="default" w:ascii="仿宋_GB2312" w:eastAsia="仿宋_GB2312" w:cs="DengXian-Regular"/>
          <w:sz w:val="32"/>
          <w:szCs w:val="32"/>
          <w:lang w:val="en-US"/>
        </w:rPr>
        <w:t>1346.02</w:t>
      </w:r>
      <w:r>
        <w:rPr>
          <w:rFonts w:hint="eastAsia" w:ascii="仿宋_GB2312" w:eastAsia="仿宋_GB2312" w:cs="DengXian-Regular"/>
          <w:sz w:val="32"/>
          <w:szCs w:val="32"/>
        </w:rPr>
        <w:t>万元，财政拨款支出率=（财政拨款支出数/财政拨款收入数）*100%=</w:t>
      </w:r>
      <w:r>
        <w:rPr>
          <w:rFonts w:hint="default" w:ascii="仿宋_GB2312" w:eastAsia="仿宋_GB2312" w:cs="DengXian-Regular"/>
          <w:sz w:val="32"/>
          <w:szCs w:val="32"/>
          <w:lang w:val="en-US"/>
        </w:rPr>
        <w:t>80.67</w:t>
      </w:r>
      <w:r>
        <w:rPr>
          <w:rFonts w:hint="eastAsia" w:ascii="仿宋_GB2312" w:eastAsia="仿宋_GB2312" w:cs="DengXian-Regular"/>
          <w:sz w:val="32"/>
          <w:szCs w:val="32"/>
        </w:rPr>
        <w:t>%。</w:t>
      </w:r>
    </w:p>
    <w:p w14:paraId="21DD3770">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该指标实际得分</w:t>
      </w:r>
      <w:r>
        <w:rPr>
          <w:rFonts w:hint="default" w:ascii="仿宋_GB2312" w:eastAsia="仿宋_GB2312" w:cs="DengXian-Regular"/>
          <w:sz w:val="32"/>
          <w:szCs w:val="32"/>
          <w:lang w:val="en-US"/>
        </w:rPr>
        <w:t>3</w:t>
      </w:r>
      <w:r>
        <w:rPr>
          <w:rFonts w:hint="eastAsia" w:ascii="仿宋_GB2312" w:eastAsia="仿宋_GB2312" w:cs="DengXian-Regular"/>
          <w:sz w:val="32"/>
          <w:szCs w:val="32"/>
        </w:rPr>
        <w:t>分。</w:t>
      </w:r>
    </w:p>
    <w:p w14:paraId="14D9C158">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（5）“三公”经费控制率（3分）</w:t>
      </w:r>
    </w:p>
    <w:p w14:paraId="2AA23325">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该指标主要评价“三公”经费是否得到有效控制，通过“三公”经费控制率来衡量。</w:t>
      </w:r>
    </w:p>
    <w:p w14:paraId="7FF8298A">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“三公”经费控制率=（实际支出数/预算数）*100%。</w:t>
      </w:r>
    </w:p>
    <w:p w14:paraId="2C0B2541">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根据区</w:t>
      </w:r>
      <w:r>
        <w:rPr>
          <w:rFonts w:hint="eastAsia" w:ascii="仿宋_GB2312" w:eastAsia="仿宋_GB2312" w:cs="DengXian-Regular"/>
          <w:sz w:val="32"/>
          <w:szCs w:val="32"/>
          <w:lang w:eastAsia="zh-CN"/>
        </w:rPr>
        <w:t>委政法委</w:t>
      </w:r>
      <w:r>
        <w:rPr>
          <w:rFonts w:hint="eastAsia" w:ascii="仿宋_GB2312" w:eastAsia="仿宋_GB2312" w:cs="DengXian-Regular"/>
          <w:sz w:val="32"/>
          <w:szCs w:val="32"/>
        </w:rPr>
        <w:t>202</w:t>
      </w:r>
      <w:r>
        <w:rPr>
          <w:rFonts w:ascii="仿宋_GB2312" w:eastAsia="仿宋_GB2312" w:cs="DengXian-Regular"/>
          <w:sz w:val="32"/>
          <w:szCs w:val="32"/>
        </w:rPr>
        <w:t>1</w:t>
      </w:r>
      <w:r>
        <w:rPr>
          <w:rFonts w:hint="eastAsia" w:ascii="仿宋_GB2312" w:eastAsia="仿宋_GB2312" w:cs="DengXian-Regular"/>
          <w:sz w:val="32"/>
          <w:szCs w:val="32"/>
        </w:rPr>
        <w:t>年预算文本及决算文本，“三公”经费年初预算数</w:t>
      </w:r>
      <w:r>
        <w:rPr>
          <w:rFonts w:hint="default" w:ascii="仿宋_GB2312" w:eastAsia="仿宋_GB2312" w:cs="DengXian-Regular"/>
          <w:sz w:val="32"/>
          <w:szCs w:val="32"/>
          <w:lang w:val="en-US"/>
        </w:rPr>
        <w:t>17.8</w:t>
      </w:r>
      <w:r>
        <w:rPr>
          <w:rFonts w:hint="eastAsia" w:ascii="仿宋_GB2312" w:eastAsia="仿宋_GB2312" w:cs="DengXian-Regular"/>
          <w:sz w:val="32"/>
          <w:szCs w:val="32"/>
        </w:rPr>
        <w:t>万元，年末决算数</w:t>
      </w:r>
      <w:r>
        <w:rPr>
          <w:rFonts w:hint="default" w:ascii="仿宋_GB2312" w:eastAsia="仿宋_GB2312" w:cs="DengXian-Regular"/>
          <w:sz w:val="32"/>
          <w:szCs w:val="32"/>
          <w:lang w:val="en-US"/>
        </w:rPr>
        <w:t>7.18</w:t>
      </w:r>
      <w:r>
        <w:rPr>
          <w:rFonts w:hint="eastAsia" w:ascii="仿宋_GB2312" w:eastAsia="仿宋_GB2312" w:cs="DengXian-Regular"/>
          <w:sz w:val="32"/>
          <w:szCs w:val="32"/>
        </w:rPr>
        <w:t>万元，“三公”经费控制率=（年末决算数/年初预算数）*100%=</w:t>
      </w:r>
      <w:r>
        <w:rPr>
          <w:rFonts w:hint="default" w:ascii="仿宋_GB2312" w:eastAsia="仿宋_GB2312" w:cs="DengXian-Regular"/>
          <w:sz w:val="32"/>
          <w:szCs w:val="32"/>
          <w:lang w:val="en-US"/>
        </w:rPr>
        <w:t>40.34</w:t>
      </w:r>
      <w:r>
        <w:rPr>
          <w:rFonts w:hint="eastAsia" w:ascii="仿宋_GB2312" w:eastAsia="仿宋_GB2312" w:cs="DengXian-Regular"/>
          <w:sz w:val="32"/>
          <w:szCs w:val="32"/>
        </w:rPr>
        <w:t>%</w:t>
      </w:r>
      <w:r>
        <w:rPr>
          <w:rFonts w:ascii="Arial" w:hAnsi="Arial" w:eastAsia="仿宋_GB2312" w:cs="Arial"/>
          <w:sz w:val="32"/>
          <w:szCs w:val="32"/>
        </w:rPr>
        <w:t>≤</w:t>
      </w:r>
      <w:r>
        <w:rPr>
          <w:rFonts w:hint="eastAsia" w:ascii="仿宋_GB2312" w:eastAsia="仿宋_GB2312" w:cs="DengXian-Regular"/>
          <w:sz w:val="32"/>
          <w:szCs w:val="32"/>
        </w:rPr>
        <w:t>100%。</w:t>
      </w:r>
    </w:p>
    <w:p w14:paraId="58857DD7">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该指标实际得分</w:t>
      </w:r>
      <w:r>
        <w:rPr>
          <w:rFonts w:hint="default" w:ascii="仿宋_GB2312" w:eastAsia="仿宋_GB2312" w:cs="DengXian-Regular"/>
          <w:sz w:val="32"/>
          <w:szCs w:val="32"/>
          <w:lang w:val="en-US"/>
        </w:rPr>
        <w:t>3</w:t>
      </w:r>
      <w:r>
        <w:rPr>
          <w:rFonts w:hint="eastAsia" w:ascii="仿宋_GB2312" w:eastAsia="仿宋_GB2312" w:cs="DengXian-Regular"/>
          <w:sz w:val="32"/>
          <w:szCs w:val="32"/>
        </w:rPr>
        <w:t>分。</w:t>
      </w:r>
    </w:p>
    <w:p w14:paraId="75EFB4E9">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（6）政府采购执行率（3分）</w:t>
      </w:r>
    </w:p>
    <w:p w14:paraId="66039320">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该指标主要评价部门是否有效执行政府采购政策，通过政府采购执行率来衡量。</w:t>
      </w:r>
    </w:p>
    <w:p w14:paraId="4CEF9963">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政府采购执行率=（实际政府采购金额/政府采购预算金额）*100%。</w:t>
      </w:r>
    </w:p>
    <w:p w14:paraId="5D3BC969">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根据区</w:t>
      </w:r>
      <w:r>
        <w:rPr>
          <w:rFonts w:hint="eastAsia" w:ascii="仿宋_GB2312" w:eastAsia="仿宋_GB2312" w:cs="DengXian-Regular"/>
          <w:sz w:val="32"/>
          <w:szCs w:val="32"/>
          <w:lang w:eastAsia="zh-CN"/>
        </w:rPr>
        <w:t>委政法委</w:t>
      </w:r>
      <w:r>
        <w:rPr>
          <w:rFonts w:hint="eastAsia" w:ascii="仿宋_GB2312" w:eastAsia="仿宋_GB2312" w:cs="DengXian-Regular"/>
          <w:sz w:val="32"/>
          <w:szCs w:val="32"/>
        </w:rPr>
        <w:t>202</w:t>
      </w:r>
      <w:r>
        <w:rPr>
          <w:rFonts w:ascii="仿宋_GB2312" w:eastAsia="仿宋_GB2312" w:cs="DengXian-Regular"/>
          <w:sz w:val="32"/>
          <w:szCs w:val="32"/>
        </w:rPr>
        <w:t>1</w:t>
      </w:r>
      <w:r>
        <w:rPr>
          <w:rFonts w:hint="eastAsia" w:ascii="仿宋_GB2312" w:eastAsia="仿宋_GB2312" w:cs="DengXian-Regular"/>
          <w:sz w:val="32"/>
          <w:szCs w:val="32"/>
        </w:rPr>
        <w:t>年预算文本及决算文本，政府采购年初预算数</w:t>
      </w:r>
      <w:r>
        <w:rPr>
          <w:rFonts w:hint="default" w:ascii="仿宋_GB2312" w:eastAsia="仿宋_GB2312" w:cs="DengXian-Regular"/>
          <w:sz w:val="32"/>
          <w:szCs w:val="32"/>
          <w:lang w:val="en-US"/>
        </w:rPr>
        <w:t>0</w:t>
      </w:r>
      <w:r>
        <w:rPr>
          <w:rFonts w:hint="eastAsia" w:ascii="仿宋_GB2312" w:eastAsia="仿宋_GB2312" w:cs="DengXian-Regular"/>
          <w:sz w:val="32"/>
          <w:szCs w:val="32"/>
        </w:rPr>
        <w:t>万元，年末决算数</w:t>
      </w:r>
      <w:r>
        <w:rPr>
          <w:rFonts w:hint="default" w:ascii="仿宋_GB2312" w:eastAsia="仿宋_GB2312" w:cs="DengXian-Regular"/>
          <w:sz w:val="32"/>
          <w:szCs w:val="32"/>
          <w:lang w:val="en-US"/>
        </w:rPr>
        <w:t>0</w:t>
      </w:r>
      <w:r>
        <w:rPr>
          <w:rFonts w:hint="eastAsia" w:ascii="仿宋_GB2312" w:eastAsia="仿宋_GB2312" w:cs="DengXian-Regular"/>
          <w:sz w:val="32"/>
          <w:szCs w:val="32"/>
        </w:rPr>
        <w:t>万元，政府采购执行率为</w:t>
      </w:r>
      <w:r>
        <w:rPr>
          <w:rFonts w:hint="default" w:ascii="仿宋_GB2312" w:eastAsia="仿宋_GB2312" w:cs="DengXian-Regular"/>
          <w:sz w:val="32"/>
          <w:szCs w:val="32"/>
          <w:lang w:val="en-US"/>
        </w:rPr>
        <w:t>0</w:t>
      </w:r>
      <w:r>
        <w:rPr>
          <w:rFonts w:hint="eastAsia" w:ascii="仿宋_GB2312" w:eastAsia="仿宋_GB2312" w:cs="DengXian-Regular"/>
          <w:sz w:val="32"/>
          <w:szCs w:val="32"/>
        </w:rPr>
        <w:t>。</w:t>
      </w:r>
    </w:p>
    <w:p w14:paraId="2A9F4D35">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该指标实际得分为</w:t>
      </w:r>
      <w:r>
        <w:rPr>
          <w:rFonts w:hint="default" w:ascii="仿宋_GB2312" w:eastAsia="仿宋_GB2312" w:cs="DengXian-Regular"/>
          <w:sz w:val="32"/>
          <w:szCs w:val="32"/>
          <w:lang w:val="en-US"/>
        </w:rPr>
        <w:t>3</w:t>
      </w:r>
      <w:r>
        <w:rPr>
          <w:rFonts w:hint="eastAsia" w:ascii="仿宋_GB2312" w:eastAsia="仿宋_GB2312" w:cs="DengXian-Regular"/>
          <w:sz w:val="32"/>
          <w:szCs w:val="32"/>
        </w:rPr>
        <w:t>分。</w:t>
      </w:r>
    </w:p>
    <w:p w14:paraId="1F3F946D">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（7）资金使用合规性（3分）</w:t>
      </w:r>
    </w:p>
    <w:p w14:paraId="44782703">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该指标主要评价资金使用是否按照相关法律法规和资金管理办法规定的用途使用，财务管理是否符合相关会计准则和财务制度。</w:t>
      </w:r>
    </w:p>
    <w:p w14:paraId="03F2C1E7">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根据区</w:t>
      </w:r>
      <w:r>
        <w:rPr>
          <w:rFonts w:hint="eastAsia" w:ascii="仿宋_GB2312" w:eastAsia="仿宋_GB2312" w:cs="DengXian-Regular"/>
          <w:sz w:val="32"/>
          <w:szCs w:val="32"/>
          <w:lang w:eastAsia="zh-CN"/>
        </w:rPr>
        <w:t>委政法委</w:t>
      </w:r>
      <w:r>
        <w:rPr>
          <w:rFonts w:hint="eastAsia" w:ascii="仿宋_GB2312" w:eastAsia="仿宋_GB2312" w:cs="DengXian-Regular"/>
          <w:sz w:val="32"/>
          <w:szCs w:val="32"/>
        </w:rPr>
        <w:t>202</w:t>
      </w:r>
      <w:r>
        <w:rPr>
          <w:rFonts w:ascii="仿宋_GB2312" w:eastAsia="仿宋_GB2312" w:cs="DengXian-Regular"/>
          <w:sz w:val="32"/>
          <w:szCs w:val="32"/>
        </w:rPr>
        <w:t>1</w:t>
      </w:r>
      <w:r>
        <w:rPr>
          <w:rFonts w:hint="eastAsia" w:ascii="仿宋_GB2312" w:eastAsia="仿宋_GB2312" w:cs="DengXian-Regular"/>
          <w:sz w:val="32"/>
          <w:szCs w:val="32"/>
        </w:rPr>
        <w:t>年明细账、会计凭证等相关资料，区</w:t>
      </w:r>
      <w:r>
        <w:rPr>
          <w:rFonts w:hint="eastAsia" w:ascii="仿宋_GB2312" w:eastAsia="仿宋_GB2312" w:cs="DengXian-Regular"/>
          <w:sz w:val="32"/>
          <w:szCs w:val="32"/>
          <w:lang w:eastAsia="zh-CN"/>
        </w:rPr>
        <w:t>委政法委</w:t>
      </w:r>
      <w:r>
        <w:rPr>
          <w:rFonts w:hint="eastAsia" w:ascii="仿宋_GB2312" w:eastAsia="仿宋_GB2312" w:cs="DengXian-Regular"/>
          <w:sz w:val="32"/>
          <w:szCs w:val="32"/>
        </w:rPr>
        <w:t>资金使用符合相关会计准则和财务制度，资金拨付有完备的审批程序和手续，资金使用符合部门预算批复的用途，未发现截留、挤占、挪用财政资金的情况。</w:t>
      </w:r>
    </w:p>
    <w:p w14:paraId="477BBEB5">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该指标实际得分</w:t>
      </w:r>
      <w:r>
        <w:rPr>
          <w:rFonts w:hint="default" w:ascii="仿宋_GB2312" w:eastAsia="仿宋_GB2312" w:cs="DengXian-Regular"/>
          <w:sz w:val="32"/>
          <w:szCs w:val="32"/>
          <w:lang w:val="en-US"/>
        </w:rPr>
        <w:t>3</w:t>
      </w:r>
      <w:r>
        <w:rPr>
          <w:rFonts w:hint="eastAsia" w:ascii="仿宋_GB2312" w:eastAsia="仿宋_GB2312" w:cs="DengXian-Regular"/>
          <w:sz w:val="32"/>
          <w:szCs w:val="32"/>
        </w:rPr>
        <w:t>分。</w:t>
      </w:r>
    </w:p>
    <w:p w14:paraId="6E4FED70">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（8）决算真实性（3分）</w:t>
      </w:r>
    </w:p>
    <w:p w14:paraId="081C4A39">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该指标主要评价决算编制数据是否与账表一致，即决算报表数据与会计账簿数据是否一致。</w:t>
      </w:r>
    </w:p>
    <w:p w14:paraId="496C0253">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经核查区</w:t>
      </w:r>
      <w:r>
        <w:rPr>
          <w:rFonts w:hint="eastAsia" w:ascii="仿宋_GB2312" w:eastAsia="仿宋_GB2312" w:cs="DengXian-Regular"/>
          <w:sz w:val="32"/>
          <w:szCs w:val="32"/>
          <w:lang w:eastAsia="zh-CN"/>
        </w:rPr>
        <w:t>委政法委</w:t>
      </w:r>
      <w:r>
        <w:rPr>
          <w:rFonts w:hint="eastAsia" w:ascii="仿宋_GB2312" w:eastAsia="仿宋_GB2312" w:cs="DengXian-Regular"/>
          <w:sz w:val="32"/>
          <w:szCs w:val="32"/>
        </w:rPr>
        <w:t>202</w:t>
      </w:r>
      <w:r>
        <w:rPr>
          <w:rFonts w:ascii="仿宋_GB2312" w:eastAsia="仿宋_GB2312" w:cs="DengXian-Regular"/>
          <w:sz w:val="32"/>
          <w:szCs w:val="32"/>
        </w:rPr>
        <w:t>1</w:t>
      </w:r>
      <w:r>
        <w:rPr>
          <w:rFonts w:hint="eastAsia" w:ascii="仿宋_GB2312" w:eastAsia="仿宋_GB2312" w:cs="DengXian-Regular"/>
          <w:sz w:val="32"/>
          <w:szCs w:val="32"/>
        </w:rPr>
        <w:t>年决算文本、明细账及总账，区</w:t>
      </w:r>
      <w:r>
        <w:rPr>
          <w:rFonts w:hint="eastAsia" w:ascii="仿宋_GB2312" w:eastAsia="仿宋_GB2312" w:cs="DengXian-Regular"/>
          <w:sz w:val="32"/>
          <w:szCs w:val="32"/>
          <w:lang w:eastAsia="zh-CN"/>
        </w:rPr>
        <w:t>委政法委</w:t>
      </w:r>
      <w:r>
        <w:rPr>
          <w:rFonts w:hint="eastAsia" w:ascii="仿宋_GB2312" w:eastAsia="仿宋_GB2312" w:cs="DengXian-Regular"/>
          <w:sz w:val="32"/>
          <w:szCs w:val="32"/>
        </w:rPr>
        <w:t>决算文本数据均与明细账、总账一致。</w:t>
      </w:r>
    </w:p>
    <w:p w14:paraId="26536CE9">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该指标实际得分</w:t>
      </w:r>
      <w:r>
        <w:rPr>
          <w:rFonts w:hint="default" w:ascii="仿宋_GB2312" w:eastAsia="仿宋_GB2312" w:cs="DengXian-Regular"/>
          <w:sz w:val="32"/>
          <w:szCs w:val="32"/>
          <w:lang w:val="en-US"/>
        </w:rPr>
        <w:t>3</w:t>
      </w:r>
      <w:r>
        <w:rPr>
          <w:rFonts w:hint="eastAsia" w:ascii="仿宋_GB2312" w:eastAsia="仿宋_GB2312" w:cs="DengXian-Regular"/>
          <w:sz w:val="32"/>
          <w:szCs w:val="32"/>
        </w:rPr>
        <w:t>分。</w:t>
      </w:r>
    </w:p>
    <w:p w14:paraId="073D6554">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2.预算管理（16分）</w:t>
      </w:r>
    </w:p>
    <w:p w14:paraId="39E81286">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（1）管理制度健全性（4分）</w:t>
      </w:r>
    </w:p>
    <w:p w14:paraId="0231425A">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该指标主要评价部门是否制定资金管理办法、财务管理制度、会计核算制度等相关内部控制制度，制度执行是否得到有效执行。</w:t>
      </w:r>
    </w:p>
    <w:p w14:paraId="3C3451B2">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区</w:t>
      </w:r>
      <w:r>
        <w:rPr>
          <w:rFonts w:hint="eastAsia" w:ascii="仿宋_GB2312" w:eastAsia="仿宋_GB2312" w:cs="DengXian-Regular"/>
          <w:sz w:val="32"/>
          <w:szCs w:val="32"/>
          <w:lang w:eastAsia="zh-CN"/>
        </w:rPr>
        <w:t>委政法委</w:t>
      </w:r>
      <w:r>
        <w:rPr>
          <w:rFonts w:hint="eastAsia" w:ascii="仿宋_GB2312" w:eastAsia="仿宋_GB2312" w:cs="DengXian-Regular"/>
          <w:sz w:val="32"/>
          <w:szCs w:val="32"/>
        </w:rPr>
        <w:t>工作制度涵盖了财务制度、网络安全制度、公务用车制度等相关制度，经检查区</w:t>
      </w:r>
      <w:r>
        <w:rPr>
          <w:rFonts w:hint="eastAsia" w:ascii="仿宋_GB2312" w:eastAsia="仿宋_GB2312" w:cs="DengXian-Regular"/>
          <w:sz w:val="32"/>
          <w:szCs w:val="32"/>
          <w:lang w:eastAsia="zh-CN"/>
        </w:rPr>
        <w:t>委政法委</w:t>
      </w:r>
      <w:r>
        <w:rPr>
          <w:rFonts w:hint="eastAsia" w:ascii="仿宋_GB2312" w:eastAsia="仿宋_GB2312" w:cs="DengXian-Regular"/>
          <w:sz w:val="32"/>
          <w:szCs w:val="32"/>
        </w:rPr>
        <w:t>付款流程审批单、资产盘点表等资料，区</w:t>
      </w:r>
      <w:r>
        <w:rPr>
          <w:rFonts w:hint="eastAsia" w:ascii="仿宋_GB2312" w:eastAsia="仿宋_GB2312" w:cs="DengXian-Regular"/>
          <w:sz w:val="32"/>
          <w:szCs w:val="32"/>
          <w:lang w:eastAsia="zh-CN"/>
        </w:rPr>
        <w:t>委政法委</w:t>
      </w:r>
      <w:r>
        <w:rPr>
          <w:rFonts w:hint="eastAsia" w:ascii="仿宋_GB2312" w:eastAsia="仿宋_GB2312" w:cs="DengXian-Regular"/>
          <w:sz w:val="32"/>
          <w:szCs w:val="32"/>
        </w:rPr>
        <w:t>已按照相关管理制度的规定执行。</w:t>
      </w:r>
    </w:p>
    <w:p w14:paraId="63530215">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该项指标实际得分</w:t>
      </w:r>
      <w:r>
        <w:rPr>
          <w:rFonts w:hint="default" w:ascii="仿宋_GB2312" w:eastAsia="仿宋_GB2312" w:cs="DengXian-Regular"/>
          <w:sz w:val="32"/>
          <w:szCs w:val="32"/>
          <w:lang w:val="en-US"/>
        </w:rPr>
        <w:t>3</w:t>
      </w:r>
      <w:r>
        <w:rPr>
          <w:rFonts w:hint="eastAsia" w:ascii="仿宋_GB2312" w:eastAsia="仿宋_GB2312" w:cs="DengXian-Regular"/>
          <w:sz w:val="32"/>
          <w:szCs w:val="32"/>
        </w:rPr>
        <w:t>分。</w:t>
      </w:r>
    </w:p>
    <w:p w14:paraId="7F4F8259">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（2）预决算信息公开性（4分）</w:t>
      </w:r>
    </w:p>
    <w:p w14:paraId="2BD161DC">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该指标主要评价部门是否按照政府信息公开的有关要求在相关网站公开部门预算、预算执行情况、年度工作任务等相关信息。</w:t>
      </w:r>
    </w:p>
    <w:p w14:paraId="23ECE792">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区</w:t>
      </w:r>
      <w:r>
        <w:rPr>
          <w:rFonts w:hint="eastAsia" w:ascii="仿宋_GB2312" w:eastAsia="仿宋_GB2312" w:cs="DengXian-Regular"/>
          <w:sz w:val="32"/>
          <w:szCs w:val="32"/>
          <w:lang w:eastAsia="zh-CN"/>
        </w:rPr>
        <w:t>委政法委</w:t>
      </w:r>
      <w:r>
        <w:rPr>
          <w:rFonts w:hint="eastAsia" w:ascii="仿宋_GB2312" w:eastAsia="仿宋_GB2312" w:cs="DengXian-Regular"/>
          <w:sz w:val="32"/>
          <w:szCs w:val="32"/>
        </w:rPr>
        <w:t>202</w:t>
      </w:r>
      <w:r>
        <w:rPr>
          <w:rFonts w:ascii="仿宋_GB2312" w:eastAsia="仿宋_GB2312" w:cs="DengXian-Regular"/>
          <w:sz w:val="32"/>
          <w:szCs w:val="32"/>
        </w:rPr>
        <w:t>1</w:t>
      </w:r>
      <w:r>
        <w:rPr>
          <w:rFonts w:hint="eastAsia" w:ascii="仿宋_GB2312" w:eastAsia="仿宋_GB2312" w:cs="DengXian-Regular"/>
          <w:sz w:val="32"/>
          <w:szCs w:val="32"/>
        </w:rPr>
        <w:t>年按政府信息公开的有关要求在保定市徐水区人民政府网公开了202</w:t>
      </w:r>
      <w:r>
        <w:rPr>
          <w:rFonts w:ascii="仿宋_GB2312" w:eastAsia="仿宋_GB2312" w:cs="DengXian-Regular"/>
          <w:sz w:val="32"/>
          <w:szCs w:val="32"/>
        </w:rPr>
        <w:t>1</w:t>
      </w:r>
      <w:r>
        <w:rPr>
          <w:rFonts w:hint="eastAsia" w:ascii="仿宋_GB2312" w:eastAsia="仿宋_GB2312" w:cs="DengXian-Regular"/>
          <w:sz w:val="32"/>
          <w:szCs w:val="32"/>
        </w:rPr>
        <w:t>年的预决算情况、部门责任清单、行政监督清单等相关信息。</w:t>
      </w:r>
    </w:p>
    <w:p w14:paraId="3979EE47">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该指标实际得分</w:t>
      </w:r>
      <w:r>
        <w:rPr>
          <w:rFonts w:hint="default" w:ascii="仿宋_GB2312" w:eastAsia="仿宋_GB2312" w:cs="DengXian-Regular"/>
          <w:sz w:val="32"/>
          <w:szCs w:val="32"/>
          <w:lang w:val="en-US"/>
        </w:rPr>
        <w:t>4</w:t>
      </w:r>
      <w:r>
        <w:rPr>
          <w:rFonts w:hint="eastAsia" w:ascii="仿宋_GB2312" w:eastAsia="仿宋_GB2312" w:cs="DengXian-Regular"/>
          <w:sz w:val="32"/>
          <w:szCs w:val="32"/>
        </w:rPr>
        <w:t>分。</w:t>
      </w:r>
    </w:p>
    <w:p w14:paraId="6AA42E5A">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（3）基础信息完善性（4分）</w:t>
      </w:r>
    </w:p>
    <w:p w14:paraId="6C206869">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该指标主要评价基础数据信息和财务信息资料是否真实、完整。</w:t>
      </w:r>
    </w:p>
    <w:p w14:paraId="7DE5233A">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根据区</w:t>
      </w:r>
      <w:r>
        <w:rPr>
          <w:rFonts w:hint="eastAsia" w:ascii="仿宋_GB2312" w:eastAsia="仿宋_GB2312" w:cs="DengXian-Regular"/>
          <w:sz w:val="32"/>
          <w:szCs w:val="32"/>
          <w:lang w:eastAsia="zh-CN"/>
        </w:rPr>
        <w:t>委政法委</w:t>
      </w:r>
      <w:r>
        <w:rPr>
          <w:rFonts w:hint="eastAsia" w:ascii="仿宋_GB2312" w:eastAsia="仿宋_GB2312" w:cs="DengXian-Regular"/>
          <w:sz w:val="32"/>
          <w:szCs w:val="32"/>
        </w:rPr>
        <w:t>提供的会计账簿、凭证及其他相关资料，区</w:t>
      </w:r>
      <w:r>
        <w:rPr>
          <w:rFonts w:hint="eastAsia" w:ascii="仿宋_GB2312" w:eastAsia="仿宋_GB2312" w:cs="DengXian-Regular"/>
          <w:sz w:val="32"/>
          <w:szCs w:val="32"/>
          <w:lang w:eastAsia="zh-CN"/>
        </w:rPr>
        <w:t>委政法委</w:t>
      </w:r>
      <w:r>
        <w:rPr>
          <w:rFonts w:hint="eastAsia" w:ascii="仿宋_GB2312" w:eastAsia="仿宋_GB2312" w:cs="DengXian-Regular"/>
          <w:sz w:val="32"/>
          <w:szCs w:val="32"/>
        </w:rPr>
        <w:t>会计信息资料真实完整，</w:t>
      </w:r>
    </w:p>
    <w:p w14:paraId="16BCDB5C">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该指标实际得分</w:t>
      </w:r>
      <w:r>
        <w:rPr>
          <w:rFonts w:hint="default" w:ascii="仿宋_GB2312" w:eastAsia="仿宋_GB2312" w:cs="DengXian-Regular"/>
          <w:sz w:val="32"/>
          <w:szCs w:val="32"/>
          <w:lang w:val="en-US"/>
        </w:rPr>
        <w:t>4</w:t>
      </w:r>
      <w:r>
        <w:rPr>
          <w:rFonts w:hint="eastAsia" w:ascii="仿宋_GB2312" w:eastAsia="仿宋_GB2312" w:cs="DengXian-Regular"/>
          <w:sz w:val="32"/>
          <w:szCs w:val="32"/>
        </w:rPr>
        <w:t>分。</w:t>
      </w:r>
    </w:p>
    <w:p w14:paraId="1565E88C">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（4）资产管理规范性（4分）</w:t>
      </w:r>
    </w:p>
    <w:p w14:paraId="53CF6938">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该指标主要评价资产管理是否规范，是否建立资产台账，新增资产是否符合规定程序和规定标准，资产的配置是否合规，资产保存是否完整。</w:t>
      </w:r>
    </w:p>
    <w:p w14:paraId="328F3B7C">
      <w:pPr>
        <w:spacing w:after="0" w:line="360" w:lineRule="auto"/>
        <w:ind w:firstLine="640" w:firstLineChars="200"/>
        <w:jc w:val="both"/>
        <w:textAlignment w:val="baseline"/>
        <w:rPr>
          <w:rFonts w:ascii="仿宋_GB2312" w:eastAsia="仿宋_GB2312" w:cs="DengXian-Regular"/>
          <w:sz w:val="32"/>
          <w:szCs w:val="32"/>
          <w:highlight w:val="none"/>
        </w:rPr>
      </w:pPr>
      <w:r>
        <w:rPr>
          <w:rFonts w:hint="eastAsia" w:ascii="仿宋_GB2312" w:eastAsia="仿宋_GB2312" w:cs="DengXian-Regular"/>
          <w:sz w:val="32"/>
          <w:szCs w:val="32"/>
        </w:rPr>
        <w:t>区</w:t>
      </w:r>
      <w:r>
        <w:rPr>
          <w:rFonts w:hint="eastAsia" w:ascii="仿宋_GB2312" w:eastAsia="仿宋_GB2312" w:cs="DengXian-Regular"/>
          <w:sz w:val="32"/>
          <w:szCs w:val="32"/>
          <w:lang w:eastAsia="zh-CN"/>
        </w:rPr>
        <w:t>委政法委</w:t>
      </w:r>
      <w:r>
        <w:rPr>
          <w:rFonts w:hint="eastAsia" w:ascii="仿宋_GB2312" w:eastAsia="仿宋_GB2312" w:cs="DengXian-Regular"/>
          <w:sz w:val="32"/>
          <w:szCs w:val="32"/>
        </w:rPr>
        <w:t>建立了固定资产台账、无形资产台账，资产保存完整，</w:t>
      </w:r>
      <w:r>
        <w:rPr>
          <w:rFonts w:hint="eastAsia" w:ascii="仿宋_GB2312" w:eastAsia="仿宋_GB2312" w:cs="DengXian-Regular"/>
          <w:sz w:val="32"/>
          <w:szCs w:val="32"/>
          <w:highlight w:val="none"/>
        </w:rPr>
        <w:t>202</w:t>
      </w:r>
      <w:r>
        <w:rPr>
          <w:rFonts w:ascii="仿宋_GB2312" w:eastAsia="仿宋_GB2312" w:cs="DengXian-Regular"/>
          <w:sz w:val="32"/>
          <w:szCs w:val="32"/>
          <w:highlight w:val="none"/>
        </w:rPr>
        <w:t>1</w:t>
      </w:r>
      <w:r>
        <w:rPr>
          <w:rFonts w:hint="eastAsia" w:ascii="仿宋_GB2312" w:eastAsia="仿宋_GB2312" w:cs="DengXian-Regular"/>
          <w:sz w:val="32"/>
          <w:szCs w:val="32"/>
          <w:highlight w:val="none"/>
        </w:rPr>
        <w:t>年新增资产</w:t>
      </w:r>
      <w:r>
        <w:rPr>
          <w:rFonts w:hint="default" w:ascii="仿宋_GB2312" w:eastAsia="仿宋_GB2312" w:cs="DengXian-Regular"/>
          <w:sz w:val="32"/>
          <w:szCs w:val="32"/>
          <w:highlight w:val="none"/>
          <w:lang w:val="en-US"/>
        </w:rPr>
        <w:t>9.76</w:t>
      </w:r>
      <w:r>
        <w:rPr>
          <w:rFonts w:hint="eastAsia" w:ascii="仿宋_GB2312" w:eastAsia="仿宋_GB2312" w:cs="DengXian-Regular"/>
          <w:sz w:val="32"/>
          <w:szCs w:val="32"/>
          <w:highlight w:val="none"/>
        </w:rPr>
        <w:t>万元，包含：电脑及计算机设备</w:t>
      </w:r>
      <w:r>
        <w:rPr>
          <w:rFonts w:hint="default" w:ascii="仿宋_GB2312" w:eastAsia="仿宋_GB2312" w:cs="DengXian-Regular"/>
          <w:sz w:val="32"/>
          <w:szCs w:val="32"/>
          <w:highlight w:val="none"/>
          <w:lang w:val="en-US"/>
        </w:rPr>
        <w:t>6.36</w:t>
      </w:r>
      <w:r>
        <w:rPr>
          <w:rFonts w:hint="eastAsia" w:ascii="仿宋_GB2312" w:eastAsia="仿宋_GB2312" w:cs="DengXian-Regular"/>
          <w:sz w:val="32"/>
          <w:szCs w:val="32"/>
          <w:highlight w:val="none"/>
        </w:rPr>
        <w:t>万元、</w:t>
      </w:r>
      <w:r>
        <w:rPr>
          <w:rFonts w:hint="eastAsia" w:ascii="仿宋_GB2312" w:eastAsia="仿宋_GB2312" w:cs="DengXian-Regular"/>
          <w:sz w:val="32"/>
          <w:szCs w:val="32"/>
          <w:highlight w:val="none"/>
          <w:lang w:eastAsia="zh-CN"/>
        </w:rPr>
        <w:t>家具、用具及动植物</w:t>
      </w:r>
      <w:r>
        <w:rPr>
          <w:rFonts w:hint="default" w:ascii="仿宋_GB2312" w:eastAsia="仿宋_GB2312" w:cs="DengXian-Regular"/>
          <w:sz w:val="32"/>
          <w:szCs w:val="32"/>
          <w:highlight w:val="none"/>
          <w:lang w:val="en-US"/>
        </w:rPr>
        <w:t>3.39</w:t>
      </w:r>
      <w:r>
        <w:rPr>
          <w:rFonts w:hint="eastAsia" w:ascii="仿宋_GB2312" w:eastAsia="仿宋_GB2312" w:cs="DengXian-Regular"/>
          <w:sz w:val="32"/>
          <w:szCs w:val="32"/>
          <w:highlight w:val="none"/>
        </w:rPr>
        <w:t>万元，资产购置手续完备，配置符合要求，资产管理整体较规范。</w:t>
      </w:r>
    </w:p>
    <w:p w14:paraId="36B22A70">
      <w:pPr>
        <w:spacing w:after="0" w:line="360" w:lineRule="auto"/>
        <w:ind w:firstLine="640" w:firstLineChars="200"/>
        <w:jc w:val="both"/>
        <w:textAlignment w:val="baseline"/>
        <w:rPr>
          <w:rFonts w:ascii="仿宋_GB2312" w:eastAsia="仿宋_GB2312" w:cs="DengXian-Regular"/>
          <w:sz w:val="32"/>
          <w:szCs w:val="32"/>
          <w:highlight w:val="none"/>
        </w:rPr>
      </w:pPr>
      <w:r>
        <w:rPr>
          <w:rFonts w:hint="eastAsia" w:ascii="仿宋_GB2312" w:eastAsia="仿宋_GB2312" w:cs="DengXian-Regular"/>
          <w:sz w:val="32"/>
          <w:szCs w:val="32"/>
          <w:highlight w:val="none"/>
        </w:rPr>
        <w:t>该项指标实际得分</w:t>
      </w:r>
      <w:r>
        <w:rPr>
          <w:rFonts w:hint="default" w:ascii="仿宋_GB2312" w:eastAsia="仿宋_GB2312" w:cs="DengXian-Regular"/>
          <w:sz w:val="32"/>
          <w:szCs w:val="32"/>
          <w:highlight w:val="none"/>
          <w:lang w:val="en-US"/>
        </w:rPr>
        <w:t>4</w:t>
      </w:r>
      <w:r>
        <w:rPr>
          <w:rFonts w:hint="eastAsia" w:ascii="仿宋_GB2312" w:eastAsia="仿宋_GB2312" w:cs="DengXian-Regular"/>
          <w:sz w:val="32"/>
          <w:szCs w:val="32"/>
          <w:highlight w:val="none"/>
        </w:rPr>
        <w:t>分。</w:t>
      </w:r>
    </w:p>
    <w:p w14:paraId="5BCA4EA1">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3.绩效评价（8分）</w:t>
      </w:r>
    </w:p>
    <w:p w14:paraId="62BAE36E">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（1）绩效自评覆盖率（4分）</w:t>
      </w:r>
    </w:p>
    <w:p w14:paraId="2F60AE0F">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该指标主要评价部门是否按相关要求实施绩效自评，通过绩效自评覆盖率来衡量。</w:t>
      </w:r>
    </w:p>
    <w:p w14:paraId="3F84F0D1">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绩效自评覆盖率=（报送相关自评材料的数量/应实施项目绩效自评数量）*100%。</w:t>
      </w:r>
    </w:p>
    <w:p w14:paraId="6CFC1298">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根据徐水区财政局《关于开展202</w:t>
      </w:r>
      <w:r>
        <w:rPr>
          <w:rFonts w:ascii="仿宋_GB2312" w:eastAsia="仿宋_GB2312" w:cs="DengXian-Regular"/>
          <w:sz w:val="32"/>
          <w:szCs w:val="32"/>
        </w:rPr>
        <w:t>1</w:t>
      </w:r>
      <w:r>
        <w:rPr>
          <w:rFonts w:hint="eastAsia" w:ascii="仿宋_GB2312" w:eastAsia="仿宋_GB2312" w:cs="DengXian-Regular"/>
          <w:sz w:val="32"/>
          <w:szCs w:val="32"/>
        </w:rPr>
        <w:t>年度财政专项资金部门绩效自评价工作的通知》及徐水区</w:t>
      </w:r>
      <w:r>
        <w:rPr>
          <w:rFonts w:hint="eastAsia" w:ascii="仿宋_GB2312" w:eastAsia="仿宋_GB2312" w:cs="DengXian-Regular"/>
          <w:sz w:val="32"/>
          <w:szCs w:val="32"/>
          <w:lang w:eastAsia="zh-CN"/>
        </w:rPr>
        <w:t>委政法委</w:t>
      </w:r>
      <w:r>
        <w:rPr>
          <w:rFonts w:hint="eastAsia" w:ascii="仿宋_GB2312" w:eastAsia="仿宋_GB2312" w:cs="DengXian-Regular"/>
          <w:sz w:val="32"/>
          <w:szCs w:val="32"/>
        </w:rPr>
        <w:t>202</w:t>
      </w:r>
      <w:r>
        <w:rPr>
          <w:rFonts w:ascii="仿宋_GB2312" w:eastAsia="仿宋_GB2312" w:cs="DengXian-Regular"/>
          <w:sz w:val="32"/>
          <w:szCs w:val="32"/>
        </w:rPr>
        <w:t>1</w:t>
      </w:r>
      <w:r>
        <w:rPr>
          <w:rFonts w:hint="eastAsia" w:ascii="仿宋_GB2312" w:eastAsia="仿宋_GB2312" w:cs="DengXian-Regular"/>
          <w:sz w:val="32"/>
          <w:szCs w:val="32"/>
        </w:rPr>
        <w:t>年一般项目部门绩效自评表，区</w:t>
      </w:r>
      <w:r>
        <w:rPr>
          <w:rFonts w:hint="eastAsia" w:ascii="仿宋_GB2312" w:eastAsia="仿宋_GB2312" w:cs="DengXian-Regular"/>
          <w:sz w:val="32"/>
          <w:szCs w:val="32"/>
          <w:lang w:eastAsia="zh-CN"/>
        </w:rPr>
        <w:t>委政法委</w:t>
      </w:r>
      <w:r>
        <w:rPr>
          <w:rFonts w:hint="default" w:ascii="仿宋_GB2312" w:eastAsia="仿宋_GB2312" w:cs="DengXian-Regular"/>
          <w:sz w:val="32"/>
          <w:szCs w:val="32"/>
          <w:lang w:val="en-US"/>
        </w:rPr>
        <w:t>2</w:t>
      </w:r>
      <w:r>
        <w:rPr>
          <w:rFonts w:hint="eastAsia" w:ascii="仿宋_GB2312" w:eastAsia="仿宋_GB2312" w:cs="DengXian-Regular"/>
          <w:sz w:val="32"/>
          <w:szCs w:val="32"/>
        </w:rPr>
        <w:t>02</w:t>
      </w:r>
      <w:r>
        <w:rPr>
          <w:rFonts w:ascii="仿宋_GB2312" w:eastAsia="仿宋_GB2312" w:cs="DengXian-Regular"/>
          <w:sz w:val="32"/>
          <w:szCs w:val="32"/>
        </w:rPr>
        <w:t>1</w:t>
      </w:r>
      <w:r>
        <w:rPr>
          <w:rFonts w:hint="eastAsia" w:ascii="仿宋_GB2312" w:eastAsia="仿宋_GB2312" w:cs="DengXian-Regular"/>
          <w:sz w:val="32"/>
          <w:szCs w:val="32"/>
        </w:rPr>
        <w:t>年开展绩效自评的项目数为</w:t>
      </w:r>
      <w:r>
        <w:rPr>
          <w:rFonts w:hint="default" w:ascii="仿宋_GB2312" w:eastAsia="仿宋_GB2312" w:cs="DengXian-Regular"/>
          <w:sz w:val="32"/>
          <w:szCs w:val="32"/>
          <w:lang w:val="en-US"/>
        </w:rPr>
        <w:t>18</w:t>
      </w:r>
      <w:r>
        <w:rPr>
          <w:rFonts w:hint="eastAsia" w:ascii="仿宋_GB2312" w:eastAsia="仿宋_GB2312" w:cs="DengXian-Regular"/>
          <w:sz w:val="32"/>
          <w:szCs w:val="32"/>
        </w:rPr>
        <w:t>个，年初预算文本项目数</w:t>
      </w:r>
      <w:r>
        <w:rPr>
          <w:rFonts w:hint="default" w:ascii="仿宋_GB2312" w:eastAsia="仿宋_GB2312" w:cs="DengXian-Regular"/>
          <w:sz w:val="32"/>
          <w:szCs w:val="32"/>
          <w:lang w:val="en-US"/>
        </w:rPr>
        <w:t>18</w:t>
      </w:r>
      <w:r>
        <w:rPr>
          <w:rFonts w:hint="eastAsia" w:ascii="仿宋_GB2312" w:eastAsia="仿宋_GB2312" w:cs="DengXian-Regular"/>
          <w:sz w:val="32"/>
          <w:szCs w:val="32"/>
        </w:rPr>
        <w:t>个，要求自评项</w:t>
      </w:r>
      <w:r>
        <w:rPr>
          <w:rFonts w:hint="eastAsia" w:ascii="仿宋_GB2312" w:eastAsia="仿宋_GB2312" w:cs="DengXian-Regular"/>
          <w:sz w:val="32"/>
          <w:szCs w:val="32"/>
          <w:highlight w:val="none"/>
        </w:rPr>
        <w:t>目个数</w:t>
      </w:r>
      <w:r>
        <w:rPr>
          <w:rFonts w:hint="default" w:ascii="仿宋_GB2312" w:eastAsia="仿宋_GB2312" w:cs="DengXian-Regular"/>
          <w:sz w:val="32"/>
          <w:szCs w:val="32"/>
          <w:highlight w:val="none"/>
          <w:lang w:val="en-US"/>
        </w:rPr>
        <w:t>18</w:t>
      </w:r>
      <w:r>
        <w:rPr>
          <w:rFonts w:hint="eastAsia" w:ascii="仿宋_GB2312" w:eastAsia="仿宋_GB2312" w:cs="DengXian-Regular"/>
          <w:sz w:val="32"/>
          <w:szCs w:val="32"/>
          <w:highlight w:val="none"/>
        </w:rPr>
        <w:t>个</w:t>
      </w:r>
      <w:r>
        <w:rPr>
          <w:rFonts w:hint="eastAsia" w:ascii="仿宋_GB2312" w:eastAsia="仿宋_GB2312" w:cs="DengXian-Regular"/>
          <w:sz w:val="32"/>
          <w:szCs w:val="32"/>
        </w:rPr>
        <w:t xml:space="preserve">，自评覆盖率为 </w:t>
      </w:r>
      <w:r>
        <w:rPr>
          <w:rFonts w:hint="default" w:ascii="仿宋_GB2312" w:eastAsia="仿宋_GB2312" w:cs="DengXian-Regular"/>
          <w:sz w:val="32"/>
          <w:szCs w:val="32"/>
          <w:lang w:val="en-US"/>
        </w:rPr>
        <w:t>100</w:t>
      </w:r>
      <w:r>
        <w:rPr>
          <w:rFonts w:hint="eastAsia" w:ascii="仿宋_GB2312" w:eastAsia="仿宋_GB2312" w:cs="DengXian-Regular"/>
          <w:sz w:val="32"/>
          <w:szCs w:val="32"/>
        </w:rPr>
        <w:t>%。</w:t>
      </w:r>
    </w:p>
    <w:p w14:paraId="612B9DF8">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该指标实际得分</w:t>
      </w:r>
      <w:r>
        <w:rPr>
          <w:rFonts w:hint="default" w:ascii="仿宋_GB2312" w:eastAsia="仿宋_GB2312" w:cs="DengXian-Regular"/>
          <w:sz w:val="32"/>
          <w:szCs w:val="32"/>
          <w:lang w:val="en-US"/>
        </w:rPr>
        <w:t>3</w:t>
      </w:r>
      <w:r>
        <w:rPr>
          <w:rFonts w:hint="eastAsia" w:ascii="仿宋_GB2312" w:eastAsia="仿宋_GB2312" w:cs="DengXian-Regular"/>
          <w:sz w:val="32"/>
          <w:szCs w:val="32"/>
        </w:rPr>
        <w:t>分。</w:t>
      </w:r>
    </w:p>
    <w:p w14:paraId="5943AAC1">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（2）绩效评价优等率（4分）</w:t>
      </w:r>
    </w:p>
    <w:p w14:paraId="345A7CA4">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该指标主要评价部门开展的绩效评价项目的完成质量，通过绩效评价优等率来衡量。</w:t>
      </w:r>
    </w:p>
    <w:p w14:paraId="3C21F301">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绩效评价优等率=（结果达到优等的数量/参评数量）*100%。</w:t>
      </w:r>
    </w:p>
    <w:p w14:paraId="14786525">
      <w:pPr>
        <w:spacing w:after="0" w:line="360" w:lineRule="auto"/>
        <w:ind w:firstLine="640" w:firstLineChars="200"/>
        <w:jc w:val="both"/>
        <w:textAlignment w:val="baseline"/>
        <w:rPr>
          <w:rFonts w:ascii="仿宋_GB2312" w:eastAsia="仿宋_GB2312" w:cs="DengXian-Regular"/>
          <w:sz w:val="32"/>
          <w:szCs w:val="32"/>
          <w:highlight w:val="none"/>
        </w:rPr>
      </w:pPr>
      <w:r>
        <w:rPr>
          <w:rFonts w:hint="eastAsia" w:ascii="仿宋_GB2312" w:eastAsia="仿宋_GB2312" w:cs="DengXian-Regular"/>
          <w:sz w:val="32"/>
          <w:szCs w:val="32"/>
        </w:rPr>
        <w:t>区</w:t>
      </w:r>
      <w:r>
        <w:rPr>
          <w:rFonts w:hint="eastAsia" w:ascii="仿宋_GB2312" w:eastAsia="仿宋_GB2312" w:cs="DengXian-Regular"/>
          <w:sz w:val="32"/>
          <w:szCs w:val="32"/>
          <w:lang w:eastAsia="zh-CN"/>
        </w:rPr>
        <w:t>委政法委</w:t>
      </w:r>
      <w:r>
        <w:rPr>
          <w:rFonts w:hint="eastAsia" w:ascii="仿宋_GB2312" w:eastAsia="仿宋_GB2312" w:cs="DengXian-Regular"/>
          <w:sz w:val="32"/>
          <w:szCs w:val="32"/>
        </w:rPr>
        <w:t>202</w:t>
      </w:r>
      <w:r>
        <w:rPr>
          <w:rFonts w:ascii="仿宋_GB2312" w:eastAsia="仿宋_GB2312" w:cs="DengXian-Regular"/>
          <w:sz w:val="32"/>
          <w:szCs w:val="32"/>
        </w:rPr>
        <w:t>1</w:t>
      </w:r>
      <w:r>
        <w:rPr>
          <w:rFonts w:hint="eastAsia" w:ascii="仿宋_GB2312" w:eastAsia="仿宋_GB2312" w:cs="DengXian-Regular"/>
          <w:sz w:val="32"/>
          <w:szCs w:val="32"/>
        </w:rPr>
        <w:t>年参评数量</w:t>
      </w:r>
      <w:r>
        <w:rPr>
          <w:rFonts w:hint="default" w:ascii="仿宋_GB2312" w:eastAsia="仿宋_GB2312" w:cs="DengXian-Regular"/>
          <w:sz w:val="32"/>
          <w:szCs w:val="32"/>
          <w:lang w:val="en-US"/>
        </w:rPr>
        <w:t>18</w:t>
      </w:r>
      <w:r>
        <w:rPr>
          <w:rFonts w:hint="eastAsia" w:ascii="仿宋_GB2312" w:eastAsia="仿宋_GB2312" w:cs="DengXian-Regular"/>
          <w:sz w:val="32"/>
          <w:szCs w:val="32"/>
        </w:rPr>
        <w:t>个，绩效评价结果达到优等的数量</w:t>
      </w:r>
      <w:r>
        <w:rPr>
          <w:rFonts w:hint="default" w:ascii="仿宋_GB2312" w:eastAsia="仿宋_GB2312" w:cs="DengXian-Regular"/>
          <w:sz w:val="32"/>
          <w:szCs w:val="32"/>
          <w:lang w:val="en-US"/>
        </w:rPr>
        <w:t>18</w:t>
      </w:r>
      <w:r>
        <w:rPr>
          <w:rFonts w:hint="eastAsia" w:ascii="仿宋_GB2312" w:eastAsia="仿宋_GB2312" w:cs="DengXian-Regular"/>
          <w:sz w:val="32"/>
          <w:szCs w:val="32"/>
        </w:rPr>
        <w:t>个，绩效评价优等率为</w:t>
      </w:r>
      <w:r>
        <w:rPr>
          <w:rFonts w:hint="default" w:ascii="仿宋_GB2312" w:eastAsia="仿宋_GB2312" w:cs="DengXian-Regular"/>
          <w:sz w:val="32"/>
          <w:szCs w:val="32"/>
          <w:highlight w:val="none"/>
          <w:lang w:val="en-US"/>
        </w:rPr>
        <w:t>100</w:t>
      </w:r>
      <w:r>
        <w:rPr>
          <w:rFonts w:hint="eastAsia" w:ascii="仿宋_GB2312" w:eastAsia="仿宋_GB2312" w:cs="DengXian-Regular"/>
          <w:sz w:val="32"/>
          <w:szCs w:val="32"/>
          <w:highlight w:val="none"/>
        </w:rPr>
        <w:t>%。</w:t>
      </w:r>
    </w:p>
    <w:p w14:paraId="2F4EEBF0">
      <w:pPr>
        <w:spacing w:after="0" w:line="360" w:lineRule="auto"/>
        <w:ind w:firstLine="640" w:firstLineChars="200"/>
        <w:jc w:val="both"/>
        <w:textAlignment w:val="baseline"/>
        <w:rPr>
          <w:rFonts w:ascii="仿宋_GB2312" w:eastAsia="仿宋_GB2312" w:cs="DengXian-Regular"/>
          <w:sz w:val="32"/>
          <w:szCs w:val="32"/>
          <w:highlight w:val="none"/>
        </w:rPr>
      </w:pPr>
      <w:r>
        <w:rPr>
          <w:rFonts w:hint="eastAsia" w:ascii="仿宋_GB2312" w:eastAsia="仿宋_GB2312" w:cs="DengXian-Regular"/>
          <w:sz w:val="32"/>
          <w:szCs w:val="32"/>
          <w:highlight w:val="none"/>
        </w:rPr>
        <w:t>该指标实际得分</w:t>
      </w:r>
      <w:r>
        <w:rPr>
          <w:rFonts w:hint="default" w:ascii="仿宋_GB2312" w:eastAsia="仿宋_GB2312" w:cs="DengXian-Regular"/>
          <w:sz w:val="32"/>
          <w:szCs w:val="32"/>
          <w:highlight w:val="none"/>
          <w:lang w:val="en-US"/>
        </w:rPr>
        <w:t>4</w:t>
      </w:r>
      <w:r>
        <w:rPr>
          <w:rFonts w:hint="eastAsia" w:ascii="仿宋_GB2312" w:eastAsia="仿宋_GB2312" w:cs="DengXian-Regular"/>
          <w:sz w:val="32"/>
          <w:szCs w:val="32"/>
          <w:highlight w:val="none"/>
        </w:rPr>
        <w:t>分。</w:t>
      </w:r>
      <w:bookmarkEnd w:id="64"/>
      <w:bookmarkEnd w:id="65"/>
    </w:p>
    <w:p w14:paraId="48FF4106">
      <w:pPr>
        <w:pStyle w:val="4"/>
        <w:spacing w:before="0" w:after="0"/>
        <w:ind w:firstLine="643" w:firstLineChars="200"/>
        <w:jc w:val="both"/>
        <w:rPr>
          <w:rFonts w:ascii="楷体" w:hAnsi="楷体" w:eastAsia="楷体"/>
          <w:sz w:val="32"/>
        </w:rPr>
      </w:pPr>
      <w:bookmarkStart w:id="66" w:name="_Toc12330"/>
      <w:r>
        <w:rPr>
          <w:rFonts w:hint="eastAsia" w:ascii="楷体" w:hAnsi="楷体" w:eastAsia="楷体"/>
          <w:sz w:val="32"/>
        </w:rPr>
        <w:t>（三）产出（25分）</w:t>
      </w:r>
      <w:bookmarkEnd w:id="66"/>
    </w:p>
    <w:p w14:paraId="06355355">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该一级指标包含责任履行一个二级指标，主要反映结转结余率，项目资金使用率，社区矫正人数，社区服刑人员再次犯罪率，法律援助案件办结率。</w:t>
      </w:r>
    </w:p>
    <w:p w14:paraId="36273929">
      <w:pPr>
        <w:spacing w:after="0" w:line="360" w:lineRule="auto"/>
        <w:jc w:val="center"/>
        <w:textAlignment w:val="baseline"/>
        <w:rPr>
          <w:rFonts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t>表4  产出指标及得分情况表</w:t>
      </w:r>
    </w:p>
    <w:tbl>
      <w:tblPr>
        <w:tblStyle w:val="8"/>
        <w:tblW w:w="0" w:type="auto"/>
        <w:jc w:val="center"/>
        <w:tblLayout w:type="fixed"/>
        <w:tblCellMar>
          <w:top w:w="15" w:type="dxa"/>
          <w:left w:w="15" w:type="dxa"/>
          <w:bottom w:w="15" w:type="dxa"/>
          <w:right w:w="15" w:type="dxa"/>
        </w:tblCellMar>
      </w:tblPr>
      <w:tblGrid>
        <w:gridCol w:w="1577"/>
        <w:gridCol w:w="1004"/>
        <w:gridCol w:w="2536"/>
        <w:gridCol w:w="1125"/>
        <w:gridCol w:w="853"/>
      </w:tblGrid>
      <w:tr w14:paraId="16B4A8D2">
        <w:tblPrEx>
          <w:tblCellMar>
            <w:top w:w="15" w:type="dxa"/>
            <w:left w:w="15" w:type="dxa"/>
            <w:bottom w:w="15" w:type="dxa"/>
            <w:right w:w="15" w:type="dxa"/>
          </w:tblCellMar>
        </w:tblPrEx>
        <w:trPr>
          <w:trHeight w:val="397" w:hRule="exact"/>
          <w:jc w:val="center"/>
        </w:trPr>
        <w:tc>
          <w:tcPr>
            <w:tcW w:w="1577" w:type="dxa"/>
            <w:tcBorders>
              <w:top w:val="single" w:color="000000" w:sz="4" w:space="0"/>
              <w:left w:val="single" w:color="000000" w:sz="4" w:space="0"/>
              <w:bottom w:val="single" w:color="000000" w:sz="4" w:space="0"/>
              <w:right w:val="single" w:color="000000" w:sz="4" w:space="0"/>
            </w:tcBorders>
            <w:vAlign w:val="center"/>
          </w:tcPr>
          <w:p w14:paraId="36196FCA">
            <w:pPr>
              <w:spacing w:after="0"/>
              <w:jc w:val="center"/>
              <w:textAlignment w:val="center"/>
              <w:rPr>
                <w:rFonts w:cs="宋体" w:asciiTheme="minorEastAsia" w:hAnsiTheme="minorEastAsia" w:eastAsiaTheme="minorEastAsia"/>
                <w:b/>
                <w:color w:val="000000"/>
                <w:sz w:val="21"/>
                <w:szCs w:val="21"/>
              </w:rPr>
            </w:pPr>
            <w:r>
              <w:rPr>
                <w:rFonts w:hint="eastAsia" w:cs="宋体" w:asciiTheme="minorEastAsia" w:hAnsiTheme="minorEastAsia" w:eastAsiaTheme="minorEastAsia"/>
                <w:b/>
                <w:color w:val="000000"/>
                <w:sz w:val="21"/>
                <w:szCs w:val="21"/>
              </w:rPr>
              <w:t>一级指标</w:t>
            </w:r>
          </w:p>
        </w:tc>
        <w:tc>
          <w:tcPr>
            <w:tcW w:w="1004" w:type="dxa"/>
            <w:tcBorders>
              <w:top w:val="single" w:color="000000" w:sz="4" w:space="0"/>
              <w:left w:val="single" w:color="000000" w:sz="4" w:space="0"/>
              <w:bottom w:val="single" w:color="000000" w:sz="4" w:space="0"/>
              <w:right w:val="single" w:color="000000" w:sz="4" w:space="0"/>
            </w:tcBorders>
            <w:vAlign w:val="center"/>
          </w:tcPr>
          <w:p w14:paraId="0E0AAB52">
            <w:pPr>
              <w:spacing w:after="0"/>
              <w:jc w:val="center"/>
              <w:textAlignment w:val="center"/>
              <w:rPr>
                <w:rFonts w:cs="宋体" w:asciiTheme="minorEastAsia" w:hAnsiTheme="minorEastAsia" w:eastAsiaTheme="minorEastAsia"/>
                <w:b/>
                <w:color w:val="000000"/>
                <w:sz w:val="21"/>
                <w:szCs w:val="21"/>
              </w:rPr>
            </w:pPr>
            <w:r>
              <w:rPr>
                <w:rFonts w:hint="eastAsia" w:cs="宋体" w:asciiTheme="minorEastAsia" w:hAnsiTheme="minorEastAsia" w:eastAsiaTheme="minorEastAsia"/>
                <w:b/>
                <w:color w:val="000000"/>
                <w:sz w:val="21"/>
                <w:szCs w:val="21"/>
              </w:rPr>
              <w:t>二级指标</w:t>
            </w:r>
          </w:p>
        </w:tc>
        <w:tc>
          <w:tcPr>
            <w:tcW w:w="2536" w:type="dxa"/>
            <w:tcBorders>
              <w:top w:val="single" w:color="000000" w:sz="4" w:space="0"/>
              <w:left w:val="single" w:color="000000" w:sz="4" w:space="0"/>
              <w:bottom w:val="single" w:color="000000" w:sz="4" w:space="0"/>
              <w:right w:val="single" w:color="000000" w:sz="4" w:space="0"/>
            </w:tcBorders>
            <w:vAlign w:val="center"/>
          </w:tcPr>
          <w:p w14:paraId="1494AE18">
            <w:pPr>
              <w:spacing w:after="0"/>
              <w:jc w:val="center"/>
              <w:textAlignment w:val="center"/>
              <w:rPr>
                <w:rFonts w:cs="宋体" w:asciiTheme="minorEastAsia" w:hAnsiTheme="minorEastAsia" w:eastAsiaTheme="minorEastAsia"/>
                <w:b/>
                <w:color w:val="000000"/>
                <w:sz w:val="21"/>
                <w:szCs w:val="21"/>
              </w:rPr>
            </w:pPr>
            <w:r>
              <w:rPr>
                <w:rFonts w:hint="eastAsia" w:cs="宋体" w:asciiTheme="minorEastAsia" w:hAnsiTheme="minorEastAsia" w:eastAsiaTheme="minorEastAsia"/>
                <w:b/>
                <w:color w:val="000000"/>
                <w:sz w:val="21"/>
                <w:szCs w:val="21"/>
              </w:rPr>
              <w:t>三级指标</w:t>
            </w:r>
          </w:p>
        </w:tc>
        <w:tc>
          <w:tcPr>
            <w:tcW w:w="1125" w:type="dxa"/>
            <w:tcBorders>
              <w:top w:val="single" w:color="000000" w:sz="4" w:space="0"/>
              <w:left w:val="single" w:color="000000" w:sz="4" w:space="0"/>
              <w:bottom w:val="single" w:color="000000" w:sz="4" w:space="0"/>
              <w:right w:val="single" w:color="000000" w:sz="4" w:space="0"/>
            </w:tcBorders>
            <w:vAlign w:val="center"/>
          </w:tcPr>
          <w:p w14:paraId="27B000EF">
            <w:pPr>
              <w:spacing w:after="0"/>
              <w:jc w:val="center"/>
              <w:textAlignment w:val="center"/>
              <w:rPr>
                <w:rFonts w:cs="宋体" w:asciiTheme="minorEastAsia" w:hAnsiTheme="minorEastAsia" w:eastAsiaTheme="minorEastAsia"/>
                <w:b/>
                <w:color w:val="000000"/>
                <w:sz w:val="21"/>
                <w:szCs w:val="21"/>
              </w:rPr>
            </w:pPr>
            <w:r>
              <w:rPr>
                <w:rFonts w:hint="eastAsia" w:cs="宋体" w:asciiTheme="minorEastAsia" w:hAnsiTheme="minorEastAsia" w:eastAsiaTheme="minorEastAsia"/>
                <w:b/>
                <w:color w:val="000000"/>
                <w:sz w:val="21"/>
                <w:szCs w:val="21"/>
              </w:rPr>
              <w:t>分数权重</w:t>
            </w:r>
          </w:p>
        </w:tc>
        <w:tc>
          <w:tcPr>
            <w:tcW w:w="853" w:type="dxa"/>
            <w:tcBorders>
              <w:top w:val="single" w:color="000000" w:sz="4" w:space="0"/>
              <w:left w:val="single" w:color="000000" w:sz="4" w:space="0"/>
              <w:bottom w:val="single" w:color="000000" w:sz="4" w:space="0"/>
              <w:right w:val="single" w:color="000000" w:sz="4" w:space="0"/>
            </w:tcBorders>
            <w:vAlign w:val="center"/>
          </w:tcPr>
          <w:p w14:paraId="4EAB85F4">
            <w:pPr>
              <w:spacing w:after="0"/>
              <w:jc w:val="center"/>
              <w:textAlignment w:val="center"/>
              <w:rPr>
                <w:rFonts w:cs="宋体" w:asciiTheme="minorEastAsia" w:hAnsiTheme="minorEastAsia" w:eastAsiaTheme="minorEastAsia"/>
                <w:b/>
                <w:color w:val="000000"/>
                <w:sz w:val="21"/>
                <w:szCs w:val="21"/>
              </w:rPr>
            </w:pPr>
            <w:r>
              <w:rPr>
                <w:rFonts w:hint="eastAsia" w:cs="宋体" w:asciiTheme="minorEastAsia" w:hAnsiTheme="minorEastAsia" w:eastAsiaTheme="minorEastAsia"/>
                <w:b/>
                <w:color w:val="000000"/>
                <w:sz w:val="21"/>
                <w:szCs w:val="21"/>
              </w:rPr>
              <w:t>得分</w:t>
            </w:r>
          </w:p>
        </w:tc>
      </w:tr>
      <w:tr w14:paraId="486F22A7">
        <w:tblPrEx>
          <w:tblCellMar>
            <w:top w:w="15" w:type="dxa"/>
            <w:left w:w="15" w:type="dxa"/>
            <w:bottom w:w="15" w:type="dxa"/>
            <w:right w:w="15" w:type="dxa"/>
          </w:tblCellMar>
        </w:tblPrEx>
        <w:trPr>
          <w:trHeight w:val="397" w:hRule="exact"/>
          <w:jc w:val="center"/>
        </w:trPr>
        <w:tc>
          <w:tcPr>
            <w:tcW w:w="1577" w:type="dxa"/>
            <w:vMerge w:val="restart"/>
            <w:tcBorders>
              <w:top w:val="single" w:color="000000" w:sz="4" w:space="0"/>
              <w:left w:val="single" w:color="000000" w:sz="4" w:space="0"/>
              <w:bottom w:val="single" w:color="000000" w:sz="4" w:space="0"/>
              <w:right w:val="single" w:color="000000" w:sz="4" w:space="0"/>
            </w:tcBorders>
            <w:vAlign w:val="center"/>
          </w:tcPr>
          <w:p w14:paraId="7DCF0DBC">
            <w:pPr>
              <w:spacing w:line="420" w:lineRule="exact"/>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产出</w:t>
            </w:r>
          </w:p>
          <w:p w14:paraId="65F04B72">
            <w:pPr>
              <w:spacing w:line="420" w:lineRule="exact"/>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（25分）</w:t>
            </w:r>
          </w:p>
        </w:tc>
        <w:tc>
          <w:tcPr>
            <w:tcW w:w="1004" w:type="dxa"/>
            <w:vMerge w:val="restart"/>
            <w:tcBorders>
              <w:top w:val="single" w:color="000000" w:sz="4" w:space="0"/>
              <w:left w:val="single" w:color="000000" w:sz="4" w:space="0"/>
              <w:right w:val="single" w:color="000000" w:sz="4" w:space="0"/>
            </w:tcBorders>
            <w:vAlign w:val="center"/>
          </w:tcPr>
          <w:p w14:paraId="70A74B26">
            <w:pPr>
              <w:spacing w:line="420" w:lineRule="exact"/>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责任履行（25分）</w:t>
            </w:r>
          </w:p>
        </w:tc>
        <w:tc>
          <w:tcPr>
            <w:tcW w:w="2536" w:type="dxa"/>
            <w:tcBorders>
              <w:top w:val="single" w:color="000000" w:sz="4" w:space="0"/>
              <w:left w:val="single" w:color="000000" w:sz="4" w:space="0"/>
              <w:bottom w:val="single" w:color="000000" w:sz="4" w:space="0"/>
              <w:right w:val="single" w:color="000000" w:sz="4" w:space="0"/>
            </w:tcBorders>
            <w:vAlign w:val="center"/>
          </w:tcPr>
          <w:p w14:paraId="4C7AC1F7">
            <w:pPr>
              <w:spacing w:line="420" w:lineRule="exact"/>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结转结余率</w:t>
            </w:r>
          </w:p>
        </w:tc>
        <w:tc>
          <w:tcPr>
            <w:tcW w:w="1125" w:type="dxa"/>
            <w:tcBorders>
              <w:top w:val="single" w:color="000000" w:sz="4" w:space="0"/>
              <w:left w:val="single" w:color="000000" w:sz="4" w:space="0"/>
              <w:bottom w:val="single" w:color="000000" w:sz="4" w:space="0"/>
              <w:right w:val="single" w:color="000000" w:sz="4" w:space="0"/>
            </w:tcBorders>
            <w:vAlign w:val="center"/>
          </w:tcPr>
          <w:p w14:paraId="36E2BF0F">
            <w:pPr>
              <w:spacing w:line="420" w:lineRule="exact"/>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5</w:t>
            </w:r>
          </w:p>
        </w:tc>
        <w:tc>
          <w:tcPr>
            <w:tcW w:w="853" w:type="dxa"/>
            <w:tcBorders>
              <w:top w:val="single" w:color="000000" w:sz="4" w:space="0"/>
              <w:left w:val="single" w:color="000000" w:sz="4" w:space="0"/>
              <w:bottom w:val="single" w:color="000000" w:sz="4" w:space="0"/>
              <w:right w:val="single" w:color="000000" w:sz="4" w:space="0"/>
            </w:tcBorders>
            <w:vAlign w:val="center"/>
          </w:tcPr>
          <w:p w14:paraId="48E9CCD4">
            <w:pPr>
              <w:spacing w:line="420" w:lineRule="exact"/>
              <w:jc w:val="center"/>
              <w:rPr>
                <w:rFonts w:hint="default" w:cs="宋体" w:asciiTheme="minorEastAsia" w:hAnsiTheme="minorEastAsia" w:eastAsiaTheme="minorEastAsia"/>
                <w:sz w:val="21"/>
                <w:szCs w:val="21"/>
                <w:lang w:val="en-US"/>
              </w:rPr>
            </w:pPr>
            <w:r>
              <w:rPr>
                <w:rFonts w:hint="default" w:cs="宋体" w:asciiTheme="minorEastAsia" w:hAnsiTheme="minorEastAsia" w:eastAsiaTheme="minorEastAsia"/>
                <w:sz w:val="21"/>
                <w:szCs w:val="21"/>
                <w:lang w:val="en-US"/>
              </w:rPr>
              <w:t>5</w:t>
            </w:r>
          </w:p>
        </w:tc>
      </w:tr>
      <w:tr w14:paraId="0A3D63E6">
        <w:tblPrEx>
          <w:tblCellMar>
            <w:top w:w="15" w:type="dxa"/>
            <w:left w:w="15" w:type="dxa"/>
            <w:bottom w:w="15" w:type="dxa"/>
            <w:right w:w="15" w:type="dxa"/>
          </w:tblCellMar>
        </w:tblPrEx>
        <w:trPr>
          <w:trHeight w:val="397" w:hRule="exact"/>
          <w:jc w:val="center"/>
        </w:trPr>
        <w:tc>
          <w:tcPr>
            <w:tcW w:w="1577" w:type="dxa"/>
            <w:vMerge w:val="continue"/>
            <w:tcBorders>
              <w:top w:val="single" w:color="000000" w:sz="4" w:space="0"/>
              <w:left w:val="single" w:color="000000" w:sz="4" w:space="0"/>
              <w:bottom w:val="single" w:color="000000" w:sz="4" w:space="0"/>
              <w:right w:val="single" w:color="000000" w:sz="4" w:space="0"/>
            </w:tcBorders>
            <w:vAlign w:val="center"/>
          </w:tcPr>
          <w:p w14:paraId="025533E3">
            <w:pPr>
              <w:spacing w:line="420" w:lineRule="exact"/>
              <w:jc w:val="center"/>
              <w:rPr>
                <w:rFonts w:cs="宋体" w:asciiTheme="minorEastAsia" w:hAnsiTheme="minorEastAsia" w:eastAsiaTheme="minorEastAsia"/>
                <w:sz w:val="21"/>
                <w:szCs w:val="21"/>
              </w:rPr>
            </w:pPr>
          </w:p>
        </w:tc>
        <w:tc>
          <w:tcPr>
            <w:tcW w:w="1004" w:type="dxa"/>
            <w:vMerge w:val="continue"/>
            <w:tcBorders>
              <w:left w:val="single" w:color="000000" w:sz="4" w:space="0"/>
              <w:right w:val="single" w:color="000000" w:sz="4" w:space="0"/>
            </w:tcBorders>
            <w:vAlign w:val="center"/>
          </w:tcPr>
          <w:p w14:paraId="7DE4D896">
            <w:pPr>
              <w:spacing w:line="420" w:lineRule="exact"/>
              <w:jc w:val="center"/>
              <w:rPr>
                <w:rFonts w:cs="宋体" w:asciiTheme="minorEastAsia" w:hAnsiTheme="minorEastAsia" w:eastAsiaTheme="minorEastAsia"/>
                <w:sz w:val="21"/>
                <w:szCs w:val="21"/>
              </w:rPr>
            </w:pPr>
          </w:p>
        </w:tc>
        <w:tc>
          <w:tcPr>
            <w:tcW w:w="2536" w:type="dxa"/>
            <w:tcBorders>
              <w:top w:val="single" w:color="000000" w:sz="4" w:space="0"/>
              <w:left w:val="single" w:color="000000" w:sz="4" w:space="0"/>
              <w:bottom w:val="single" w:color="000000" w:sz="4" w:space="0"/>
              <w:right w:val="single" w:color="000000" w:sz="4" w:space="0"/>
            </w:tcBorders>
            <w:vAlign w:val="center"/>
          </w:tcPr>
          <w:p w14:paraId="52A28C50">
            <w:pPr>
              <w:spacing w:line="420" w:lineRule="exact"/>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项目资金使用率</w:t>
            </w:r>
          </w:p>
        </w:tc>
        <w:tc>
          <w:tcPr>
            <w:tcW w:w="1125" w:type="dxa"/>
            <w:tcBorders>
              <w:top w:val="single" w:color="000000" w:sz="4" w:space="0"/>
              <w:left w:val="single" w:color="000000" w:sz="4" w:space="0"/>
              <w:bottom w:val="single" w:color="000000" w:sz="4" w:space="0"/>
              <w:right w:val="single" w:color="000000" w:sz="4" w:space="0"/>
            </w:tcBorders>
            <w:vAlign w:val="center"/>
          </w:tcPr>
          <w:p w14:paraId="7018AD0B">
            <w:pPr>
              <w:spacing w:line="420" w:lineRule="exact"/>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5</w:t>
            </w:r>
          </w:p>
        </w:tc>
        <w:tc>
          <w:tcPr>
            <w:tcW w:w="853" w:type="dxa"/>
            <w:tcBorders>
              <w:top w:val="single" w:color="000000" w:sz="4" w:space="0"/>
              <w:left w:val="single" w:color="000000" w:sz="4" w:space="0"/>
              <w:bottom w:val="single" w:color="000000" w:sz="4" w:space="0"/>
              <w:right w:val="single" w:color="000000" w:sz="4" w:space="0"/>
            </w:tcBorders>
            <w:vAlign w:val="center"/>
          </w:tcPr>
          <w:p w14:paraId="24B9C912">
            <w:pPr>
              <w:spacing w:line="420" w:lineRule="exact"/>
              <w:jc w:val="center"/>
              <w:rPr>
                <w:rFonts w:hint="default" w:cs="宋体" w:asciiTheme="minorEastAsia" w:hAnsiTheme="minorEastAsia" w:eastAsiaTheme="minorEastAsia"/>
                <w:sz w:val="21"/>
                <w:szCs w:val="21"/>
                <w:lang w:val="en-US"/>
              </w:rPr>
            </w:pPr>
            <w:r>
              <w:rPr>
                <w:rFonts w:hint="default" w:cs="宋体" w:asciiTheme="minorEastAsia" w:hAnsiTheme="minorEastAsia" w:eastAsiaTheme="minorEastAsia"/>
                <w:sz w:val="21"/>
                <w:szCs w:val="21"/>
                <w:lang w:val="en-US"/>
              </w:rPr>
              <w:t>5</w:t>
            </w:r>
          </w:p>
        </w:tc>
      </w:tr>
      <w:tr w14:paraId="043EEE77">
        <w:tblPrEx>
          <w:tblCellMar>
            <w:top w:w="15" w:type="dxa"/>
            <w:left w:w="15" w:type="dxa"/>
            <w:bottom w:w="15" w:type="dxa"/>
            <w:right w:w="15" w:type="dxa"/>
          </w:tblCellMar>
        </w:tblPrEx>
        <w:trPr>
          <w:trHeight w:val="397" w:hRule="exact"/>
          <w:jc w:val="center"/>
        </w:trPr>
        <w:tc>
          <w:tcPr>
            <w:tcW w:w="1577" w:type="dxa"/>
            <w:vMerge w:val="continue"/>
            <w:tcBorders>
              <w:top w:val="single" w:color="000000" w:sz="4" w:space="0"/>
              <w:left w:val="single" w:color="000000" w:sz="4" w:space="0"/>
              <w:bottom w:val="single" w:color="000000" w:sz="4" w:space="0"/>
              <w:right w:val="single" w:color="000000" w:sz="4" w:space="0"/>
            </w:tcBorders>
            <w:vAlign w:val="center"/>
          </w:tcPr>
          <w:p w14:paraId="5383ABA4">
            <w:pPr>
              <w:spacing w:line="420" w:lineRule="exact"/>
              <w:jc w:val="center"/>
              <w:rPr>
                <w:rFonts w:cs="宋体" w:asciiTheme="minorEastAsia" w:hAnsiTheme="minorEastAsia" w:eastAsiaTheme="minorEastAsia"/>
                <w:sz w:val="21"/>
                <w:szCs w:val="21"/>
              </w:rPr>
            </w:pPr>
          </w:p>
        </w:tc>
        <w:tc>
          <w:tcPr>
            <w:tcW w:w="1004" w:type="dxa"/>
            <w:vMerge w:val="continue"/>
            <w:tcBorders>
              <w:left w:val="single" w:color="000000" w:sz="4" w:space="0"/>
              <w:right w:val="single" w:color="000000" w:sz="4" w:space="0"/>
            </w:tcBorders>
            <w:vAlign w:val="center"/>
          </w:tcPr>
          <w:p w14:paraId="2BE6CD44">
            <w:pPr>
              <w:spacing w:line="420" w:lineRule="exact"/>
              <w:jc w:val="center"/>
              <w:rPr>
                <w:rFonts w:cs="宋体" w:asciiTheme="minorEastAsia" w:hAnsiTheme="minorEastAsia" w:eastAsiaTheme="minorEastAsia"/>
                <w:sz w:val="21"/>
                <w:szCs w:val="21"/>
              </w:rPr>
            </w:pPr>
          </w:p>
        </w:tc>
        <w:tc>
          <w:tcPr>
            <w:tcW w:w="2536" w:type="dxa"/>
            <w:tcBorders>
              <w:top w:val="single" w:color="000000" w:sz="4" w:space="0"/>
              <w:left w:val="single" w:color="000000" w:sz="4" w:space="0"/>
              <w:bottom w:val="single" w:color="000000" w:sz="4" w:space="0"/>
              <w:right w:val="single" w:color="000000" w:sz="4" w:space="0"/>
            </w:tcBorders>
            <w:vAlign w:val="center"/>
          </w:tcPr>
          <w:p w14:paraId="0FEE1098">
            <w:pPr>
              <w:spacing w:line="420" w:lineRule="exact"/>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社区矫正人数</w:t>
            </w:r>
          </w:p>
        </w:tc>
        <w:tc>
          <w:tcPr>
            <w:tcW w:w="1125" w:type="dxa"/>
            <w:tcBorders>
              <w:top w:val="single" w:color="000000" w:sz="4" w:space="0"/>
              <w:left w:val="single" w:color="000000" w:sz="4" w:space="0"/>
              <w:bottom w:val="single" w:color="000000" w:sz="4" w:space="0"/>
              <w:right w:val="single" w:color="000000" w:sz="4" w:space="0"/>
            </w:tcBorders>
            <w:vAlign w:val="center"/>
          </w:tcPr>
          <w:p w14:paraId="52AE48FE">
            <w:pPr>
              <w:spacing w:line="420" w:lineRule="exact"/>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5</w:t>
            </w:r>
          </w:p>
        </w:tc>
        <w:tc>
          <w:tcPr>
            <w:tcW w:w="853" w:type="dxa"/>
            <w:tcBorders>
              <w:top w:val="single" w:color="000000" w:sz="4" w:space="0"/>
              <w:left w:val="single" w:color="000000" w:sz="4" w:space="0"/>
              <w:bottom w:val="single" w:color="000000" w:sz="4" w:space="0"/>
              <w:right w:val="single" w:color="000000" w:sz="4" w:space="0"/>
            </w:tcBorders>
            <w:vAlign w:val="center"/>
          </w:tcPr>
          <w:p w14:paraId="4AA0F3B2">
            <w:pPr>
              <w:spacing w:line="420" w:lineRule="exact"/>
              <w:jc w:val="center"/>
              <w:rPr>
                <w:rFonts w:hint="default" w:cs="宋体" w:asciiTheme="minorEastAsia" w:hAnsiTheme="minorEastAsia" w:eastAsiaTheme="minorEastAsia"/>
                <w:sz w:val="21"/>
                <w:szCs w:val="21"/>
                <w:lang w:val="en-US"/>
              </w:rPr>
            </w:pPr>
            <w:r>
              <w:rPr>
                <w:rFonts w:hint="default" w:cs="宋体" w:asciiTheme="minorEastAsia" w:hAnsiTheme="minorEastAsia" w:eastAsiaTheme="minorEastAsia"/>
                <w:sz w:val="21"/>
                <w:szCs w:val="21"/>
                <w:lang w:val="en-US"/>
              </w:rPr>
              <w:t>5</w:t>
            </w:r>
          </w:p>
        </w:tc>
      </w:tr>
      <w:tr w14:paraId="01A50973">
        <w:tblPrEx>
          <w:tblCellMar>
            <w:top w:w="15" w:type="dxa"/>
            <w:left w:w="15" w:type="dxa"/>
            <w:bottom w:w="15" w:type="dxa"/>
            <w:right w:w="15" w:type="dxa"/>
          </w:tblCellMar>
        </w:tblPrEx>
        <w:trPr>
          <w:trHeight w:val="397" w:hRule="exact"/>
          <w:jc w:val="center"/>
        </w:trPr>
        <w:tc>
          <w:tcPr>
            <w:tcW w:w="1577" w:type="dxa"/>
            <w:vMerge w:val="continue"/>
            <w:tcBorders>
              <w:top w:val="single" w:color="000000" w:sz="4" w:space="0"/>
              <w:left w:val="single" w:color="000000" w:sz="4" w:space="0"/>
              <w:bottom w:val="single" w:color="000000" w:sz="4" w:space="0"/>
              <w:right w:val="single" w:color="000000" w:sz="4" w:space="0"/>
            </w:tcBorders>
            <w:vAlign w:val="center"/>
          </w:tcPr>
          <w:p w14:paraId="3D533F76">
            <w:pPr>
              <w:spacing w:line="420" w:lineRule="exact"/>
              <w:jc w:val="center"/>
              <w:rPr>
                <w:rFonts w:cs="宋体" w:asciiTheme="minorEastAsia" w:hAnsiTheme="minorEastAsia" w:eastAsiaTheme="minorEastAsia"/>
                <w:sz w:val="21"/>
                <w:szCs w:val="21"/>
              </w:rPr>
            </w:pPr>
          </w:p>
        </w:tc>
        <w:tc>
          <w:tcPr>
            <w:tcW w:w="1004" w:type="dxa"/>
            <w:vMerge w:val="continue"/>
            <w:tcBorders>
              <w:left w:val="single" w:color="000000" w:sz="4" w:space="0"/>
              <w:right w:val="single" w:color="000000" w:sz="4" w:space="0"/>
            </w:tcBorders>
            <w:vAlign w:val="center"/>
          </w:tcPr>
          <w:p w14:paraId="78F8D1B3">
            <w:pPr>
              <w:spacing w:line="420" w:lineRule="exact"/>
              <w:jc w:val="center"/>
              <w:rPr>
                <w:rFonts w:cs="宋体" w:asciiTheme="minorEastAsia" w:hAnsiTheme="minorEastAsia" w:eastAsiaTheme="minorEastAsia"/>
                <w:sz w:val="21"/>
                <w:szCs w:val="21"/>
              </w:rPr>
            </w:pPr>
          </w:p>
        </w:tc>
        <w:tc>
          <w:tcPr>
            <w:tcW w:w="2536" w:type="dxa"/>
            <w:tcBorders>
              <w:top w:val="single" w:color="000000" w:sz="4" w:space="0"/>
              <w:left w:val="single" w:color="000000" w:sz="4" w:space="0"/>
              <w:bottom w:val="single" w:color="000000" w:sz="4" w:space="0"/>
              <w:right w:val="single" w:color="000000" w:sz="4" w:space="0"/>
            </w:tcBorders>
            <w:vAlign w:val="center"/>
          </w:tcPr>
          <w:p w14:paraId="7B85B9ED">
            <w:pPr>
              <w:spacing w:line="420" w:lineRule="exact"/>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社区服刑人员再次犯罪率</w:t>
            </w:r>
          </w:p>
        </w:tc>
        <w:tc>
          <w:tcPr>
            <w:tcW w:w="1125" w:type="dxa"/>
            <w:tcBorders>
              <w:top w:val="single" w:color="000000" w:sz="4" w:space="0"/>
              <w:left w:val="single" w:color="000000" w:sz="4" w:space="0"/>
              <w:bottom w:val="single" w:color="000000" w:sz="4" w:space="0"/>
              <w:right w:val="single" w:color="000000" w:sz="4" w:space="0"/>
            </w:tcBorders>
            <w:vAlign w:val="center"/>
          </w:tcPr>
          <w:p w14:paraId="15FF8CA0">
            <w:pPr>
              <w:spacing w:line="420" w:lineRule="exact"/>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5</w:t>
            </w:r>
          </w:p>
        </w:tc>
        <w:tc>
          <w:tcPr>
            <w:tcW w:w="853" w:type="dxa"/>
            <w:tcBorders>
              <w:top w:val="single" w:color="000000" w:sz="4" w:space="0"/>
              <w:left w:val="single" w:color="000000" w:sz="4" w:space="0"/>
              <w:bottom w:val="single" w:color="000000" w:sz="4" w:space="0"/>
              <w:right w:val="single" w:color="000000" w:sz="4" w:space="0"/>
            </w:tcBorders>
            <w:vAlign w:val="center"/>
          </w:tcPr>
          <w:p w14:paraId="6F811930">
            <w:pPr>
              <w:spacing w:line="420" w:lineRule="exact"/>
              <w:jc w:val="center"/>
              <w:rPr>
                <w:rFonts w:hint="default" w:cs="宋体" w:asciiTheme="minorEastAsia" w:hAnsiTheme="minorEastAsia" w:eastAsiaTheme="minorEastAsia"/>
                <w:sz w:val="21"/>
                <w:szCs w:val="21"/>
                <w:lang w:val="en-US"/>
              </w:rPr>
            </w:pPr>
            <w:r>
              <w:rPr>
                <w:rFonts w:hint="default" w:cs="宋体" w:asciiTheme="minorEastAsia" w:hAnsiTheme="minorEastAsia" w:eastAsiaTheme="minorEastAsia"/>
                <w:sz w:val="21"/>
                <w:szCs w:val="21"/>
                <w:lang w:val="en-US"/>
              </w:rPr>
              <w:t>5</w:t>
            </w:r>
          </w:p>
        </w:tc>
      </w:tr>
      <w:tr w14:paraId="0BC17CA3">
        <w:tblPrEx>
          <w:tblCellMar>
            <w:top w:w="15" w:type="dxa"/>
            <w:left w:w="15" w:type="dxa"/>
            <w:bottom w:w="15" w:type="dxa"/>
            <w:right w:w="15" w:type="dxa"/>
          </w:tblCellMar>
        </w:tblPrEx>
        <w:trPr>
          <w:trHeight w:val="397" w:hRule="exact"/>
          <w:jc w:val="center"/>
        </w:trPr>
        <w:tc>
          <w:tcPr>
            <w:tcW w:w="1577" w:type="dxa"/>
            <w:vMerge w:val="continue"/>
            <w:tcBorders>
              <w:top w:val="single" w:color="000000" w:sz="4" w:space="0"/>
              <w:left w:val="single" w:color="000000" w:sz="4" w:space="0"/>
              <w:bottom w:val="single" w:color="000000" w:sz="4" w:space="0"/>
              <w:right w:val="single" w:color="000000" w:sz="4" w:space="0"/>
            </w:tcBorders>
            <w:vAlign w:val="center"/>
          </w:tcPr>
          <w:p w14:paraId="63A0334C">
            <w:pPr>
              <w:spacing w:line="420" w:lineRule="exact"/>
              <w:jc w:val="center"/>
              <w:rPr>
                <w:rFonts w:cs="宋体" w:asciiTheme="minorEastAsia" w:hAnsiTheme="minorEastAsia" w:eastAsiaTheme="minorEastAsia"/>
                <w:sz w:val="21"/>
                <w:szCs w:val="21"/>
              </w:rPr>
            </w:pPr>
          </w:p>
        </w:tc>
        <w:tc>
          <w:tcPr>
            <w:tcW w:w="1004" w:type="dxa"/>
            <w:vMerge w:val="continue"/>
            <w:tcBorders>
              <w:left w:val="single" w:color="000000" w:sz="4" w:space="0"/>
              <w:right w:val="single" w:color="000000" w:sz="4" w:space="0"/>
            </w:tcBorders>
            <w:vAlign w:val="center"/>
          </w:tcPr>
          <w:p w14:paraId="2ADB6780">
            <w:pPr>
              <w:spacing w:line="420" w:lineRule="exact"/>
              <w:jc w:val="center"/>
              <w:rPr>
                <w:rFonts w:cs="宋体" w:asciiTheme="minorEastAsia" w:hAnsiTheme="minorEastAsia" w:eastAsiaTheme="minorEastAsia"/>
                <w:sz w:val="21"/>
                <w:szCs w:val="21"/>
              </w:rPr>
            </w:pPr>
          </w:p>
        </w:tc>
        <w:tc>
          <w:tcPr>
            <w:tcW w:w="2536" w:type="dxa"/>
            <w:tcBorders>
              <w:top w:val="single" w:color="000000" w:sz="4" w:space="0"/>
              <w:left w:val="single" w:color="000000" w:sz="4" w:space="0"/>
              <w:bottom w:val="single" w:color="000000" w:sz="4" w:space="0"/>
              <w:right w:val="single" w:color="000000" w:sz="4" w:space="0"/>
            </w:tcBorders>
            <w:vAlign w:val="center"/>
          </w:tcPr>
          <w:p w14:paraId="41A7D046">
            <w:pPr>
              <w:spacing w:line="420" w:lineRule="exact"/>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法律援助办结率</w:t>
            </w:r>
          </w:p>
        </w:tc>
        <w:tc>
          <w:tcPr>
            <w:tcW w:w="1125" w:type="dxa"/>
            <w:tcBorders>
              <w:top w:val="single" w:color="000000" w:sz="4" w:space="0"/>
              <w:left w:val="single" w:color="000000" w:sz="4" w:space="0"/>
              <w:bottom w:val="single" w:color="000000" w:sz="4" w:space="0"/>
              <w:right w:val="single" w:color="000000" w:sz="4" w:space="0"/>
            </w:tcBorders>
            <w:vAlign w:val="center"/>
          </w:tcPr>
          <w:p w14:paraId="5E10B8AF">
            <w:pPr>
              <w:spacing w:line="420" w:lineRule="exact"/>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5</w:t>
            </w:r>
          </w:p>
        </w:tc>
        <w:tc>
          <w:tcPr>
            <w:tcW w:w="853" w:type="dxa"/>
            <w:tcBorders>
              <w:top w:val="single" w:color="000000" w:sz="4" w:space="0"/>
              <w:left w:val="single" w:color="000000" w:sz="4" w:space="0"/>
              <w:bottom w:val="single" w:color="000000" w:sz="4" w:space="0"/>
              <w:right w:val="single" w:color="000000" w:sz="4" w:space="0"/>
            </w:tcBorders>
            <w:vAlign w:val="center"/>
          </w:tcPr>
          <w:p w14:paraId="2527B6C4">
            <w:pPr>
              <w:spacing w:line="420" w:lineRule="exact"/>
              <w:jc w:val="center"/>
              <w:rPr>
                <w:rFonts w:hint="default" w:cs="宋体" w:asciiTheme="minorEastAsia" w:hAnsiTheme="minorEastAsia" w:eastAsiaTheme="minorEastAsia"/>
                <w:sz w:val="21"/>
                <w:szCs w:val="21"/>
                <w:lang w:val="en-US"/>
              </w:rPr>
            </w:pPr>
            <w:r>
              <w:rPr>
                <w:rFonts w:hint="default" w:cs="宋体" w:asciiTheme="minorEastAsia" w:hAnsiTheme="minorEastAsia" w:eastAsiaTheme="minorEastAsia"/>
                <w:sz w:val="21"/>
                <w:szCs w:val="21"/>
                <w:lang w:val="en-US"/>
              </w:rPr>
              <w:t>5</w:t>
            </w:r>
          </w:p>
        </w:tc>
      </w:tr>
      <w:tr w14:paraId="20B1F502">
        <w:tblPrEx>
          <w:tblCellMar>
            <w:top w:w="15" w:type="dxa"/>
            <w:left w:w="15" w:type="dxa"/>
            <w:bottom w:w="15" w:type="dxa"/>
            <w:right w:w="15" w:type="dxa"/>
          </w:tblCellMar>
        </w:tblPrEx>
        <w:trPr>
          <w:trHeight w:val="397" w:hRule="exact"/>
          <w:jc w:val="center"/>
        </w:trPr>
        <w:tc>
          <w:tcPr>
            <w:tcW w:w="2581" w:type="dxa"/>
            <w:gridSpan w:val="2"/>
            <w:tcBorders>
              <w:top w:val="single" w:color="000000" w:sz="4" w:space="0"/>
              <w:left w:val="single" w:color="000000" w:sz="4" w:space="0"/>
              <w:bottom w:val="single" w:color="000000" w:sz="4" w:space="0"/>
              <w:right w:val="single" w:color="000000" w:sz="4" w:space="0"/>
            </w:tcBorders>
            <w:vAlign w:val="center"/>
          </w:tcPr>
          <w:p w14:paraId="22D2ADB3">
            <w:pPr>
              <w:spacing w:line="420" w:lineRule="exact"/>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合计</w:t>
            </w:r>
          </w:p>
        </w:tc>
        <w:tc>
          <w:tcPr>
            <w:tcW w:w="2536" w:type="dxa"/>
            <w:tcBorders>
              <w:top w:val="single" w:color="000000" w:sz="4" w:space="0"/>
              <w:left w:val="single" w:color="000000" w:sz="4" w:space="0"/>
              <w:bottom w:val="single" w:color="000000" w:sz="4" w:space="0"/>
              <w:right w:val="single" w:color="000000" w:sz="4" w:space="0"/>
            </w:tcBorders>
            <w:vAlign w:val="center"/>
          </w:tcPr>
          <w:p w14:paraId="507757EB">
            <w:pPr>
              <w:spacing w:line="420" w:lineRule="exact"/>
              <w:jc w:val="center"/>
              <w:rPr>
                <w:rFonts w:cs="宋体" w:asciiTheme="minorEastAsia" w:hAnsiTheme="minorEastAsia" w:eastAsiaTheme="minorEastAsia"/>
                <w:sz w:val="21"/>
                <w:szCs w:val="21"/>
              </w:rPr>
            </w:pPr>
          </w:p>
        </w:tc>
        <w:tc>
          <w:tcPr>
            <w:tcW w:w="1125" w:type="dxa"/>
            <w:tcBorders>
              <w:top w:val="single" w:color="000000" w:sz="4" w:space="0"/>
              <w:left w:val="single" w:color="000000" w:sz="4" w:space="0"/>
              <w:bottom w:val="single" w:color="000000" w:sz="4" w:space="0"/>
              <w:right w:val="single" w:color="000000" w:sz="4" w:space="0"/>
            </w:tcBorders>
            <w:vAlign w:val="center"/>
          </w:tcPr>
          <w:p w14:paraId="3A01A1D3">
            <w:pPr>
              <w:spacing w:line="420" w:lineRule="exact"/>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25</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288E0">
            <w:pPr>
              <w:spacing w:line="420" w:lineRule="exact"/>
              <w:jc w:val="center"/>
              <w:rPr>
                <w:rFonts w:hint="default" w:cs="宋体" w:asciiTheme="minorEastAsia" w:hAnsiTheme="minorEastAsia" w:eastAsiaTheme="minorEastAsia"/>
                <w:sz w:val="21"/>
                <w:szCs w:val="21"/>
                <w:lang w:val="en-US"/>
              </w:rPr>
            </w:pPr>
            <w:r>
              <w:rPr>
                <w:rFonts w:hint="default" w:cs="宋体" w:asciiTheme="minorEastAsia" w:hAnsiTheme="minorEastAsia" w:eastAsiaTheme="minorEastAsia"/>
                <w:sz w:val="21"/>
                <w:szCs w:val="21"/>
                <w:lang w:val="en-US"/>
              </w:rPr>
              <w:t>25</w:t>
            </w:r>
          </w:p>
        </w:tc>
      </w:tr>
    </w:tbl>
    <w:p w14:paraId="58836D81">
      <w:pPr>
        <w:spacing w:after="0" w:line="360" w:lineRule="auto"/>
        <w:ind w:firstLine="640" w:firstLineChars="200"/>
        <w:jc w:val="both"/>
        <w:textAlignment w:val="baseline"/>
        <w:rPr>
          <w:rFonts w:ascii="仿宋_GB2312" w:eastAsia="仿宋_GB2312" w:cs="DengXian-Regular"/>
          <w:sz w:val="32"/>
          <w:szCs w:val="32"/>
        </w:rPr>
      </w:pPr>
      <w:bookmarkStart w:id="67" w:name="_Toc464638518"/>
      <w:bookmarkStart w:id="68" w:name="_Toc465149515"/>
      <w:r>
        <w:rPr>
          <w:rFonts w:hint="eastAsia" w:ascii="仿宋_GB2312" w:eastAsia="仿宋_GB2312" w:cs="DengXian-Regular"/>
          <w:sz w:val="32"/>
          <w:szCs w:val="32"/>
        </w:rPr>
        <w:t>1.结转结余率（5分）</w:t>
      </w:r>
    </w:p>
    <w:p w14:paraId="0E8CAE1C">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该指标主要评价部门的结转结余情况，通过结转结余率衡量。</w:t>
      </w:r>
    </w:p>
    <w:p w14:paraId="47A06A97">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结转结余率=（本年结转结余数/决算收入数）*100%。</w:t>
      </w:r>
    </w:p>
    <w:p w14:paraId="52BA9EA0">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根据区</w:t>
      </w:r>
      <w:r>
        <w:rPr>
          <w:rFonts w:hint="eastAsia" w:ascii="仿宋_GB2312" w:eastAsia="仿宋_GB2312" w:cs="DengXian-Regular"/>
          <w:sz w:val="32"/>
          <w:szCs w:val="32"/>
          <w:lang w:eastAsia="zh-CN"/>
        </w:rPr>
        <w:t>委政法委</w:t>
      </w:r>
      <w:r>
        <w:rPr>
          <w:rFonts w:hint="eastAsia" w:ascii="仿宋_GB2312" w:eastAsia="仿宋_GB2312" w:cs="DengXian-Regular"/>
          <w:sz w:val="32"/>
          <w:szCs w:val="32"/>
        </w:rPr>
        <w:t>202</w:t>
      </w:r>
      <w:r>
        <w:rPr>
          <w:rFonts w:ascii="仿宋_GB2312" w:eastAsia="仿宋_GB2312" w:cs="DengXian-Regular"/>
          <w:sz w:val="32"/>
          <w:szCs w:val="32"/>
        </w:rPr>
        <w:t>1</w:t>
      </w:r>
      <w:r>
        <w:rPr>
          <w:rFonts w:hint="eastAsia" w:ascii="仿宋_GB2312" w:eastAsia="仿宋_GB2312" w:cs="DengXian-Regular"/>
          <w:sz w:val="32"/>
          <w:szCs w:val="32"/>
        </w:rPr>
        <w:t>年决算文本及相关资料，区</w:t>
      </w:r>
      <w:r>
        <w:rPr>
          <w:rFonts w:hint="eastAsia" w:ascii="仿宋_GB2312" w:eastAsia="仿宋_GB2312" w:cs="DengXian-Regular"/>
          <w:sz w:val="32"/>
          <w:szCs w:val="32"/>
          <w:lang w:eastAsia="zh-CN"/>
        </w:rPr>
        <w:t>委政法委</w:t>
      </w:r>
      <w:r>
        <w:rPr>
          <w:rFonts w:hint="eastAsia" w:ascii="仿宋_GB2312" w:eastAsia="仿宋_GB2312" w:cs="DengXian-Regular"/>
          <w:sz w:val="32"/>
          <w:szCs w:val="32"/>
        </w:rPr>
        <w:t>202</w:t>
      </w:r>
      <w:r>
        <w:rPr>
          <w:rFonts w:ascii="仿宋_GB2312" w:eastAsia="仿宋_GB2312" w:cs="DengXian-Regular"/>
          <w:sz w:val="32"/>
          <w:szCs w:val="32"/>
        </w:rPr>
        <w:t>1</w:t>
      </w:r>
      <w:r>
        <w:rPr>
          <w:rFonts w:hint="eastAsia" w:ascii="仿宋_GB2312" w:eastAsia="仿宋_GB2312" w:cs="DengXian-Regular"/>
          <w:sz w:val="32"/>
          <w:szCs w:val="32"/>
        </w:rPr>
        <w:t>年结转结余资金</w:t>
      </w:r>
      <w:r>
        <w:rPr>
          <w:rFonts w:hint="default" w:ascii="仿宋_GB2312" w:eastAsia="仿宋_GB2312" w:cs="DengXian-Regular"/>
          <w:sz w:val="32"/>
          <w:szCs w:val="32"/>
          <w:lang w:val="en-US"/>
        </w:rPr>
        <w:t>6.37</w:t>
      </w:r>
      <w:r>
        <w:rPr>
          <w:rFonts w:hint="eastAsia" w:ascii="仿宋_GB2312" w:eastAsia="仿宋_GB2312" w:cs="DengXian-Regular"/>
          <w:sz w:val="32"/>
          <w:szCs w:val="32"/>
        </w:rPr>
        <w:t>万元，决算收入</w:t>
      </w:r>
      <w:r>
        <w:rPr>
          <w:rFonts w:hint="default" w:ascii="仿宋_GB2312" w:eastAsia="仿宋_GB2312" w:cs="DengXian-Regular"/>
          <w:sz w:val="32"/>
          <w:szCs w:val="32"/>
          <w:lang w:val="en-US"/>
        </w:rPr>
        <w:t>1092.24</w:t>
      </w:r>
      <w:r>
        <w:rPr>
          <w:rFonts w:hint="eastAsia" w:ascii="仿宋_GB2312" w:eastAsia="仿宋_GB2312" w:cs="DengXian-Regular"/>
          <w:sz w:val="32"/>
          <w:szCs w:val="32"/>
        </w:rPr>
        <w:t>万元，结转结余率</w:t>
      </w:r>
      <w:r>
        <w:rPr>
          <w:rFonts w:hint="default" w:ascii="仿宋_GB2312" w:eastAsia="仿宋_GB2312" w:cs="DengXian-Regular"/>
          <w:sz w:val="32"/>
          <w:szCs w:val="32"/>
          <w:lang w:val="en-US"/>
        </w:rPr>
        <w:t>0.58</w:t>
      </w:r>
      <w:r>
        <w:rPr>
          <w:rFonts w:hint="eastAsia" w:ascii="仿宋_GB2312" w:eastAsia="仿宋_GB2312" w:cs="DengXian-Regular"/>
          <w:sz w:val="32"/>
          <w:szCs w:val="32"/>
        </w:rPr>
        <w:t>%，小于5%。</w:t>
      </w:r>
    </w:p>
    <w:p w14:paraId="2530DBB2">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该项指标实际得分</w:t>
      </w:r>
      <w:r>
        <w:rPr>
          <w:rFonts w:hint="default" w:ascii="仿宋_GB2312" w:eastAsia="仿宋_GB2312" w:cs="DengXian-Regular"/>
          <w:sz w:val="32"/>
          <w:szCs w:val="32"/>
          <w:lang w:val="en-US"/>
        </w:rPr>
        <w:t>5</w:t>
      </w:r>
      <w:r>
        <w:rPr>
          <w:rFonts w:hint="eastAsia" w:ascii="仿宋_GB2312" w:eastAsia="仿宋_GB2312" w:cs="DengXian-Regular"/>
          <w:sz w:val="32"/>
          <w:szCs w:val="32"/>
        </w:rPr>
        <w:t>分。</w:t>
      </w:r>
    </w:p>
    <w:p w14:paraId="10BB3DBF">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2.项目资金使用率（5分）</w:t>
      </w:r>
    </w:p>
    <w:p w14:paraId="1BD537AA">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该指标主要评价项目资金的使用效率，通过项目资金使用率来衡量。</w:t>
      </w:r>
    </w:p>
    <w:p w14:paraId="3CE746EF">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项目资金使用率=（实际支出项目资金总额/计划完整项目资金总数）*100%。</w:t>
      </w:r>
    </w:p>
    <w:p w14:paraId="2C8395FE">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区</w:t>
      </w:r>
      <w:r>
        <w:rPr>
          <w:rFonts w:hint="eastAsia" w:ascii="仿宋_GB2312" w:eastAsia="仿宋_GB2312" w:cs="DengXian-Regular"/>
          <w:sz w:val="32"/>
          <w:szCs w:val="32"/>
          <w:lang w:eastAsia="zh-CN"/>
        </w:rPr>
        <w:t>委政法委</w:t>
      </w:r>
      <w:r>
        <w:rPr>
          <w:rFonts w:hint="eastAsia" w:ascii="仿宋_GB2312" w:eastAsia="仿宋_GB2312" w:cs="DengXian-Regular"/>
          <w:sz w:val="32"/>
          <w:szCs w:val="32"/>
        </w:rPr>
        <w:t>202</w:t>
      </w:r>
      <w:r>
        <w:rPr>
          <w:rFonts w:ascii="仿宋_GB2312" w:eastAsia="仿宋_GB2312" w:cs="DengXian-Regular"/>
          <w:sz w:val="32"/>
          <w:szCs w:val="32"/>
        </w:rPr>
        <w:t>1</w:t>
      </w:r>
      <w:r>
        <w:rPr>
          <w:rFonts w:hint="eastAsia" w:ascii="仿宋_GB2312" w:eastAsia="仿宋_GB2312" w:cs="DengXian-Regular"/>
          <w:sz w:val="32"/>
          <w:szCs w:val="32"/>
        </w:rPr>
        <w:t>年实际支出项目资金总额</w:t>
      </w:r>
      <w:r>
        <w:rPr>
          <w:rFonts w:hint="default" w:ascii="仿宋_GB2312" w:eastAsia="仿宋_GB2312" w:cs="DengXian-Regular"/>
          <w:sz w:val="32"/>
          <w:szCs w:val="32"/>
          <w:lang w:val="en-US"/>
        </w:rPr>
        <w:t>818.14</w:t>
      </w:r>
      <w:r>
        <w:rPr>
          <w:rFonts w:hint="eastAsia" w:ascii="仿宋_GB2312" w:eastAsia="仿宋_GB2312" w:cs="DengXian-Regular"/>
          <w:sz w:val="32"/>
          <w:szCs w:val="32"/>
        </w:rPr>
        <w:t>万元，年初预算共</w:t>
      </w:r>
      <w:r>
        <w:rPr>
          <w:rFonts w:hint="default" w:ascii="仿宋_GB2312" w:eastAsia="仿宋_GB2312" w:cs="DengXian-Regular"/>
          <w:sz w:val="32"/>
          <w:szCs w:val="32"/>
          <w:lang w:val="en-US"/>
        </w:rPr>
        <w:t>18</w:t>
      </w:r>
      <w:r>
        <w:rPr>
          <w:rFonts w:hint="eastAsia" w:ascii="仿宋_GB2312" w:eastAsia="仿宋_GB2312" w:cs="DengXian-Regular"/>
          <w:sz w:val="32"/>
          <w:szCs w:val="32"/>
        </w:rPr>
        <w:t>个项目，预算数</w:t>
      </w:r>
      <w:r>
        <w:rPr>
          <w:rFonts w:hint="default" w:ascii="仿宋_GB2312" w:eastAsia="仿宋_GB2312" w:cs="DengXian-Regular"/>
          <w:sz w:val="32"/>
          <w:szCs w:val="32"/>
          <w:lang w:val="en-US"/>
        </w:rPr>
        <w:t>1057.4</w:t>
      </w:r>
      <w:r>
        <w:rPr>
          <w:rFonts w:hint="eastAsia" w:ascii="仿宋_GB2312" w:eastAsia="仿宋_GB2312" w:cs="DengXian-Regular"/>
          <w:sz w:val="32"/>
          <w:szCs w:val="32"/>
        </w:rPr>
        <w:t>万元，年中追加项目资金</w:t>
      </w:r>
      <w:r>
        <w:rPr>
          <w:rFonts w:hint="default" w:ascii="仿宋_GB2312" w:eastAsia="仿宋_GB2312" w:cs="DengXian-Regular"/>
          <w:sz w:val="32"/>
          <w:szCs w:val="32"/>
          <w:lang w:val="en-US"/>
        </w:rPr>
        <w:t>10</w:t>
      </w:r>
      <w:r>
        <w:rPr>
          <w:rFonts w:hint="eastAsia" w:ascii="仿宋_GB2312" w:eastAsia="仿宋_GB2312" w:cs="DengXian-Regular"/>
          <w:sz w:val="32"/>
          <w:szCs w:val="32"/>
        </w:rPr>
        <w:t>万元，项目资金使用率为</w:t>
      </w:r>
      <w:r>
        <w:rPr>
          <w:rFonts w:hint="default" w:ascii="仿宋_GB2312" w:eastAsia="仿宋_GB2312" w:cs="DengXian-Regular"/>
          <w:sz w:val="32"/>
          <w:szCs w:val="32"/>
          <w:lang w:val="en-US"/>
        </w:rPr>
        <w:t>77.37</w:t>
      </w:r>
      <w:r>
        <w:rPr>
          <w:rFonts w:hint="eastAsia" w:ascii="仿宋_GB2312" w:eastAsia="仿宋_GB2312" w:cs="DengXian-Regular"/>
          <w:sz w:val="32"/>
          <w:szCs w:val="32"/>
        </w:rPr>
        <w:t>%。</w:t>
      </w:r>
    </w:p>
    <w:p w14:paraId="349168BF">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该指标实际得分</w:t>
      </w:r>
      <w:r>
        <w:rPr>
          <w:rFonts w:hint="default" w:ascii="仿宋_GB2312" w:eastAsia="仿宋_GB2312" w:cs="DengXian-Regular"/>
          <w:sz w:val="32"/>
          <w:szCs w:val="32"/>
          <w:lang w:val="en-US"/>
        </w:rPr>
        <w:t>5</w:t>
      </w:r>
      <w:r>
        <w:rPr>
          <w:rFonts w:hint="eastAsia" w:ascii="仿宋_GB2312" w:eastAsia="仿宋_GB2312" w:cs="DengXian-Regular"/>
          <w:sz w:val="32"/>
          <w:szCs w:val="32"/>
        </w:rPr>
        <w:t>分。</w:t>
      </w:r>
    </w:p>
    <w:p w14:paraId="0933D7E7">
      <w:pPr>
        <w:pStyle w:val="4"/>
        <w:spacing w:before="0" w:after="0"/>
        <w:ind w:firstLine="643" w:firstLineChars="200"/>
        <w:jc w:val="both"/>
        <w:rPr>
          <w:rFonts w:ascii="楷体" w:hAnsi="楷体" w:eastAsia="楷体"/>
          <w:sz w:val="32"/>
        </w:rPr>
      </w:pPr>
      <w:bookmarkStart w:id="69" w:name="_Toc28363"/>
      <w:r>
        <w:rPr>
          <w:rFonts w:hint="eastAsia" w:ascii="楷体" w:hAnsi="楷体" w:eastAsia="楷体"/>
          <w:sz w:val="32"/>
        </w:rPr>
        <w:t>（四）效果</w:t>
      </w:r>
      <w:bookmarkEnd w:id="67"/>
      <w:bookmarkEnd w:id="68"/>
      <w:r>
        <w:rPr>
          <w:rFonts w:hint="eastAsia" w:ascii="楷体" w:hAnsi="楷体" w:eastAsia="楷体"/>
          <w:sz w:val="32"/>
        </w:rPr>
        <w:t>（15分）</w:t>
      </w:r>
      <w:bookmarkEnd w:id="69"/>
    </w:p>
    <w:p w14:paraId="6F8F4489">
      <w:pPr>
        <w:spacing w:after="0" w:line="360" w:lineRule="auto"/>
        <w:ind w:firstLine="640" w:firstLineChars="200"/>
        <w:jc w:val="both"/>
        <w:textAlignment w:val="baseline"/>
        <w:rPr>
          <w:rFonts w:ascii="仿宋_GB2312" w:eastAsia="仿宋_GB2312" w:cs="DengXian-Regular"/>
          <w:sz w:val="32"/>
          <w:szCs w:val="32"/>
        </w:rPr>
      </w:pPr>
      <w:bookmarkStart w:id="70" w:name="_Toc464638520"/>
      <w:r>
        <w:rPr>
          <w:rFonts w:hint="eastAsia" w:ascii="仿宋_GB2312" w:eastAsia="仿宋_GB2312" w:cs="DengXian-Regular"/>
          <w:sz w:val="32"/>
          <w:szCs w:val="32"/>
        </w:rPr>
        <w:t>该一级指标包含履职效益一个二级指标。主要反映部门履行职责对社会发展所带来的直接或间接效益及社会公众或部门的服务对象对部门履职效果的满意程度。</w:t>
      </w:r>
    </w:p>
    <w:p w14:paraId="36945050">
      <w:pPr>
        <w:spacing w:after="0" w:line="360" w:lineRule="auto"/>
        <w:jc w:val="center"/>
        <w:textAlignment w:val="baseline"/>
        <w:rPr>
          <w:rFonts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t>表5  效果指标及得分情况表</w:t>
      </w:r>
    </w:p>
    <w:tbl>
      <w:tblPr>
        <w:tblStyle w:val="8"/>
        <w:tblW w:w="0" w:type="auto"/>
        <w:jc w:val="center"/>
        <w:tblLayout w:type="fixed"/>
        <w:tblCellMar>
          <w:top w:w="15" w:type="dxa"/>
          <w:left w:w="15" w:type="dxa"/>
          <w:bottom w:w="15" w:type="dxa"/>
          <w:right w:w="15" w:type="dxa"/>
        </w:tblCellMar>
      </w:tblPr>
      <w:tblGrid>
        <w:gridCol w:w="1468"/>
        <w:gridCol w:w="1155"/>
        <w:gridCol w:w="2130"/>
        <w:gridCol w:w="1200"/>
        <w:gridCol w:w="1045"/>
      </w:tblGrid>
      <w:tr w14:paraId="6BE692F8">
        <w:tblPrEx>
          <w:tblCellMar>
            <w:top w:w="15" w:type="dxa"/>
            <w:left w:w="15" w:type="dxa"/>
            <w:bottom w:w="15" w:type="dxa"/>
            <w:right w:w="15" w:type="dxa"/>
          </w:tblCellMar>
        </w:tblPrEx>
        <w:trPr>
          <w:trHeight w:val="397" w:hRule="exact"/>
          <w:jc w:val="center"/>
        </w:trPr>
        <w:tc>
          <w:tcPr>
            <w:tcW w:w="1468" w:type="dxa"/>
            <w:tcBorders>
              <w:top w:val="single" w:color="000000" w:sz="4" w:space="0"/>
              <w:left w:val="single" w:color="000000" w:sz="4" w:space="0"/>
              <w:bottom w:val="single" w:color="000000" w:sz="4" w:space="0"/>
              <w:right w:val="single" w:color="000000" w:sz="4" w:space="0"/>
            </w:tcBorders>
            <w:vAlign w:val="center"/>
          </w:tcPr>
          <w:p w14:paraId="1A98365C">
            <w:pPr>
              <w:spacing w:after="0"/>
              <w:jc w:val="center"/>
              <w:textAlignment w:val="center"/>
              <w:rPr>
                <w:rFonts w:cs="宋体" w:asciiTheme="minorEastAsia" w:hAnsiTheme="minorEastAsia" w:eastAsiaTheme="minorEastAsia"/>
                <w:b/>
                <w:color w:val="000000"/>
                <w:sz w:val="21"/>
                <w:szCs w:val="21"/>
              </w:rPr>
            </w:pPr>
            <w:r>
              <w:rPr>
                <w:rFonts w:hint="eastAsia" w:cs="宋体" w:asciiTheme="minorEastAsia" w:hAnsiTheme="minorEastAsia" w:eastAsiaTheme="minorEastAsia"/>
                <w:b/>
                <w:color w:val="000000"/>
                <w:sz w:val="21"/>
                <w:szCs w:val="21"/>
              </w:rPr>
              <w:t>一级指标</w:t>
            </w:r>
          </w:p>
        </w:tc>
        <w:tc>
          <w:tcPr>
            <w:tcW w:w="1155" w:type="dxa"/>
            <w:tcBorders>
              <w:top w:val="single" w:color="000000" w:sz="4" w:space="0"/>
              <w:left w:val="single" w:color="000000" w:sz="4" w:space="0"/>
              <w:bottom w:val="single" w:color="000000" w:sz="4" w:space="0"/>
              <w:right w:val="single" w:color="000000" w:sz="4" w:space="0"/>
            </w:tcBorders>
            <w:vAlign w:val="center"/>
          </w:tcPr>
          <w:p w14:paraId="5B721BB1">
            <w:pPr>
              <w:spacing w:after="0"/>
              <w:jc w:val="center"/>
              <w:textAlignment w:val="center"/>
              <w:rPr>
                <w:rFonts w:cs="宋体" w:asciiTheme="minorEastAsia" w:hAnsiTheme="minorEastAsia" w:eastAsiaTheme="minorEastAsia"/>
                <w:b/>
                <w:color w:val="000000"/>
                <w:sz w:val="21"/>
                <w:szCs w:val="21"/>
              </w:rPr>
            </w:pPr>
            <w:r>
              <w:rPr>
                <w:rFonts w:hint="eastAsia" w:cs="宋体" w:asciiTheme="minorEastAsia" w:hAnsiTheme="minorEastAsia" w:eastAsiaTheme="minorEastAsia"/>
                <w:b/>
                <w:color w:val="000000"/>
                <w:sz w:val="21"/>
                <w:szCs w:val="21"/>
              </w:rPr>
              <w:t>二级指标</w:t>
            </w:r>
          </w:p>
        </w:tc>
        <w:tc>
          <w:tcPr>
            <w:tcW w:w="2130" w:type="dxa"/>
            <w:tcBorders>
              <w:top w:val="single" w:color="000000" w:sz="4" w:space="0"/>
              <w:left w:val="single" w:color="000000" w:sz="4" w:space="0"/>
              <w:bottom w:val="single" w:color="000000" w:sz="4" w:space="0"/>
              <w:right w:val="single" w:color="000000" w:sz="4" w:space="0"/>
            </w:tcBorders>
            <w:vAlign w:val="center"/>
          </w:tcPr>
          <w:p w14:paraId="003D1362">
            <w:pPr>
              <w:spacing w:after="0"/>
              <w:jc w:val="center"/>
              <w:textAlignment w:val="center"/>
              <w:rPr>
                <w:rFonts w:cs="宋体" w:asciiTheme="minorEastAsia" w:hAnsiTheme="minorEastAsia" w:eastAsiaTheme="minorEastAsia"/>
                <w:b/>
                <w:color w:val="000000"/>
                <w:sz w:val="21"/>
                <w:szCs w:val="21"/>
              </w:rPr>
            </w:pPr>
            <w:r>
              <w:rPr>
                <w:rFonts w:hint="eastAsia" w:cs="宋体" w:asciiTheme="minorEastAsia" w:hAnsiTheme="minorEastAsia" w:eastAsiaTheme="minorEastAsia"/>
                <w:b/>
                <w:color w:val="000000"/>
                <w:sz w:val="21"/>
                <w:szCs w:val="21"/>
              </w:rPr>
              <w:t>三级指标</w:t>
            </w:r>
          </w:p>
        </w:tc>
        <w:tc>
          <w:tcPr>
            <w:tcW w:w="1200" w:type="dxa"/>
            <w:tcBorders>
              <w:top w:val="single" w:color="000000" w:sz="4" w:space="0"/>
              <w:left w:val="single" w:color="000000" w:sz="4" w:space="0"/>
              <w:bottom w:val="single" w:color="000000" w:sz="4" w:space="0"/>
              <w:right w:val="single" w:color="000000" w:sz="4" w:space="0"/>
            </w:tcBorders>
            <w:vAlign w:val="center"/>
          </w:tcPr>
          <w:p w14:paraId="7AC1EC15">
            <w:pPr>
              <w:spacing w:after="0"/>
              <w:jc w:val="center"/>
              <w:textAlignment w:val="center"/>
              <w:rPr>
                <w:rFonts w:cs="宋体" w:asciiTheme="minorEastAsia" w:hAnsiTheme="minorEastAsia" w:eastAsiaTheme="minorEastAsia"/>
                <w:b/>
                <w:color w:val="000000"/>
                <w:sz w:val="21"/>
                <w:szCs w:val="21"/>
              </w:rPr>
            </w:pPr>
            <w:r>
              <w:rPr>
                <w:rFonts w:hint="eastAsia" w:cs="宋体" w:asciiTheme="minorEastAsia" w:hAnsiTheme="minorEastAsia" w:eastAsiaTheme="minorEastAsia"/>
                <w:b/>
                <w:color w:val="000000"/>
                <w:sz w:val="21"/>
                <w:szCs w:val="21"/>
              </w:rPr>
              <w:t>分数权重</w:t>
            </w:r>
          </w:p>
        </w:tc>
        <w:tc>
          <w:tcPr>
            <w:tcW w:w="1045" w:type="dxa"/>
            <w:tcBorders>
              <w:top w:val="single" w:color="000000" w:sz="4" w:space="0"/>
              <w:left w:val="single" w:color="000000" w:sz="4" w:space="0"/>
              <w:bottom w:val="single" w:color="000000" w:sz="4" w:space="0"/>
              <w:right w:val="single" w:color="000000" w:sz="4" w:space="0"/>
            </w:tcBorders>
            <w:vAlign w:val="center"/>
          </w:tcPr>
          <w:p w14:paraId="1D667768">
            <w:pPr>
              <w:spacing w:after="0"/>
              <w:jc w:val="center"/>
              <w:textAlignment w:val="center"/>
              <w:rPr>
                <w:rFonts w:cs="宋体" w:asciiTheme="minorEastAsia" w:hAnsiTheme="minorEastAsia" w:eastAsiaTheme="minorEastAsia"/>
                <w:b/>
                <w:color w:val="000000"/>
                <w:sz w:val="21"/>
                <w:szCs w:val="21"/>
              </w:rPr>
            </w:pPr>
            <w:r>
              <w:rPr>
                <w:rFonts w:hint="eastAsia" w:cs="宋体" w:asciiTheme="minorEastAsia" w:hAnsiTheme="minorEastAsia" w:eastAsiaTheme="minorEastAsia"/>
                <w:b/>
                <w:color w:val="000000"/>
                <w:sz w:val="21"/>
                <w:szCs w:val="21"/>
              </w:rPr>
              <w:t>得分</w:t>
            </w:r>
          </w:p>
        </w:tc>
      </w:tr>
      <w:tr w14:paraId="5B12AFBF">
        <w:tblPrEx>
          <w:tblCellMar>
            <w:top w:w="15" w:type="dxa"/>
            <w:left w:w="15" w:type="dxa"/>
            <w:bottom w:w="15" w:type="dxa"/>
            <w:right w:w="15" w:type="dxa"/>
          </w:tblCellMar>
        </w:tblPrEx>
        <w:trPr>
          <w:trHeight w:val="397" w:hRule="exact"/>
          <w:jc w:val="center"/>
        </w:trPr>
        <w:tc>
          <w:tcPr>
            <w:tcW w:w="1468" w:type="dxa"/>
            <w:vMerge w:val="restart"/>
            <w:tcBorders>
              <w:top w:val="single" w:color="000000" w:sz="4" w:space="0"/>
              <w:left w:val="single" w:color="000000" w:sz="4" w:space="0"/>
              <w:bottom w:val="single" w:color="000000" w:sz="4" w:space="0"/>
              <w:right w:val="single" w:color="000000" w:sz="4" w:space="0"/>
            </w:tcBorders>
            <w:vAlign w:val="center"/>
          </w:tcPr>
          <w:p w14:paraId="18899E19">
            <w:pPr>
              <w:spacing w:after="0" w:line="420" w:lineRule="exact"/>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项目效果</w:t>
            </w:r>
          </w:p>
          <w:p w14:paraId="4A1CA623">
            <w:pPr>
              <w:spacing w:after="0" w:line="420" w:lineRule="exact"/>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（15分）</w:t>
            </w:r>
          </w:p>
        </w:tc>
        <w:tc>
          <w:tcPr>
            <w:tcW w:w="1155" w:type="dxa"/>
            <w:vMerge w:val="restart"/>
            <w:tcBorders>
              <w:top w:val="single" w:color="000000" w:sz="4" w:space="0"/>
              <w:left w:val="single" w:color="000000" w:sz="4" w:space="0"/>
              <w:bottom w:val="single" w:color="000000" w:sz="4" w:space="0"/>
              <w:right w:val="single" w:color="000000" w:sz="4" w:space="0"/>
            </w:tcBorders>
            <w:vAlign w:val="center"/>
          </w:tcPr>
          <w:p w14:paraId="0A76BF6F">
            <w:pPr>
              <w:spacing w:after="0" w:line="420" w:lineRule="exact"/>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履职效益</w:t>
            </w:r>
          </w:p>
          <w:p w14:paraId="04C3AF4E">
            <w:pPr>
              <w:spacing w:after="0" w:line="420" w:lineRule="exact"/>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（15分）</w:t>
            </w:r>
          </w:p>
        </w:tc>
        <w:tc>
          <w:tcPr>
            <w:tcW w:w="2130" w:type="dxa"/>
            <w:tcBorders>
              <w:top w:val="single" w:color="000000" w:sz="4" w:space="0"/>
              <w:left w:val="single" w:color="000000" w:sz="4" w:space="0"/>
              <w:bottom w:val="single" w:color="000000" w:sz="4" w:space="0"/>
              <w:right w:val="single" w:color="000000" w:sz="4" w:space="0"/>
            </w:tcBorders>
            <w:vAlign w:val="center"/>
          </w:tcPr>
          <w:p w14:paraId="7D093F60">
            <w:pPr>
              <w:spacing w:line="420" w:lineRule="exact"/>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部门整体效益</w:t>
            </w:r>
          </w:p>
        </w:tc>
        <w:tc>
          <w:tcPr>
            <w:tcW w:w="1200" w:type="dxa"/>
            <w:tcBorders>
              <w:top w:val="single" w:color="000000" w:sz="4" w:space="0"/>
              <w:left w:val="single" w:color="000000" w:sz="4" w:space="0"/>
              <w:bottom w:val="single" w:color="000000" w:sz="4" w:space="0"/>
              <w:right w:val="single" w:color="000000" w:sz="4" w:space="0"/>
            </w:tcBorders>
            <w:vAlign w:val="center"/>
          </w:tcPr>
          <w:p w14:paraId="325A12CD">
            <w:pPr>
              <w:spacing w:line="420" w:lineRule="exact"/>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10</w:t>
            </w:r>
          </w:p>
        </w:tc>
        <w:tc>
          <w:tcPr>
            <w:tcW w:w="1045" w:type="dxa"/>
            <w:tcBorders>
              <w:top w:val="single" w:color="000000" w:sz="4" w:space="0"/>
              <w:left w:val="single" w:color="000000" w:sz="4" w:space="0"/>
              <w:bottom w:val="single" w:color="000000" w:sz="4" w:space="0"/>
              <w:right w:val="single" w:color="000000" w:sz="4" w:space="0"/>
            </w:tcBorders>
            <w:vAlign w:val="center"/>
          </w:tcPr>
          <w:p w14:paraId="66D0FB60">
            <w:pPr>
              <w:spacing w:line="420" w:lineRule="exact"/>
              <w:jc w:val="center"/>
              <w:rPr>
                <w:rFonts w:hint="default" w:cs="宋体" w:asciiTheme="minorEastAsia" w:hAnsiTheme="minorEastAsia" w:eastAsiaTheme="minorEastAsia"/>
                <w:sz w:val="21"/>
                <w:szCs w:val="21"/>
                <w:lang w:val="en-US"/>
              </w:rPr>
            </w:pPr>
            <w:r>
              <w:rPr>
                <w:rFonts w:hint="default" w:cs="宋体" w:asciiTheme="minorEastAsia" w:hAnsiTheme="minorEastAsia" w:eastAsiaTheme="minorEastAsia"/>
                <w:sz w:val="21"/>
                <w:szCs w:val="21"/>
                <w:lang w:val="en-US"/>
              </w:rPr>
              <w:t>10</w:t>
            </w:r>
          </w:p>
        </w:tc>
      </w:tr>
      <w:tr w14:paraId="5B3537D5">
        <w:tblPrEx>
          <w:tblCellMar>
            <w:top w:w="15" w:type="dxa"/>
            <w:left w:w="15" w:type="dxa"/>
            <w:bottom w:w="15" w:type="dxa"/>
            <w:right w:w="15" w:type="dxa"/>
          </w:tblCellMar>
        </w:tblPrEx>
        <w:trPr>
          <w:trHeight w:val="397" w:hRule="exact"/>
          <w:jc w:val="center"/>
        </w:trPr>
        <w:tc>
          <w:tcPr>
            <w:tcW w:w="1468" w:type="dxa"/>
            <w:vMerge w:val="continue"/>
            <w:tcBorders>
              <w:top w:val="single" w:color="000000" w:sz="4" w:space="0"/>
              <w:left w:val="single" w:color="000000" w:sz="4" w:space="0"/>
              <w:bottom w:val="single" w:color="000000" w:sz="4" w:space="0"/>
              <w:right w:val="single" w:color="000000" w:sz="4" w:space="0"/>
            </w:tcBorders>
            <w:vAlign w:val="center"/>
          </w:tcPr>
          <w:p w14:paraId="6A791543">
            <w:pPr>
              <w:spacing w:line="420" w:lineRule="exact"/>
              <w:jc w:val="center"/>
              <w:rPr>
                <w:rFonts w:cs="宋体" w:asciiTheme="minorEastAsia" w:hAnsiTheme="minorEastAsia" w:eastAsiaTheme="minorEastAsia"/>
                <w:sz w:val="21"/>
                <w:szCs w:val="21"/>
              </w:rPr>
            </w:pPr>
          </w:p>
        </w:tc>
        <w:tc>
          <w:tcPr>
            <w:tcW w:w="1155" w:type="dxa"/>
            <w:vMerge w:val="continue"/>
            <w:tcBorders>
              <w:top w:val="single" w:color="000000" w:sz="4" w:space="0"/>
              <w:left w:val="single" w:color="000000" w:sz="4" w:space="0"/>
              <w:bottom w:val="single" w:color="000000" w:sz="4" w:space="0"/>
              <w:right w:val="single" w:color="000000" w:sz="4" w:space="0"/>
            </w:tcBorders>
            <w:vAlign w:val="center"/>
          </w:tcPr>
          <w:p w14:paraId="67A195BC">
            <w:pPr>
              <w:spacing w:line="420" w:lineRule="exact"/>
              <w:jc w:val="center"/>
              <w:rPr>
                <w:rFonts w:cs="宋体" w:asciiTheme="minorEastAsia" w:hAnsiTheme="minorEastAsia" w:eastAsiaTheme="minorEastAsia"/>
                <w:sz w:val="21"/>
                <w:szCs w:val="21"/>
              </w:rPr>
            </w:pPr>
          </w:p>
        </w:tc>
        <w:tc>
          <w:tcPr>
            <w:tcW w:w="2130" w:type="dxa"/>
            <w:tcBorders>
              <w:top w:val="single" w:color="000000" w:sz="4" w:space="0"/>
              <w:left w:val="single" w:color="000000" w:sz="4" w:space="0"/>
              <w:bottom w:val="single" w:color="000000" w:sz="4" w:space="0"/>
              <w:right w:val="single" w:color="000000" w:sz="4" w:space="0"/>
            </w:tcBorders>
            <w:vAlign w:val="center"/>
          </w:tcPr>
          <w:p w14:paraId="59347EA8">
            <w:pPr>
              <w:spacing w:line="420" w:lineRule="exact"/>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考评满意度</w:t>
            </w:r>
          </w:p>
        </w:tc>
        <w:tc>
          <w:tcPr>
            <w:tcW w:w="1200" w:type="dxa"/>
            <w:tcBorders>
              <w:top w:val="single" w:color="000000" w:sz="4" w:space="0"/>
              <w:left w:val="single" w:color="000000" w:sz="4" w:space="0"/>
              <w:bottom w:val="single" w:color="000000" w:sz="4" w:space="0"/>
              <w:right w:val="single" w:color="000000" w:sz="4" w:space="0"/>
            </w:tcBorders>
            <w:vAlign w:val="center"/>
          </w:tcPr>
          <w:p w14:paraId="35E5BDDC">
            <w:pPr>
              <w:spacing w:line="420" w:lineRule="exact"/>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5</w:t>
            </w:r>
          </w:p>
        </w:tc>
        <w:tc>
          <w:tcPr>
            <w:tcW w:w="1045" w:type="dxa"/>
            <w:tcBorders>
              <w:top w:val="single" w:color="000000" w:sz="4" w:space="0"/>
              <w:left w:val="single" w:color="000000" w:sz="4" w:space="0"/>
              <w:bottom w:val="single" w:color="000000" w:sz="4" w:space="0"/>
              <w:right w:val="single" w:color="000000" w:sz="4" w:space="0"/>
            </w:tcBorders>
            <w:vAlign w:val="center"/>
          </w:tcPr>
          <w:p w14:paraId="673B98B9">
            <w:pPr>
              <w:spacing w:line="420" w:lineRule="exact"/>
              <w:jc w:val="center"/>
              <w:rPr>
                <w:rFonts w:hint="default" w:cs="宋体" w:asciiTheme="minorEastAsia" w:hAnsiTheme="minorEastAsia" w:eastAsiaTheme="minorEastAsia"/>
                <w:sz w:val="21"/>
                <w:szCs w:val="21"/>
                <w:lang w:val="en-US"/>
              </w:rPr>
            </w:pPr>
            <w:r>
              <w:rPr>
                <w:rFonts w:hint="default" w:cs="宋体" w:asciiTheme="minorEastAsia" w:hAnsiTheme="minorEastAsia" w:eastAsiaTheme="minorEastAsia"/>
                <w:sz w:val="21"/>
                <w:szCs w:val="21"/>
                <w:lang w:val="en-US"/>
              </w:rPr>
              <w:t>5</w:t>
            </w:r>
          </w:p>
        </w:tc>
      </w:tr>
      <w:tr w14:paraId="26D2ED45">
        <w:tblPrEx>
          <w:tblCellMar>
            <w:top w:w="15" w:type="dxa"/>
            <w:left w:w="15" w:type="dxa"/>
            <w:bottom w:w="15" w:type="dxa"/>
            <w:right w:w="15" w:type="dxa"/>
          </w:tblCellMar>
        </w:tblPrEx>
        <w:trPr>
          <w:trHeight w:val="397" w:hRule="exact"/>
          <w:jc w:val="center"/>
        </w:trPr>
        <w:tc>
          <w:tcPr>
            <w:tcW w:w="2623" w:type="dxa"/>
            <w:gridSpan w:val="2"/>
            <w:tcBorders>
              <w:top w:val="single" w:color="000000" w:sz="4" w:space="0"/>
              <w:left w:val="single" w:color="000000" w:sz="4" w:space="0"/>
              <w:bottom w:val="single" w:color="000000" w:sz="4" w:space="0"/>
              <w:right w:val="single" w:color="000000" w:sz="4" w:space="0"/>
            </w:tcBorders>
            <w:vAlign w:val="center"/>
          </w:tcPr>
          <w:p w14:paraId="1228F45A">
            <w:pPr>
              <w:spacing w:line="420" w:lineRule="exact"/>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合计</w:t>
            </w:r>
          </w:p>
        </w:tc>
        <w:tc>
          <w:tcPr>
            <w:tcW w:w="2130" w:type="dxa"/>
            <w:tcBorders>
              <w:top w:val="single" w:color="000000" w:sz="4" w:space="0"/>
              <w:left w:val="single" w:color="000000" w:sz="4" w:space="0"/>
              <w:bottom w:val="single" w:color="000000" w:sz="4" w:space="0"/>
              <w:right w:val="single" w:color="000000" w:sz="4" w:space="0"/>
            </w:tcBorders>
            <w:vAlign w:val="center"/>
          </w:tcPr>
          <w:p w14:paraId="295B3420">
            <w:pPr>
              <w:spacing w:line="420" w:lineRule="exact"/>
              <w:jc w:val="center"/>
              <w:rPr>
                <w:rFonts w:cs="宋体" w:asciiTheme="minorEastAsia" w:hAnsiTheme="minorEastAsia" w:eastAsiaTheme="minorEastAsia"/>
                <w:sz w:val="21"/>
                <w:szCs w:val="21"/>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5136FA84">
            <w:pPr>
              <w:spacing w:line="420" w:lineRule="exact"/>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15</w:t>
            </w:r>
          </w:p>
        </w:tc>
        <w:tc>
          <w:tcPr>
            <w:tcW w:w="1045" w:type="dxa"/>
            <w:tcBorders>
              <w:top w:val="single" w:color="000000" w:sz="4" w:space="0"/>
              <w:left w:val="single" w:color="000000" w:sz="4" w:space="0"/>
              <w:bottom w:val="single" w:color="000000" w:sz="4" w:space="0"/>
              <w:right w:val="single" w:color="000000" w:sz="4" w:space="0"/>
            </w:tcBorders>
            <w:vAlign w:val="center"/>
          </w:tcPr>
          <w:p w14:paraId="52F9F85B">
            <w:pPr>
              <w:spacing w:line="420" w:lineRule="exact"/>
              <w:jc w:val="center"/>
              <w:rPr>
                <w:rFonts w:hint="default" w:cs="宋体" w:asciiTheme="minorEastAsia" w:hAnsiTheme="minorEastAsia" w:eastAsiaTheme="minorEastAsia"/>
                <w:sz w:val="21"/>
                <w:szCs w:val="21"/>
                <w:lang w:val="en-US"/>
              </w:rPr>
            </w:pPr>
            <w:r>
              <w:rPr>
                <w:rFonts w:hint="default" w:cs="宋体" w:asciiTheme="minorEastAsia" w:hAnsiTheme="minorEastAsia" w:eastAsiaTheme="minorEastAsia"/>
                <w:sz w:val="21"/>
                <w:szCs w:val="21"/>
                <w:lang w:val="en-US"/>
              </w:rPr>
              <w:t>15</w:t>
            </w:r>
          </w:p>
        </w:tc>
      </w:tr>
      <w:bookmarkEnd w:id="70"/>
    </w:tbl>
    <w:p w14:paraId="374E5875">
      <w:pPr>
        <w:spacing w:after="0" w:line="360" w:lineRule="auto"/>
        <w:ind w:firstLine="640" w:firstLineChars="200"/>
        <w:jc w:val="both"/>
        <w:textAlignment w:val="baseline"/>
        <w:rPr>
          <w:rFonts w:ascii="仿宋_GB2312" w:eastAsia="仿宋_GB2312" w:cs="DengXian-Regular"/>
          <w:sz w:val="32"/>
          <w:szCs w:val="32"/>
        </w:rPr>
      </w:pPr>
      <w:bookmarkStart w:id="71" w:name="_Toc492652784"/>
      <w:bookmarkStart w:id="72" w:name="_Toc465149516"/>
      <w:bookmarkStart w:id="73" w:name="_Toc464638561"/>
      <w:r>
        <w:rPr>
          <w:rFonts w:hint="eastAsia" w:ascii="仿宋_GB2312" w:eastAsia="仿宋_GB2312" w:cs="DengXian-Regular"/>
          <w:sz w:val="32"/>
          <w:szCs w:val="32"/>
        </w:rPr>
        <w:t>1.部门整体效益（10分）</w:t>
      </w:r>
    </w:p>
    <w:p w14:paraId="03A444E0">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该指标主要评价部门履行职责对社会发展所带来的直接或间接效益。</w:t>
      </w:r>
    </w:p>
    <w:p w14:paraId="6EC0900A">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经查看区</w:t>
      </w:r>
      <w:r>
        <w:rPr>
          <w:rFonts w:hint="eastAsia" w:ascii="仿宋_GB2312" w:eastAsia="仿宋_GB2312" w:cs="DengXian-Regular"/>
          <w:sz w:val="32"/>
          <w:szCs w:val="32"/>
          <w:lang w:eastAsia="zh-CN"/>
        </w:rPr>
        <w:t>委政法委</w:t>
      </w:r>
      <w:r>
        <w:rPr>
          <w:rFonts w:hint="eastAsia" w:ascii="仿宋_GB2312" w:eastAsia="仿宋_GB2312" w:cs="DengXian-Regular"/>
          <w:sz w:val="32"/>
          <w:szCs w:val="32"/>
        </w:rPr>
        <w:t>提供的相关资料，区</w:t>
      </w:r>
      <w:r>
        <w:rPr>
          <w:rFonts w:hint="eastAsia" w:ascii="仿宋_GB2312" w:eastAsia="仿宋_GB2312" w:cs="DengXian-Regular"/>
          <w:sz w:val="32"/>
          <w:szCs w:val="32"/>
          <w:lang w:eastAsia="zh-CN"/>
        </w:rPr>
        <w:t>委政法委</w:t>
      </w:r>
      <w:r>
        <w:rPr>
          <w:rFonts w:hint="eastAsia" w:ascii="仿宋_GB2312" w:eastAsia="仿宋_GB2312" w:cs="DengXian-Regular"/>
          <w:sz w:val="32"/>
          <w:szCs w:val="32"/>
        </w:rPr>
        <w:t>履行职责对社会发展所带来的社会效益较显著，有效的提高了社会公众的法律意识，减少了社会不稳定因素。</w:t>
      </w:r>
    </w:p>
    <w:p w14:paraId="2D536D60">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该项指标实际得分</w:t>
      </w:r>
      <w:r>
        <w:rPr>
          <w:rFonts w:hint="default" w:ascii="仿宋_GB2312" w:eastAsia="仿宋_GB2312" w:cs="DengXian-Regular"/>
          <w:sz w:val="32"/>
          <w:szCs w:val="32"/>
          <w:lang w:val="en-US"/>
        </w:rPr>
        <w:t>10</w:t>
      </w:r>
      <w:r>
        <w:rPr>
          <w:rFonts w:hint="eastAsia" w:ascii="仿宋_GB2312" w:eastAsia="仿宋_GB2312" w:cs="DengXian-Regular"/>
          <w:sz w:val="32"/>
          <w:szCs w:val="32"/>
        </w:rPr>
        <w:t>分。</w:t>
      </w:r>
    </w:p>
    <w:p w14:paraId="69A13583">
      <w:pPr>
        <w:spacing w:after="0" w:line="360" w:lineRule="auto"/>
        <w:ind w:firstLine="640" w:firstLineChars="200"/>
        <w:jc w:val="both"/>
        <w:textAlignment w:val="baseline"/>
        <w:rPr>
          <w:rFonts w:ascii="仿宋_GB2312" w:eastAsia="仿宋_GB2312" w:cs="DengXian-Regular"/>
          <w:sz w:val="32"/>
          <w:szCs w:val="32"/>
        </w:rPr>
      </w:pPr>
      <w:r>
        <w:rPr>
          <w:rFonts w:hint="eastAsia" w:ascii="仿宋_GB2312" w:eastAsia="仿宋_GB2312" w:cs="DengXian-Regular"/>
          <w:sz w:val="32"/>
          <w:szCs w:val="32"/>
        </w:rPr>
        <w:t>2.考评满意度（5分）</w:t>
      </w:r>
    </w:p>
    <w:p w14:paraId="57B8AF63">
      <w:pPr>
        <w:spacing w:after="0" w:line="360" w:lineRule="auto"/>
        <w:ind w:firstLine="640" w:firstLineChars="200"/>
        <w:jc w:val="both"/>
        <w:textAlignment w:val="baseline"/>
        <w:rPr>
          <w:rFonts w:ascii="仿宋_GB2312" w:eastAsia="仿宋_GB2312" w:cs="Times New Roman" w:hAnsiTheme="minorEastAsia"/>
          <w:sz w:val="32"/>
          <w:szCs w:val="32"/>
          <w:u w:color="000000"/>
        </w:rPr>
      </w:pPr>
      <w:r>
        <w:rPr>
          <w:rFonts w:hint="eastAsia" w:ascii="仿宋_GB2312" w:eastAsia="仿宋_GB2312" w:cs="Times New Roman" w:hAnsiTheme="minorEastAsia"/>
          <w:sz w:val="32"/>
          <w:szCs w:val="32"/>
          <w:u w:color="000000"/>
        </w:rPr>
        <w:t>该指标主要评价社会公众或部门的服务对象对部门履职效果的满意程度。</w:t>
      </w:r>
    </w:p>
    <w:p w14:paraId="2256B390">
      <w:pPr>
        <w:spacing w:after="0" w:line="360" w:lineRule="auto"/>
        <w:ind w:firstLine="640" w:firstLineChars="200"/>
        <w:jc w:val="both"/>
        <w:textAlignment w:val="baseline"/>
        <w:rPr>
          <w:rFonts w:ascii="仿宋_GB2312" w:eastAsia="仿宋_GB2312" w:cs="Times New Roman" w:hAnsiTheme="minorEastAsia"/>
          <w:sz w:val="32"/>
          <w:szCs w:val="32"/>
          <w:u w:color="000000"/>
        </w:rPr>
      </w:pPr>
      <w:r>
        <w:rPr>
          <w:rFonts w:hint="eastAsia" w:ascii="仿宋_GB2312" w:eastAsia="仿宋_GB2312" w:cs="Times New Roman" w:hAnsiTheme="minorEastAsia"/>
          <w:sz w:val="32"/>
          <w:szCs w:val="32"/>
          <w:u w:color="000000"/>
        </w:rPr>
        <w:t>针对该指标，我们随机选取了50个调查对象进行了问卷调查，具体调查情况如下：</w:t>
      </w:r>
    </w:p>
    <w:p w14:paraId="091243E5">
      <w:pPr>
        <w:spacing w:after="0" w:line="360" w:lineRule="auto"/>
        <w:jc w:val="center"/>
        <w:textAlignment w:val="baseline"/>
        <w:rPr>
          <w:rFonts w:hint="eastAsia" w:asciiTheme="minorEastAsia" w:hAnsiTheme="minorEastAsia" w:eastAsiaTheme="minorEastAsia" w:cstheme="minorEastAsia"/>
          <w:b/>
          <w:bCs/>
          <w:sz w:val="32"/>
          <w:szCs w:val="32"/>
          <w:u w:color="000000"/>
        </w:rPr>
      </w:pPr>
    </w:p>
    <w:p w14:paraId="47989C26">
      <w:pPr>
        <w:spacing w:after="0" w:line="360" w:lineRule="auto"/>
        <w:jc w:val="center"/>
        <w:textAlignment w:val="baseline"/>
        <w:rPr>
          <w:rFonts w:asciiTheme="minorEastAsia" w:hAnsiTheme="minorEastAsia" w:eastAsiaTheme="minorEastAsia" w:cstheme="minorEastAsia"/>
          <w:b/>
          <w:bCs/>
          <w:sz w:val="32"/>
          <w:szCs w:val="32"/>
          <w:u w:color="000000"/>
        </w:rPr>
      </w:pPr>
      <w:r>
        <w:rPr>
          <w:rFonts w:hint="eastAsia" w:asciiTheme="minorEastAsia" w:hAnsiTheme="minorEastAsia" w:eastAsiaTheme="minorEastAsia" w:cstheme="minorEastAsia"/>
          <w:b/>
          <w:bCs/>
          <w:sz w:val="32"/>
          <w:szCs w:val="32"/>
          <w:u w:color="000000"/>
        </w:rPr>
        <w:t>表6  服务对象满意度调查问卷汇总表</w:t>
      </w:r>
    </w:p>
    <w:p w14:paraId="52E31870">
      <w:pPr>
        <w:spacing w:after="0" w:line="540" w:lineRule="exact"/>
        <w:ind w:firstLine="6930" w:firstLineChars="3300"/>
        <w:jc w:val="both"/>
        <w:textAlignment w:val="baseline"/>
        <w:rPr>
          <w:rFonts w:ascii="仿宋_GB2312" w:eastAsia="仿宋_GB2312" w:cs="Times New Roman" w:hAnsiTheme="minorEastAsia"/>
          <w:sz w:val="32"/>
          <w:szCs w:val="32"/>
          <w:u w:color="000000"/>
        </w:rPr>
      </w:pPr>
      <w:r>
        <w:rPr>
          <w:rFonts w:hint="eastAsia" w:asciiTheme="minorEastAsia" w:hAnsiTheme="minorEastAsia" w:eastAsiaTheme="minorEastAsia" w:cstheme="minorEastAsia"/>
          <w:sz w:val="21"/>
          <w:szCs w:val="21"/>
          <w:u w:color="000000"/>
        </w:rPr>
        <w:t>单位：人次</w:t>
      </w:r>
    </w:p>
    <w:tbl>
      <w:tblPr>
        <w:tblStyle w:val="8"/>
        <w:tblW w:w="7948" w:type="dxa"/>
        <w:jc w:val="center"/>
        <w:tblLayout w:type="fixed"/>
        <w:tblCellMar>
          <w:top w:w="15" w:type="dxa"/>
          <w:left w:w="15" w:type="dxa"/>
          <w:bottom w:w="15" w:type="dxa"/>
          <w:right w:w="15" w:type="dxa"/>
        </w:tblCellMar>
      </w:tblPr>
      <w:tblGrid>
        <w:gridCol w:w="2834"/>
        <w:gridCol w:w="1114"/>
        <w:gridCol w:w="1134"/>
        <w:gridCol w:w="1218"/>
        <w:gridCol w:w="767"/>
        <w:gridCol w:w="881"/>
      </w:tblGrid>
      <w:tr w14:paraId="498F9BF2">
        <w:tblPrEx>
          <w:tblCellMar>
            <w:top w:w="15" w:type="dxa"/>
            <w:left w:w="15" w:type="dxa"/>
            <w:bottom w:w="15" w:type="dxa"/>
            <w:right w:w="15" w:type="dxa"/>
          </w:tblCellMar>
        </w:tblPrEx>
        <w:trPr>
          <w:trHeight w:val="525" w:hRule="atLeast"/>
          <w:jc w:val="center"/>
        </w:trPr>
        <w:tc>
          <w:tcPr>
            <w:tcW w:w="2834" w:type="dxa"/>
            <w:tcBorders>
              <w:top w:val="single" w:color="auto" w:sz="4" w:space="0"/>
              <w:left w:val="single" w:color="auto" w:sz="4" w:space="0"/>
              <w:bottom w:val="single" w:color="auto" w:sz="4" w:space="0"/>
              <w:right w:val="single" w:color="auto" w:sz="4" w:space="0"/>
            </w:tcBorders>
            <w:vAlign w:val="center"/>
          </w:tcPr>
          <w:p w14:paraId="151DF25C">
            <w:pPr>
              <w:spacing w:after="0" w:line="540" w:lineRule="exact"/>
              <w:jc w:val="center"/>
              <w:textAlignment w:val="baseline"/>
              <w:rPr>
                <w:rFonts w:cs="Times New Roman" w:asciiTheme="minorEastAsia" w:hAnsiTheme="minorEastAsia" w:eastAsiaTheme="minorEastAsia"/>
                <w:b/>
                <w:bCs/>
                <w:sz w:val="21"/>
                <w:szCs w:val="21"/>
                <w:u w:color="000000"/>
              </w:rPr>
            </w:pPr>
            <w:r>
              <w:rPr>
                <w:rFonts w:hint="eastAsia" w:cs="Times New Roman" w:asciiTheme="minorEastAsia" w:hAnsiTheme="minorEastAsia" w:eastAsiaTheme="minorEastAsia"/>
                <w:b/>
                <w:bCs/>
                <w:sz w:val="21"/>
                <w:szCs w:val="21"/>
                <w:u w:color="000000"/>
              </w:rPr>
              <w:t>调查项目</w:t>
            </w:r>
          </w:p>
        </w:tc>
        <w:tc>
          <w:tcPr>
            <w:tcW w:w="1114" w:type="dxa"/>
            <w:tcBorders>
              <w:top w:val="single" w:color="auto" w:sz="4" w:space="0"/>
              <w:left w:val="single" w:color="auto" w:sz="4" w:space="0"/>
              <w:bottom w:val="single" w:color="auto" w:sz="4" w:space="0"/>
              <w:right w:val="single" w:color="auto" w:sz="4" w:space="0"/>
            </w:tcBorders>
            <w:vAlign w:val="center"/>
          </w:tcPr>
          <w:p w14:paraId="14A26425">
            <w:pPr>
              <w:spacing w:after="0" w:line="540" w:lineRule="exact"/>
              <w:jc w:val="center"/>
              <w:textAlignment w:val="baseline"/>
              <w:rPr>
                <w:rFonts w:cs="Times New Roman" w:asciiTheme="minorEastAsia" w:hAnsiTheme="minorEastAsia" w:eastAsiaTheme="minorEastAsia"/>
                <w:b/>
                <w:bCs/>
                <w:sz w:val="21"/>
                <w:szCs w:val="21"/>
                <w:u w:color="000000"/>
              </w:rPr>
            </w:pPr>
            <w:r>
              <w:rPr>
                <w:rFonts w:hint="eastAsia" w:cs="Times New Roman" w:asciiTheme="minorEastAsia" w:hAnsiTheme="minorEastAsia" w:eastAsiaTheme="minorEastAsia"/>
                <w:b/>
                <w:bCs/>
                <w:sz w:val="21"/>
                <w:szCs w:val="21"/>
                <w:u w:color="000000"/>
              </w:rPr>
              <w:t>满意</w:t>
            </w:r>
          </w:p>
        </w:tc>
        <w:tc>
          <w:tcPr>
            <w:tcW w:w="1134" w:type="dxa"/>
            <w:tcBorders>
              <w:top w:val="single" w:color="auto" w:sz="4" w:space="0"/>
              <w:left w:val="single" w:color="auto" w:sz="4" w:space="0"/>
              <w:bottom w:val="single" w:color="auto" w:sz="4" w:space="0"/>
              <w:right w:val="single" w:color="auto" w:sz="4" w:space="0"/>
            </w:tcBorders>
            <w:vAlign w:val="center"/>
          </w:tcPr>
          <w:p w14:paraId="01E09A0C">
            <w:pPr>
              <w:spacing w:after="0" w:line="540" w:lineRule="exact"/>
              <w:jc w:val="center"/>
              <w:textAlignment w:val="baseline"/>
              <w:rPr>
                <w:rFonts w:cs="Times New Roman" w:asciiTheme="minorEastAsia" w:hAnsiTheme="minorEastAsia" w:eastAsiaTheme="minorEastAsia"/>
                <w:b/>
                <w:bCs/>
                <w:sz w:val="21"/>
                <w:szCs w:val="21"/>
                <w:u w:color="000000"/>
              </w:rPr>
            </w:pPr>
            <w:r>
              <w:rPr>
                <w:rFonts w:hint="eastAsia" w:cs="Times New Roman" w:asciiTheme="minorEastAsia" w:hAnsiTheme="minorEastAsia" w:eastAsiaTheme="minorEastAsia"/>
                <w:b/>
                <w:bCs/>
                <w:sz w:val="21"/>
                <w:szCs w:val="21"/>
                <w:u w:color="000000"/>
              </w:rPr>
              <w:t>一般</w:t>
            </w:r>
          </w:p>
        </w:tc>
        <w:tc>
          <w:tcPr>
            <w:tcW w:w="1218" w:type="dxa"/>
            <w:tcBorders>
              <w:top w:val="single" w:color="auto" w:sz="4" w:space="0"/>
              <w:left w:val="single" w:color="auto" w:sz="4" w:space="0"/>
              <w:bottom w:val="single" w:color="auto" w:sz="4" w:space="0"/>
              <w:right w:val="single" w:color="auto" w:sz="4" w:space="0"/>
            </w:tcBorders>
            <w:vAlign w:val="center"/>
          </w:tcPr>
          <w:p w14:paraId="158C16C2">
            <w:pPr>
              <w:spacing w:after="0" w:line="540" w:lineRule="exact"/>
              <w:jc w:val="center"/>
              <w:textAlignment w:val="baseline"/>
              <w:rPr>
                <w:rFonts w:cs="Times New Roman" w:asciiTheme="minorEastAsia" w:hAnsiTheme="minorEastAsia" w:eastAsiaTheme="minorEastAsia"/>
                <w:b/>
                <w:bCs/>
                <w:sz w:val="21"/>
                <w:szCs w:val="21"/>
                <w:u w:color="000000"/>
              </w:rPr>
            </w:pPr>
            <w:r>
              <w:rPr>
                <w:rFonts w:hint="eastAsia" w:cs="Times New Roman" w:asciiTheme="minorEastAsia" w:hAnsiTheme="minorEastAsia" w:eastAsiaTheme="minorEastAsia"/>
                <w:b/>
                <w:bCs/>
                <w:sz w:val="21"/>
                <w:szCs w:val="21"/>
                <w:u w:color="000000"/>
              </w:rPr>
              <w:t>不满意</w:t>
            </w:r>
          </w:p>
        </w:tc>
        <w:tc>
          <w:tcPr>
            <w:tcW w:w="767" w:type="dxa"/>
            <w:tcBorders>
              <w:top w:val="single" w:color="auto" w:sz="4" w:space="0"/>
              <w:left w:val="single" w:color="auto" w:sz="4" w:space="0"/>
              <w:bottom w:val="single" w:color="auto" w:sz="4" w:space="0"/>
              <w:right w:val="single" w:color="auto" w:sz="4" w:space="0"/>
            </w:tcBorders>
            <w:vAlign w:val="center"/>
          </w:tcPr>
          <w:p w14:paraId="335B7B9F">
            <w:pPr>
              <w:spacing w:after="0" w:line="540" w:lineRule="exact"/>
              <w:jc w:val="center"/>
              <w:textAlignment w:val="baseline"/>
              <w:rPr>
                <w:rFonts w:cs="Times New Roman" w:asciiTheme="minorEastAsia" w:hAnsiTheme="minorEastAsia" w:eastAsiaTheme="minorEastAsia"/>
                <w:b/>
                <w:bCs/>
                <w:sz w:val="21"/>
                <w:szCs w:val="21"/>
                <w:u w:color="000000"/>
              </w:rPr>
            </w:pPr>
            <w:r>
              <w:rPr>
                <w:rFonts w:hint="eastAsia" w:cs="Times New Roman" w:asciiTheme="minorEastAsia" w:hAnsiTheme="minorEastAsia" w:eastAsiaTheme="minorEastAsia"/>
                <w:b/>
                <w:bCs/>
                <w:sz w:val="21"/>
                <w:szCs w:val="21"/>
                <w:u w:color="000000"/>
              </w:rPr>
              <w:t>合计</w:t>
            </w:r>
          </w:p>
        </w:tc>
        <w:tc>
          <w:tcPr>
            <w:tcW w:w="881" w:type="dxa"/>
            <w:tcBorders>
              <w:top w:val="single" w:color="auto" w:sz="4" w:space="0"/>
              <w:left w:val="single" w:color="auto" w:sz="4" w:space="0"/>
              <w:bottom w:val="single" w:color="auto" w:sz="4" w:space="0"/>
              <w:right w:val="single" w:color="auto" w:sz="4" w:space="0"/>
            </w:tcBorders>
            <w:vAlign w:val="center"/>
          </w:tcPr>
          <w:p w14:paraId="308C4616">
            <w:pPr>
              <w:spacing w:after="0" w:line="540" w:lineRule="exact"/>
              <w:jc w:val="center"/>
              <w:textAlignment w:val="baseline"/>
              <w:rPr>
                <w:rFonts w:cs="Times New Roman" w:asciiTheme="minorEastAsia" w:hAnsiTheme="minorEastAsia" w:eastAsiaTheme="minorEastAsia"/>
                <w:b/>
                <w:bCs/>
                <w:sz w:val="21"/>
                <w:szCs w:val="21"/>
                <w:u w:color="000000"/>
              </w:rPr>
            </w:pPr>
            <w:r>
              <w:rPr>
                <w:rFonts w:hint="eastAsia" w:cs="Times New Roman" w:asciiTheme="minorEastAsia" w:hAnsiTheme="minorEastAsia" w:eastAsiaTheme="minorEastAsia"/>
                <w:b/>
                <w:bCs/>
                <w:sz w:val="21"/>
                <w:szCs w:val="21"/>
                <w:u w:color="000000"/>
              </w:rPr>
              <w:t>单项得分</w:t>
            </w:r>
          </w:p>
        </w:tc>
      </w:tr>
      <w:tr w14:paraId="690B94EF">
        <w:tblPrEx>
          <w:tblCellMar>
            <w:top w:w="15" w:type="dxa"/>
            <w:left w:w="15" w:type="dxa"/>
            <w:bottom w:w="15" w:type="dxa"/>
            <w:right w:w="15" w:type="dxa"/>
          </w:tblCellMar>
        </w:tblPrEx>
        <w:trPr>
          <w:trHeight w:val="590" w:hRule="atLeast"/>
          <w:jc w:val="center"/>
        </w:trPr>
        <w:tc>
          <w:tcPr>
            <w:tcW w:w="2834" w:type="dxa"/>
            <w:tcBorders>
              <w:top w:val="single" w:color="000000" w:sz="4" w:space="0"/>
              <w:left w:val="single" w:color="000000" w:sz="4" w:space="0"/>
              <w:bottom w:val="single" w:color="000000" w:sz="4" w:space="0"/>
              <w:right w:val="single" w:color="000000" w:sz="4" w:space="0"/>
            </w:tcBorders>
            <w:vAlign w:val="center"/>
          </w:tcPr>
          <w:p w14:paraId="7B9264FF">
            <w:pPr>
              <w:spacing w:after="0" w:line="360" w:lineRule="auto"/>
              <w:jc w:val="both"/>
              <w:textAlignment w:val="baseline"/>
              <w:rPr>
                <w:rFonts w:cs="Times New Roman" w:asciiTheme="minorEastAsia" w:hAnsiTheme="minorEastAsia" w:eastAsiaTheme="minorEastAsia"/>
                <w:sz w:val="21"/>
                <w:szCs w:val="21"/>
                <w:u w:color="000000"/>
              </w:rPr>
            </w:pPr>
            <w:r>
              <w:rPr>
                <w:rFonts w:hint="eastAsia" w:cs="Times New Roman" w:asciiTheme="minorEastAsia" w:hAnsiTheme="minorEastAsia" w:eastAsiaTheme="minorEastAsia"/>
                <w:sz w:val="21"/>
                <w:szCs w:val="21"/>
                <w:u w:color="000000"/>
              </w:rPr>
              <w:t>某项具体工作</w:t>
            </w:r>
          </w:p>
        </w:tc>
        <w:tc>
          <w:tcPr>
            <w:tcW w:w="1114" w:type="dxa"/>
            <w:tcBorders>
              <w:top w:val="single" w:color="000000" w:sz="4" w:space="0"/>
              <w:left w:val="single" w:color="000000" w:sz="4" w:space="0"/>
              <w:bottom w:val="single" w:color="000000" w:sz="4" w:space="0"/>
              <w:right w:val="single" w:color="000000" w:sz="4" w:space="0"/>
            </w:tcBorders>
            <w:vAlign w:val="center"/>
          </w:tcPr>
          <w:p w14:paraId="106621B6">
            <w:pPr>
              <w:spacing w:after="0" w:line="360" w:lineRule="auto"/>
              <w:jc w:val="center"/>
              <w:textAlignment w:val="baseline"/>
              <w:rPr>
                <w:rFonts w:hint="default" w:cs="Times New Roman" w:asciiTheme="minorEastAsia" w:hAnsiTheme="minorEastAsia" w:eastAsiaTheme="minorEastAsia"/>
                <w:sz w:val="21"/>
                <w:szCs w:val="21"/>
                <w:u w:color="000000"/>
                <w:lang w:val="en-US"/>
              </w:rPr>
            </w:pPr>
            <w:r>
              <w:rPr>
                <w:rFonts w:hint="default" w:cs="Times New Roman" w:asciiTheme="minorEastAsia" w:hAnsiTheme="minorEastAsia" w:eastAsiaTheme="minorEastAsia"/>
                <w:sz w:val="21"/>
                <w:szCs w:val="21"/>
                <w:u w:color="000000"/>
                <w:lang w:val="en-US"/>
              </w:rPr>
              <w:t>100</w:t>
            </w:r>
          </w:p>
        </w:tc>
        <w:tc>
          <w:tcPr>
            <w:tcW w:w="1134" w:type="dxa"/>
            <w:tcBorders>
              <w:top w:val="single" w:color="000000" w:sz="4" w:space="0"/>
              <w:left w:val="single" w:color="000000" w:sz="4" w:space="0"/>
              <w:bottom w:val="single" w:color="000000" w:sz="4" w:space="0"/>
              <w:right w:val="single" w:color="000000" w:sz="4" w:space="0"/>
            </w:tcBorders>
            <w:vAlign w:val="center"/>
          </w:tcPr>
          <w:p w14:paraId="0E95AE67">
            <w:pPr>
              <w:spacing w:after="0" w:line="360" w:lineRule="auto"/>
              <w:jc w:val="center"/>
              <w:textAlignment w:val="baseline"/>
              <w:rPr>
                <w:rFonts w:hint="default" w:cs="Times New Roman" w:asciiTheme="minorEastAsia" w:hAnsiTheme="minorEastAsia" w:eastAsiaTheme="minorEastAsia"/>
                <w:sz w:val="21"/>
                <w:szCs w:val="21"/>
                <w:u w:color="000000"/>
                <w:lang w:val="en-US"/>
              </w:rPr>
            </w:pPr>
            <w:r>
              <w:rPr>
                <w:rFonts w:hint="default" w:cs="Times New Roman" w:asciiTheme="minorEastAsia" w:hAnsiTheme="minorEastAsia" w:eastAsiaTheme="minorEastAsia"/>
                <w:sz w:val="21"/>
                <w:szCs w:val="21"/>
                <w:u w:color="000000"/>
                <w:lang w:val="en-US"/>
              </w:rPr>
              <w:t>50</w:t>
            </w:r>
          </w:p>
        </w:tc>
        <w:tc>
          <w:tcPr>
            <w:tcW w:w="1218" w:type="dxa"/>
            <w:tcBorders>
              <w:top w:val="single" w:color="000000" w:sz="4" w:space="0"/>
              <w:left w:val="single" w:color="000000" w:sz="4" w:space="0"/>
              <w:bottom w:val="single" w:color="000000" w:sz="4" w:space="0"/>
              <w:right w:val="single" w:color="000000" w:sz="4" w:space="0"/>
            </w:tcBorders>
            <w:vAlign w:val="center"/>
          </w:tcPr>
          <w:p w14:paraId="74D10BB3">
            <w:pPr>
              <w:spacing w:after="0" w:line="360" w:lineRule="auto"/>
              <w:jc w:val="center"/>
              <w:textAlignment w:val="baseline"/>
              <w:rPr>
                <w:rFonts w:cs="Times New Roman" w:asciiTheme="minorEastAsia" w:hAnsiTheme="minorEastAsia" w:eastAsiaTheme="minorEastAsia"/>
                <w:sz w:val="21"/>
                <w:szCs w:val="21"/>
                <w:u w:color="000000"/>
              </w:rPr>
            </w:pPr>
            <w:r>
              <w:rPr>
                <w:rFonts w:hint="default" w:cs="Times New Roman" w:asciiTheme="minorEastAsia" w:hAnsiTheme="minorEastAsia" w:eastAsiaTheme="minorEastAsia"/>
                <w:sz w:val="21"/>
                <w:szCs w:val="21"/>
                <w:u w:color="000000"/>
                <w:lang w:val="en-US"/>
              </w:rPr>
              <w:t>0</w:t>
            </w:r>
          </w:p>
        </w:tc>
        <w:tc>
          <w:tcPr>
            <w:tcW w:w="767" w:type="dxa"/>
            <w:tcBorders>
              <w:top w:val="single" w:color="000000" w:sz="4" w:space="0"/>
              <w:left w:val="single" w:color="000000" w:sz="4" w:space="0"/>
              <w:bottom w:val="single" w:color="000000" w:sz="4" w:space="0"/>
              <w:right w:val="single" w:color="000000" w:sz="4" w:space="0"/>
            </w:tcBorders>
            <w:vAlign w:val="center"/>
          </w:tcPr>
          <w:p w14:paraId="121807E5">
            <w:pPr>
              <w:spacing w:after="0" w:line="360" w:lineRule="auto"/>
              <w:jc w:val="center"/>
              <w:textAlignment w:val="baseline"/>
              <w:rPr>
                <w:rFonts w:cs="Times New Roman" w:asciiTheme="minorEastAsia" w:hAnsiTheme="minorEastAsia" w:eastAsiaTheme="minorEastAsia"/>
                <w:sz w:val="21"/>
                <w:szCs w:val="21"/>
                <w:u w:color="000000"/>
              </w:rPr>
            </w:pPr>
            <w:r>
              <w:rPr>
                <w:rFonts w:cs="Times New Roman" w:asciiTheme="minorEastAsia" w:hAnsiTheme="minorEastAsia" w:eastAsiaTheme="minorEastAsia"/>
                <w:sz w:val="21"/>
                <w:szCs w:val="21"/>
                <w:u w:color="000000"/>
              </w:rPr>
              <w:t>50</w:t>
            </w:r>
          </w:p>
        </w:tc>
        <w:tc>
          <w:tcPr>
            <w:tcW w:w="881" w:type="dxa"/>
            <w:tcBorders>
              <w:top w:val="single" w:color="000000" w:sz="4" w:space="0"/>
              <w:left w:val="single" w:color="000000" w:sz="4" w:space="0"/>
              <w:bottom w:val="single" w:color="000000" w:sz="4" w:space="0"/>
              <w:right w:val="single" w:color="000000" w:sz="4" w:space="0"/>
            </w:tcBorders>
            <w:vAlign w:val="center"/>
          </w:tcPr>
          <w:p w14:paraId="418A04EC">
            <w:pPr>
              <w:spacing w:after="0" w:line="360" w:lineRule="auto"/>
              <w:jc w:val="center"/>
              <w:textAlignment w:val="baseline"/>
              <w:rPr>
                <w:rFonts w:hint="default" w:cs="Times New Roman" w:asciiTheme="minorEastAsia" w:hAnsiTheme="minorEastAsia" w:eastAsiaTheme="minorEastAsia"/>
                <w:sz w:val="21"/>
                <w:szCs w:val="21"/>
                <w:highlight w:val="none"/>
                <w:u w:color="000000"/>
                <w:lang w:val="en-US"/>
              </w:rPr>
            </w:pPr>
            <w:r>
              <w:rPr>
                <w:rFonts w:hint="default" w:cs="Times New Roman" w:asciiTheme="minorEastAsia" w:hAnsiTheme="minorEastAsia" w:eastAsiaTheme="minorEastAsia"/>
                <w:sz w:val="21"/>
                <w:szCs w:val="21"/>
                <w:highlight w:val="none"/>
                <w:u w:color="000000"/>
                <w:lang w:val="en-US"/>
              </w:rPr>
              <w:t>98</w:t>
            </w:r>
          </w:p>
        </w:tc>
      </w:tr>
      <w:tr w14:paraId="248B9136">
        <w:tblPrEx>
          <w:tblCellMar>
            <w:top w:w="15" w:type="dxa"/>
            <w:left w:w="15" w:type="dxa"/>
            <w:bottom w:w="15" w:type="dxa"/>
            <w:right w:w="15" w:type="dxa"/>
          </w:tblCellMar>
        </w:tblPrEx>
        <w:trPr>
          <w:trHeight w:val="510" w:hRule="atLeast"/>
          <w:jc w:val="center"/>
        </w:trPr>
        <w:tc>
          <w:tcPr>
            <w:tcW w:w="2834" w:type="dxa"/>
            <w:tcBorders>
              <w:top w:val="single" w:color="000000" w:sz="4" w:space="0"/>
              <w:left w:val="single" w:color="000000" w:sz="4" w:space="0"/>
              <w:bottom w:val="single" w:color="000000" w:sz="4" w:space="0"/>
              <w:right w:val="single" w:color="000000" w:sz="4" w:space="0"/>
            </w:tcBorders>
            <w:vAlign w:val="center"/>
          </w:tcPr>
          <w:p w14:paraId="4DE8A358">
            <w:pPr>
              <w:spacing w:after="0" w:line="360" w:lineRule="auto"/>
              <w:jc w:val="both"/>
              <w:textAlignment w:val="baseline"/>
              <w:rPr>
                <w:rFonts w:cs="Times New Roman" w:asciiTheme="minorEastAsia" w:hAnsiTheme="minorEastAsia" w:eastAsiaTheme="minorEastAsia"/>
                <w:sz w:val="21"/>
                <w:szCs w:val="21"/>
                <w:u w:color="000000"/>
              </w:rPr>
            </w:pPr>
            <w:r>
              <w:rPr>
                <w:rFonts w:hint="eastAsia" w:cs="Times New Roman" w:asciiTheme="minorEastAsia" w:hAnsiTheme="minorEastAsia" w:eastAsiaTheme="minorEastAsia"/>
                <w:sz w:val="21"/>
                <w:szCs w:val="21"/>
                <w:u w:color="000000"/>
              </w:rPr>
              <w:t>某项具体工作是否满意</w:t>
            </w:r>
          </w:p>
        </w:tc>
        <w:tc>
          <w:tcPr>
            <w:tcW w:w="1114" w:type="dxa"/>
            <w:tcBorders>
              <w:top w:val="single" w:color="000000" w:sz="4" w:space="0"/>
              <w:left w:val="single" w:color="000000" w:sz="4" w:space="0"/>
              <w:bottom w:val="single" w:color="000000" w:sz="4" w:space="0"/>
              <w:right w:val="single" w:color="000000" w:sz="4" w:space="0"/>
            </w:tcBorders>
            <w:vAlign w:val="center"/>
          </w:tcPr>
          <w:p w14:paraId="5AE34354">
            <w:pPr>
              <w:spacing w:after="0" w:line="360" w:lineRule="auto"/>
              <w:jc w:val="center"/>
              <w:textAlignment w:val="baseline"/>
              <w:rPr>
                <w:rFonts w:cs="Times New Roman" w:asciiTheme="minorEastAsia" w:hAnsiTheme="minorEastAsia" w:eastAsiaTheme="minorEastAsia"/>
                <w:sz w:val="21"/>
                <w:szCs w:val="21"/>
                <w:u w:color="000000"/>
              </w:rPr>
            </w:pPr>
            <w:r>
              <w:rPr>
                <w:rFonts w:hint="default" w:cs="Times New Roman" w:asciiTheme="minorEastAsia" w:hAnsiTheme="minorEastAsia" w:eastAsiaTheme="minorEastAsia"/>
                <w:sz w:val="21"/>
                <w:szCs w:val="21"/>
                <w:u w:color="000000"/>
                <w:lang w:val="en-US"/>
              </w:rPr>
              <w:t>100</w:t>
            </w:r>
          </w:p>
        </w:tc>
        <w:tc>
          <w:tcPr>
            <w:tcW w:w="1134" w:type="dxa"/>
            <w:tcBorders>
              <w:top w:val="single" w:color="000000" w:sz="4" w:space="0"/>
              <w:left w:val="single" w:color="000000" w:sz="4" w:space="0"/>
              <w:bottom w:val="single" w:color="000000" w:sz="4" w:space="0"/>
              <w:right w:val="single" w:color="000000" w:sz="4" w:space="0"/>
            </w:tcBorders>
            <w:vAlign w:val="center"/>
          </w:tcPr>
          <w:p w14:paraId="0D740C5F">
            <w:pPr>
              <w:spacing w:after="0" w:line="360" w:lineRule="auto"/>
              <w:jc w:val="center"/>
              <w:textAlignment w:val="baseline"/>
              <w:rPr>
                <w:rFonts w:cs="Times New Roman" w:asciiTheme="minorEastAsia" w:hAnsiTheme="minorEastAsia" w:eastAsiaTheme="minorEastAsia"/>
                <w:sz w:val="21"/>
                <w:szCs w:val="21"/>
                <w:u w:color="000000"/>
              </w:rPr>
            </w:pPr>
            <w:r>
              <w:rPr>
                <w:rFonts w:hint="default" w:cs="Times New Roman" w:asciiTheme="minorEastAsia" w:hAnsiTheme="minorEastAsia" w:eastAsiaTheme="minorEastAsia"/>
                <w:sz w:val="21"/>
                <w:szCs w:val="21"/>
                <w:u w:color="000000"/>
                <w:lang w:val="en-US"/>
              </w:rPr>
              <w:t>50</w:t>
            </w:r>
          </w:p>
        </w:tc>
        <w:tc>
          <w:tcPr>
            <w:tcW w:w="1218" w:type="dxa"/>
            <w:tcBorders>
              <w:top w:val="single" w:color="000000" w:sz="4" w:space="0"/>
              <w:left w:val="single" w:color="000000" w:sz="4" w:space="0"/>
              <w:bottom w:val="single" w:color="000000" w:sz="4" w:space="0"/>
              <w:right w:val="single" w:color="000000" w:sz="4" w:space="0"/>
            </w:tcBorders>
            <w:vAlign w:val="center"/>
          </w:tcPr>
          <w:p w14:paraId="47788A13">
            <w:pPr>
              <w:spacing w:after="0" w:line="360" w:lineRule="auto"/>
              <w:jc w:val="center"/>
              <w:textAlignment w:val="baseline"/>
              <w:rPr>
                <w:rFonts w:cs="Times New Roman" w:asciiTheme="minorEastAsia" w:hAnsiTheme="minorEastAsia" w:eastAsiaTheme="minorEastAsia"/>
                <w:sz w:val="21"/>
                <w:szCs w:val="21"/>
                <w:u w:color="000000"/>
              </w:rPr>
            </w:pPr>
            <w:r>
              <w:rPr>
                <w:rFonts w:hint="default" w:cs="Times New Roman" w:asciiTheme="minorEastAsia" w:hAnsiTheme="minorEastAsia" w:eastAsiaTheme="minorEastAsia"/>
                <w:sz w:val="21"/>
                <w:szCs w:val="21"/>
                <w:u w:color="000000"/>
                <w:lang w:val="en-US"/>
              </w:rPr>
              <w:t>0</w:t>
            </w:r>
          </w:p>
        </w:tc>
        <w:tc>
          <w:tcPr>
            <w:tcW w:w="767" w:type="dxa"/>
            <w:tcBorders>
              <w:top w:val="single" w:color="000000" w:sz="4" w:space="0"/>
              <w:left w:val="single" w:color="000000" w:sz="4" w:space="0"/>
              <w:bottom w:val="single" w:color="000000" w:sz="4" w:space="0"/>
              <w:right w:val="single" w:color="000000" w:sz="4" w:space="0"/>
            </w:tcBorders>
            <w:vAlign w:val="center"/>
          </w:tcPr>
          <w:p w14:paraId="0894AC24">
            <w:pPr>
              <w:spacing w:after="0" w:line="360" w:lineRule="auto"/>
              <w:jc w:val="center"/>
              <w:textAlignment w:val="baseline"/>
              <w:rPr>
                <w:rFonts w:cs="Times New Roman" w:asciiTheme="minorEastAsia" w:hAnsiTheme="minorEastAsia" w:eastAsiaTheme="minorEastAsia"/>
                <w:sz w:val="21"/>
                <w:szCs w:val="21"/>
                <w:u w:color="000000"/>
              </w:rPr>
            </w:pPr>
            <w:r>
              <w:rPr>
                <w:rFonts w:cs="Times New Roman" w:asciiTheme="minorEastAsia" w:hAnsiTheme="minorEastAsia" w:eastAsiaTheme="minorEastAsia"/>
                <w:sz w:val="21"/>
                <w:szCs w:val="21"/>
                <w:u w:color="000000"/>
              </w:rPr>
              <w:t>50</w:t>
            </w:r>
          </w:p>
        </w:tc>
        <w:tc>
          <w:tcPr>
            <w:tcW w:w="881" w:type="dxa"/>
            <w:tcBorders>
              <w:top w:val="single" w:color="000000" w:sz="4" w:space="0"/>
              <w:left w:val="single" w:color="000000" w:sz="4" w:space="0"/>
              <w:bottom w:val="single" w:color="000000" w:sz="4" w:space="0"/>
              <w:right w:val="single" w:color="000000" w:sz="4" w:space="0"/>
            </w:tcBorders>
            <w:vAlign w:val="center"/>
          </w:tcPr>
          <w:p w14:paraId="5937F3D6">
            <w:pPr>
              <w:spacing w:after="0" w:line="360" w:lineRule="auto"/>
              <w:jc w:val="center"/>
              <w:textAlignment w:val="baseline"/>
              <w:rPr>
                <w:rFonts w:hint="default" w:cs="Times New Roman" w:asciiTheme="minorEastAsia" w:hAnsiTheme="minorEastAsia" w:eastAsiaTheme="minorEastAsia"/>
                <w:sz w:val="21"/>
                <w:szCs w:val="21"/>
                <w:highlight w:val="none"/>
                <w:u w:color="000000"/>
                <w:lang w:val="en-US"/>
              </w:rPr>
            </w:pPr>
            <w:r>
              <w:rPr>
                <w:rFonts w:hint="default" w:cs="Times New Roman" w:asciiTheme="minorEastAsia" w:hAnsiTheme="minorEastAsia" w:eastAsiaTheme="minorEastAsia"/>
                <w:sz w:val="21"/>
                <w:szCs w:val="21"/>
                <w:highlight w:val="none"/>
                <w:u w:color="000000"/>
                <w:lang w:val="en-US"/>
              </w:rPr>
              <w:t>98</w:t>
            </w:r>
          </w:p>
        </w:tc>
      </w:tr>
      <w:tr w14:paraId="638B6D44">
        <w:tblPrEx>
          <w:tblCellMar>
            <w:top w:w="15" w:type="dxa"/>
            <w:left w:w="15" w:type="dxa"/>
            <w:bottom w:w="15" w:type="dxa"/>
            <w:right w:w="15" w:type="dxa"/>
          </w:tblCellMar>
        </w:tblPrEx>
        <w:trPr>
          <w:trHeight w:val="585" w:hRule="atLeast"/>
          <w:jc w:val="center"/>
        </w:trPr>
        <w:tc>
          <w:tcPr>
            <w:tcW w:w="2834" w:type="dxa"/>
            <w:tcBorders>
              <w:top w:val="single" w:color="000000" w:sz="4" w:space="0"/>
              <w:left w:val="single" w:color="000000" w:sz="4" w:space="0"/>
              <w:bottom w:val="single" w:color="000000" w:sz="4" w:space="0"/>
              <w:right w:val="single" w:color="000000" w:sz="4" w:space="0"/>
            </w:tcBorders>
            <w:vAlign w:val="center"/>
          </w:tcPr>
          <w:p w14:paraId="3DEBDD8D">
            <w:pPr>
              <w:spacing w:after="0" w:line="360" w:lineRule="auto"/>
              <w:jc w:val="both"/>
              <w:textAlignment w:val="baseline"/>
              <w:rPr>
                <w:rFonts w:cs="Times New Roman" w:asciiTheme="minorEastAsia" w:hAnsiTheme="minorEastAsia" w:eastAsiaTheme="minorEastAsia"/>
                <w:sz w:val="21"/>
                <w:szCs w:val="21"/>
                <w:u w:color="000000"/>
              </w:rPr>
            </w:pPr>
            <w:r>
              <w:rPr>
                <w:rFonts w:hint="eastAsia" w:cs="Times New Roman" w:asciiTheme="minorEastAsia" w:hAnsiTheme="minorEastAsia" w:eastAsiaTheme="minorEastAsia"/>
                <w:sz w:val="21"/>
                <w:szCs w:val="21"/>
                <w:u w:color="000000"/>
              </w:rPr>
              <w:t>您对某项具体工作了解程度如何</w:t>
            </w:r>
          </w:p>
        </w:tc>
        <w:tc>
          <w:tcPr>
            <w:tcW w:w="1114" w:type="dxa"/>
            <w:tcBorders>
              <w:top w:val="single" w:color="000000" w:sz="4" w:space="0"/>
              <w:left w:val="single" w:color="000000" w:sz="4" w:space="0"/>
              <w:bottom w:val="single" w:color="000000" w:sz="4" w:space="0"/>
              <w:right w:val="single" w:color="000000" w:sz="4" w:space="0"/>
            </w:tcBorders>
            <w:vAlign w:val="center"/>
          </w:tcPr>
          <w:p w14:paraId="68247294">
            <w:pPr>
              <w:spacing w:after="0" w:line="360" w:lineRule="auto"/>
              <w:jc w:val="center"/>
              <w:textAlignment w:val="baseline"/>
              <w:rPr>
                <w:rFonts w:cs="Times New Roman" w:asciiTheme="minorEastAsia" w:hAnsiTheme="minorEastAsia" w:eastAsiaTheme="minorEastAsia"/>
                <w:sz w:val="21"/>
                <w:szCs w:val="21"/>
                <w:u w:color="000000"/>
              </w:rPr>
            </w:pPr>
            <w:r>
              <w:rPr>
                <w:rFonts w:hint="default" w:cs="Times New Roman" w:asciiTheme="minorEastAsia" w:hAnsiTheme="minorEastAsia" w:eastAsiaTheme="minorEastAsia"/>
                <w:sz w:val="21"/>
                <w:szCs w:val="21"/>
                <w:u w:color="000000"/>
                <w:lang w:val="en-US"/>
              </w:rPr>
              <w:t>100</w:t>
            </w:r>
          </w:p>
        </w:tc>
        <w:tc>
          <w:tcPr>
            <w:tcW w:w="1134" w:type="dxa"/>
            <w:tcBorders>
              <w:top w:val="single" w:color="000000" w:sz="4" w:space="0"/>
              <w:left w:val="single" w:color="000000" w:sz="4" w:space="0"/>
              <w:bottom w:val="single" w:color="000000" w:sz="4" w:space="0"/>
              <w:right w:val="single" w:color="000000" w:sz="4" w:space="0"/>
            </w:tcBorders>
            <w:vAlign w:val="center"/>
          </w:tcPr>
          <w:p w14:paraId="0E370D7E">
            <w:pPr>
              <w:spacing w:after="0" w:line="360" w:lineRule="auto"/>
              <w:jc w:val="center"/>
              <w:textAlignment w:val="baseline"/>
              <w:rPr>
                <w:rFonts w:cs="Times New Roman" w:asciiTheme="minorEastAsia" w:hAnsiTheme="minorEastAsia" w:eastAsiaTheme="minorEastAsia"/>
                <w:sz w:val="21"/>
                <w:szCs w:val="21"/>
                <w:u w:color="000000"/>
              </w:rPr>
            </w:pPr>
            <w:r>
              <w:rPr>
                <w:rFonts w:hint="default" w:cs="Times New Roman" w:asciiTheme="minorEastAsia" w:hAnsiTheme="minorEastAsia" w:eastAsiaTheme="minorEastAsia"/>
                <w:sz w:val="21"/>
                <w:szCs w:val="21"/>
                <w:u w:color="000000"/>
                <w:lang w:val="en-US"/>
              </w:rPr>
              <w:t>50</w:t>
            </w:r>
          </w:p>
        </w:tc>
        <w:tc>
          <w:tcPr>
            <w:tcW w:w="1218" w:type="dxa"/>
            <w:tcBorders>
              <w:top w:val="single" w:color="000000" w:sz="4" w:space="0"/>
              <w:left w:val="single" w:color="000000" w:sz="4" w:space="0"/>
              <w:bottom w:val="single" w:color="000000" w:sz="4" w:space="0"/>
              <w:right w:val="single" w:color="000000" w:sz="4" w:space="0"/>
            </w:tcBorders>
            <w:vAlign w:val="center"/>
          </w:tcPr>
          <w:p w14:paraId="57F348F0">
            <w:pPr>
              <w:spacing w:after="0" w:line="360" w:lineRule="auto"/>
              <w:jc w:val="center"/>
              <w:textAlignment w:val="baseline"/>
              <w:rPr>
                <w:rFonts w:cs="Times New Roman" w:asciiTheme="minorEastAsia" w:hAnsiTheme="minorEastAsia" w:eastAsiaTheme="minorEastAsia"/>
                <w:sz w:val="21"/>
                <w:szCs w:val="21"/>
                <w:u w:color="000000"/>
              </w:rPr>
            </w:pPr>
            <w:r>
              <w:rPr>
                <w:rFonts w:hint="default" w:cs="Times New Roman" w:asciiTheme="minorEastAsia" w:hAnsiTheme="minorEastAsia" w:eastAsiaTheme="minorEastAsia"/>
                <w:sz w:val="21"/>
                <w:szCs w:val="21"/>
                <w:u w:color="000000"/>
                <w:lang w:val="en-US"/>
              </w:rPr>
              <w:t>0</w:t>
            </w:r>
          </w:p>
        </w:tc>
        <w:tc>
          <w:tcPr>
            <w:tcW w:w="767" w:type="dxa"/>
            <w:tcBorders>
              <w:top w:val="single" w:color="000000" w:sz="4" w:space="0"/>
              <w:left w:val="single" w:color="000000" w:sz="4" w:space="0"/>
              <w:bottom w:val="single" w:color="000000" w:sz="4" w:space="0"/>
              <w:right w:val="single" w:color="000000" w:sz="4" w:space="0"/>
            </w:tcBorders>
            <w:vAlign w:val="center"/>
          </w:tcPr>
          <w:p w14:paraId="00033EDB">
            <w:pPr>
              <w:spacing w:after="0" w:line="360" w:lineRule="auto"/>
              <w:jc w:val="center"/>
              <w:textAlignment w:val="baseline"/>
              <w:rPr>
                <w:rFonts w:cs="Times New Roman" w:asciiTheme="minorEastAsia" w:hAnsiTheme="minorEastAsia" w:eastAsiaTheme="minorEastAsia"/>
                <w:sz w:val="21"/>
                <w:szCs w:val="21"/>
                <w:u w:color="000000"/>
              </w:rPr>
            </w:pPr>
            <w:r>
              <w:rPr>
                <w:rFonts w:cs="Times New Roman" w:asciiTheme="minorEastAsia" w:hAnsiTheme="minorEastAsia" w:eastAsiaTheme="minorEastAsia"/>
                <w:sz w:val="21"/>
                <w:szCs w:val="21"/>
                <w:u w:color="000000"/>
              </w:rPr>
              <w:t>50</w:t>
            </w:r>
          </w:p>
        </w:tc>
        <w:tc>
          <w:tcPr>
            <w:tcW w:w="881" w:type="dxa"/>
            <w:tcBorders>
              <w:top w:val="single" w:color="000000" w:sz="4" w:space="0"/>
              <w:left w:val="single" w:color="000000" w:sz="4" w:space="0"/>
              <w:bottom w:val="single" w:color="000000" w:sz="4" w:space="0"/>
              <w:right w:val="single" w:color="000000" w:sz="4" w:space="0"/>
            </w:tcBorders>
            <w:vAlign w:val="center"/>
          </w:tcPr>
          <w:p w14:paraId="69F6F2D9">
            <w:pPr>
              <w:spacing w:after="0" w:line="360" w:lineRule="auto"/>
              <w:jc w:val="center"/>
              <w:textAlignment w:val="baseline"/>
              <w:rPr>
                <w:rFonts w:hint="default" w:cs="Times New Roman" w:asciiTheme="minorEastAsia" w:hAnsiTheme="minorEastAsia" w:eastAsiaTheme="minorEastAsia"/>
                <w:sz w:val="21"/>
                <w:szCs w:val="21"/>
                <w:highlight w:val="none"/>
                <w:u w:color="000000"/>
                <w:lang w:val="en-US"/>
              </w:rPr>
            </w:pPr>
            <w:r>
              <w:rPr>
                <w:rFonts w:hint="default" w:cs="Times New Roman" w:asciiTheme="minorEastAsia" w:hAnsiTheme="minorEastAsia" w:eastAsiaTheme="minorEastAsia"/>
                <w:sz w:val="21"/>
                <w:szCs w:val="21"/>
                <w:highlight w:val="none"/>
                <w:u w:color="000000"/>
                <w:lang w:val="en-US"/>
              </w:rPr>
              <w:t>98</w:t>
            </w:r>
          </w:p>
        </w:tc>
      </w:tr>
    </w:tbl>
    <w:p w14:paraId="14579496">
      <w:pPr>
        <w:spacing w:after="0" w:line="360" w:lineRule="auto"/>
        <w:ind w:firstLine="640" w:firstLineChars="200"/>
        <w:jc w:val="both"/>
        <w:textAlignment w:val="baseline"/>
        <w:rPr>
          <w:rFonts w:ascii="仿宋_GB2312" w:eastAsia="仿宋_GB2312" w:cs="Times New Roman" w:hAnsiTheme="minorEastAsia"/>
          <w:sz w:val="32"/>
          <w:szCs w:val="32"/>
          <w:u w:color="000000"/>
        </w:rPr>
      </w:pPr>
      <w:r>
        <w:rPr>
          <w:rFonts w:hint="eastAsia" w:ascii="仿宋_GB2312" w:eastAsia="仿宋_GB2312" w:cs="Times New Roman" w:hAnsiTheme="minorEastAsia"/>
          <w:sz w:val="32"/>
          <w:szCs w:val="32"/>
          <w:u w:color="000000"/>
        </w:rPr>
        <w:t>调查问卷共分为3个单项，每个单项满分为100分。其中：每一单项满分为100分：满意为100分，一般为50分，不满意为0分。</w:t>
      </w:r>
    </w:p>
    <w:p w14:paraId="587439A4">
      <w:pPr>
        <w:spacing w:after="0" w:line="360" w:lineRule="auto"/>
        <w:ind w:firstLine="640" w:firstLineChars="200"/>
        <w:jc w:val="both"/>
        <w:textAlignment w:val="baseline"/>
        <w:rPr>
          <w:rFonts w:ascii="仿宋_GB2312" w:eastAsia="仿宋_GB2312" w:cs="Times New Roman" w:hAnsiTheme="minorEastAsia"/>
          <w:sz w:val="32"/>
          <w:szCs w:val="32"/>
          <w:u w:color="000000"/>
        </w:rPr>
      </w:pPr>
      <w:r>
        <w:rPr>
          <w:rFonts w:hint="eastAsia" w:ascii="仿宋_GB2312" w:eastAsia="仿宋_GB2312" w:cs="Times New Roman" w:hAnsiTheme="minorEastAsia"/>
          <w:sz w:val="32"/>
          <w:szCs w:val="32"/>
          <w:u w:color="000000"/>
        </w:rPr>
        <w:t>单项满意度得分=总分数/总人数</w:t>
      </w:r>
    </w:p>
    <w:p w14:paraId="50A0C246">
      <w:pPr>
        <w:spacing w:after="0" w:line="360" w:lineRule="auto"/>
        <w:ind w:firstLine="640" w:firstLineChars="200"/>
        <w:jc w:val="both"/>
        <w:textAlignment w:val="baseline"/>
        <w:rPr>
          <w:rFonts w:ascii="仿宋_GB2312" w:eastAsia="仿宋_GB2312" w:cs="Times New Roman" w:hAnsiTheme="minorEastAsia"/>
          <w:sz w:val="32"/>
          <w:szCs w:val="32"/>
          <w:u w:color="000000"/>
        </w:rPr>
      </w:pPr>
      <w:r>
        <w:rPr>
          <w:rFonts w:hint="eastAsia" w:ascii="仿宋_GB2312" w:eastAsia="仿宋_GB2312" w:cs="Times New Roman" w:hAnsiTheme="minorEastAsia"/>
          <w:sz w:val="32"/>
          <w:szCs w:val="32"/>
          <w:u w:color="000000"/>
        </w:rPr>
        <w:t>总体满意度得分=∑1/3各单项满意度得分</w:t>
      </w:r>
    </w:p>
    <w:p w14:paraId="6C0A1659">
      <w:pPr>
        <w:spacing w:after="0" w:line="360" w:lineRule="auto"/>
        <w:ind w:firstLine="640" w:firstLineChars="200"/>
        <w:jc w:val="both"/>
        <w:textAlignment w:val="baseline"/>
        <w:rPr>
          <w:rFonts w:ascii="仿宋_GB2312" w:eastAsia="仿宋_GB2312" w:cs="Times New Roman" w:hAnsiTheme="minorEastAsia"/>
          <w:sz w:val="32"/>
          <w:szCs w:val="32"/>
          <w:highlight w:val="none"/>
          <w:u w:color="000000"/>
        </w:rPr>
      </w:pPr>
      <w:r>
        <w:rPr>
          <w:rFonts w:hint="eastAsia" w:ascii="仿宋_GB2312" w:eastAsia="仿宋_GB2312" w:cs="Times New Roman" w:hAnsiTheme="minorEastAsia"/>
          <w:sz w:val="32"/>
          <w:szCs w:val="32"/>
          <w:highlight w:val="none"/>
          <w:u w:color="000000"/>
        </w:rPr>
        <w:t>经计算，总体得分为</w:t>
      </w:r>
      <w:r>
        <w:rPr>
          <w:rFonts w:hint="default" w:ascii="仿宋_GB2312" w:eastAsia="仿宋_GB2312" w:cs="Times New Roman" w:hAnsiTheme="minorEastAsia"/>
          <w:sz w:val="32"/>
          <w:szCs w:val="32"/>
          <w:highlight w:val="none"/>
          <w:u w:color="000000"/>
          <w:lang w:val="en-US"/>
        </w:rPr>
        <w:t>97.6</w:t>
      </w:r>
      <w:r>
        <w:rPr>
          <w:rFonts w:hint="eastAsia" w:ascii="仿宋_GB2312" w:eastAsia="仿宋_GB2312" w:cs="Times New Roman" w:hAnsiTheme="minorEastAsia"/>
          <w:sz w:val="32"/>
          <w:szCs w:val="32"/>
          <w:highlight w:val="none"/>
          <w:u w:color="000000"/>
        </w:rPr>
        <w:t>分，大于90分，评价等级为“</w:t>
      </w:r>
      <w:r>
        <w:rPr>
          <w:rFonts w:hint="eastAsia" w:ascii="仿宋_GB2312" w:eastAsia="仿宋_GB2312" w:cs="Times New Roman" w:hAnsiTheme="minorEastAsia"/>
          <w:sz w:val="32"/>
          <w:szCs w:val="32"/>
          <w:highlight w:val="none"/>
          <w:u w:color="000000"/>
          <w:lang w:eastAsia="zh-CN"/>
        </w:rPr>
        <w:t>优</w:t>
      </w:r>
      <w:r>
        <w:rPr>
          <w:rFonts w:hint="eastAsia" w:ascii="仿宋_GB2312" w:eastAsia="仿宋_GB2312" w:cs="Times New Roman" w:hAnsiTheme="minorEastAsia"/>
          <w:sz w:val="32"/>
          <w:szCs w:val="32"/>
          <w:highlight w:val="none"/>
          <w:u w:color="000000"/>
        </w:rPr>
        <w:t>”。</w:t>
      </w:r>
    </w:p>
    <w:p w14:paraId="1AFBFA45">
      <w:pPr>
        <w:tabs>
          <w:tab w:val="center" w:pos="4156"/>
        </w:tabs>
        <w:spacing w:after="0" w:line="360" w:lineRule="auto"/>
        <w:ind w:firstLine="640" w:firstLineChars="200"/>
        <w:jc w:val="both"/>
        <w:rPr>
          <w:rFonts w:ascii="仿宋_GB2312" w:eastAsia="仿宋_GB2312" w:cs="Times New Roman" w:hAnsiTheme="minorEastAsia"/>
          <w:sz w:val="32"/>
          <w:szCs w:val="32"/>
          <w:highlight w:val="none"/>
          <w:u w:color="000000"/>
        </w:rPr>
      </w:pPr>
      <w:r>
        <w:rPr>
          <w:rFonts w:hint="eastAsia" w:ascii="仿宋_GB2312" w:eastAsia="仿宋_GB2312" w:cs="Times New Roman" w:hAnsiTheme="minorEastAsia"/>
          <w:sz w:val="32"/>
          <w:szCs w:val="32"/>
          <w:highlight w:val="none"/>
          <w:u w:color="000000"/>
        </w:rPr>
        <w:t>该指标实际得分</w:t>
      </w:r>
      <w:r>
        <w:rPr>
          <w:rFonts w:hint="default" w:ascii="仿宋_GB2312" w:eastAsia="仿宋_GB2312" w:cs="Times New Roman" w:hAnsiTheme="minorEastAsia"/>
          <w:sz w:val="32"/>
          <w:szCs w:val="32"/>
          <w:highlight w:val="none"/>
          <w:u w:color="000000"/>
          <w:lang w:val="en-US"/>
        </w:rPr>
        <w:t>97.6</w:t>
      </w:r>
      <w:r>
        <w:rPr>
          <w:rFonts w:hint="eastAsia" w:ascii="仿宋_GB2312" w:eastAsia="仿宋_GB2312" w:cs="Times New Roman" w:hAnsiTheme="minorEastAsia"/>
          <w:sz w:val="32"/>
          <w:szCs w:val="32"/>
          <w:highlight w:val="none"/>
          <w:u w:color="000000"/>
        </w:rPr>
        <w:t>分。</w:t>
      </w:r>
      <w:r>
        <w:rPr>
          <w:rFonts w:hint="eastAsia" w:ascii="仿宋_GB2312" w:eastAsia="仿宋_GB2312" w:cs="Times New Roman" w:hAnsiTheme="minorEastAsia"/>
          <w:sz w:val="32"/>
          <w:szCs w:val="32"/>
          <w:highlight w:val="none"/>
          <w:u w:color="000000"/>
        </w:rPr>
        <w:tab/>
      </w:r>
    </w:p>
    <w:p w14:paraId="0FC7F245">
      <w:pPr>
        <w:pStyle w:val="3"/>
        <w:keepNext w:val="0"/>
        <w:keepLines w:val="0"/>
        <w:suppressLineNumbers/>
        <w:spacing w:before="0" w:after="0" w:line="360" w:lineRule="auto"/>
        <w:ind w:firstLine="643" w:firstLineChars="200"/>
        <w:rPr>
          <w:rFonts w:ascii="黑体"/>
        </w:rPr>
      </w:pPr>
      <w:bookmarkStart w:id="74" w:name="_Toc13757"/>
      <w:r>
        <w:rPr>
          <w:rFonts w:hint="eastAsia" w:ascii="黑体"/>
        </w:rPr>
        <w:t>五、绩效评价发现的问题</w:t>
      </w:r>
      <w:bookmarkEnd w:id="71"/>
      <w:bookmarkEnd w:id="72"/>
      <w:bookmarkEnd w:id="73"/>
      <w:bookmarkEnd w:id="74"/>
      <w:bookmarkStart w:id="75" w:name="_Toc492652789"/>
    </w:p>
    <w:p w14:paraId="121D7A95">
      <w:pPr>
        <w:spacing w:after="0" w:line="360" w:lineRule="auto"/>
        <w:ind w:firstLine="640" w:firstLineChars="200"/>
        <w:jc w:val="both"/>
        <w:textAlignment w:val="baseline"/>
        <w:rPr>
          <w:rFonts w:ascii="仿宋_GB2312" w:eastAsia="仿宋_GB2312" w:cs="Times New Roman" w:hAnsiTheme="minorEastAsia"/>
          <w:sz w:val="32"/>
          <w:szCs w:val="32"/>
          <w:u w:color="000000"/>
        </w:rPr>
      </w:pPr>
      <w:r>
        <w:rPr>
          <w:rFonts w:hint="eastAsia" w:ascii="仿宋_GB2312" w:eastAsia="仿宋_GB2312" w:cs="Times New Roman" w:hAnsiTheme="minorEastAsia"/>
          <w:sz w:val="32"/>
          <w:szCs w:val="32"/>
          <w:u w:color="000000"/>
        </w:rPr>
        <w:t>通过对各指标得分及扣分原因的分析，</w:t>
      </w:r>
      <w:r>
        <w:rPr>
          <w:rFonts w:hint="eastAsia" w:ascii="仿宋_GB2312" w:eastAsia="仿宋_GB2312" w:cs="DengXian-Regular"/>
          <w:sz w:val="32"/>
          <w:szCs w:val="32"/>
        </w:rPr>
        <w:t>区</w:t>
      </w:r>
      <w:r>
        <w:rPr>
          <w:rFonts w:hint="eastAsia" w:ascii="仿宋_GB2312" w:eastAsia="仿宋_GB2312" w:cs="DengXian-Regular"/>
          <w:sz w:val="32"/>
          <w:szCs w:val="32"/>
          <w:lang w:eastAsia="zh-CN"/>
        </w:rPr>
        <w:t>委政法委</w:t>
      </w:r>
      <w:r>
        <w:rPr>
          <w:rFonts w:hint="eastAsia" w:ascii="仿宋_GB2312" w:eastAsia="仿宋_GB2312" w:cs="Times New Roman" w:hAnsiTheme="minorEastAsia"/>
          <w:sz w:val="32"/>
          <w:szCs w:val="32"/>
          <w:u w:color="000000"/>
        </w:rPr>
        <w:t>202</w:t>
      </w:r>
      <w:r>
        <w:rPr>
          <w:rFonts w:ascii="仿宋_GB2312" w:eastAsia="仿宋_GB2312" w:cs="Times New Roman" w:hAnsiTheme="minorEastAsia"/>
          <w:sz w:val="32"/>
          <w:szCs w:val="32"/>
          <w:u w:color="000000"/>
        </w:rPr>
        <w:t>1</w:t>
      </w:r>
      <w:r>
        <w:rPr>
          <w:rFonts w:hint="eastAsia" w:ascii="仿宋_GB2312" w:eastAsia="仿宋_GB2312" w:cs="Times New Roman" w:hAnsiTheme="minorEastAsia"/>
          <w:sz w:val="32"/>
          <w:szCs w:val="32"/>
          <w:u w:color="000000"/>
        </w:rPr>
        <w:t>年部门整体支出基本按相关要求执行预算、决算，完成了绩效目标，资金使用效益良好。通过评价，也发现一些不足之处，具体情况如下：</w:t>
      </w:r>
      <w:bookmarkStart w:id="76" w:name="_Toc20723"/>
    </w:p>
    <w:p w14:paraId="1845B783">
      <w:pPr>
        <w:spacing w:after="0" w:line="360" w:lineRule="auto"/>
        <w:ind w:left="958" w:leftChars="290" w:hanging="320" w:hangingChars="100"/>
        <w:jc w:val="both"/>
        <w:textAlignment w:val="baseline"/>
        <w:rPr>
          <w:rFonts w:ascii="仿宋_GB2312" w:eastAsia="仿宋_GB2312" w:cs="Times New Roman" w:hAnsiTheme="minorEastAsia"/>
          <w:color w:val="000000" w:themeColor="text1"/>
          <w:sz w:val="32"/>
          <w:szCs w:val="32"/>
          <w:u w:color="000000"/>
          <w14:textFill>
            <w14:solidFill>
              <w14:schemeClr w14:val="tx1"/>
            </w14:solidFill>
          </w14:textFill>
        </w:rPr>
      </w:pPr>
      <w:r>
        <w:rPr>
          <w:rFonts w:hint="eastAsia" w:ascii="仿宋_GB2312" w:eastAsia="仿宋_GB2312" w:cs="Times New Roman" w:hAnsiTheme="minorEastAsia"/>
          <w:sz w:val="32"/>
          <w:szCs w:val="32"/>
          <w:u w:color="000000"/>
        </w:rPr>
        <w:t>1.部分绩效指标方面</w:t>
      </w:r>
      <w:r>
        <w:rPr>
          <w:rFonts w:hint="eastAsia" w:ascii="仿宋_GB2312" w:eastAsia="仿宋_GB2312" w:cs="Times New Roman" w:hAnsiTheme="minorEastAsia"/>
          <w:sz w:val="32"/>
          <w:szCs w:val="32"/>
          <w:u w:color="000000"/>
          <w:lang w:eastAsia="zh-CN"/>
        </w:rPr>
        <w:t>：</w:t>
      </w:r>
      <w:r>
        <w:rPr>
          <w:rFonts w:hint="eastAsia" w:ascii="仿宋_GB2312" w:eastAsia="仿宋_GB2312" w:cs="Times New Roman" w:hAnsiTheme="minorEastAsia"/>
          <w:color w:val="000000" w:themeColor="text1"/>
          <w:sz w:val="32"/>
          <w:szCs w:val="32"/>
          <w:u w:color="000000"/>
          <w14:textFill>
            <w14:solidFill>
              <w14:schemeClr w14:val="tx1"/>
            </w14:solidFill>
          </w14:textFill>
        </w:rPr>
        <w:t>指标设计不合理，导致评价结果和实际情况比一定相符。</w:t>
      </w:r>
    </w:p>
    <w:p w14:paraId="60B76E1B">
      <w:pPr>
        <w:spacing w:after="0" w:line="360" w:lineRule="auto"/>
        <w:ind w:firstLine="640" w:firstLineChars="200"/>
        <w:jc w:val="both"/>
        <w:textAlignment w:val="baseline"/>
        <w:rPr>
          <w:rFonts w:ascii="仿宋_GB2312" w:eastAsia="仿宋_GB2312" w:cs="Times New Roman" w:hAnsiTheme="minorEastAsia"/>
          <w:color w:val="000000" w:themeColor="text1"/>
          <w:sz w:val="32"/>
          <w:szCs w:val="32"/>
          <w:u w:color="000000"/>
          <w14:textFill>
            <w14:solidFill>
              <w14:schemeClr w14:val="tx1"/>
            </w14:solidFill>
          </w14:textFill>
        </w:rPr>
      </w:pPr>
      <w:r>
        <w:rPr>
          <w:rFonts w:hint="eastAsia" w:ascii="仿宋_GB2312" w:eastAsia="仿宋_GB2312" w:cs="Times New Roman" w:hAnsiTheme="minorEastAsia"/>
          <w:sz w:val="32"/>
          <w:szCs w:val="32"/>
          <w:u w:color="000000"/>
        </w:rPr>
        <w:t>2.预算决算比较</w:t>
      </w:r>
      <w:r>
        <w:rPr>
          <w:rFonts w:hint="eastAsia" w:ascii="仿宋_GB2312" w:eastAsia="仿宋_GB2312" w:cs="Times New Roman" w:hAnsiTheme="minorEastAsia"/>
          <w:sz w:val="32"/>
          <w:szCs w:val="32"/>
          <w:u w:color="000000"/>
          <w:lang w:eastAsia="zh-CN"/>
        </w:rPr>
        <w:t>：</w:t>
      </w:r>
      <w:r>
        <w:rPr>
          <w:rFonts w:hint="eastAsia" w:ascii="仿宋_GB2312" w:eastAsia="仿宋_GB2312" w:cs="Times New Roman" w:hAnsiTheme="minorEastAsia"/>
          <w:color w:val="000000" w:themeColor="text1"/>
          <w:sz w:val="32"/>
          <w:szCs w:val="32"/>
          <w:u w:color="000000"/>
          <w14:textFill>
            <w14:solidFill>
              <w14:schemeClr w14:val="tx1"/>
            </w14:solidFill>
          </w14:textFill>
        </w:rPr>
        <w:t>编制预算存在不可控性</w:t>
      </w:r>
    </w:p>
    <w:p w14:paraId="461BDFD6">
      <w:pPr>
        <w:spacing w:after="0" w:line="360" w:lineRule="auto"/>
        <w:ind w:left="958" w:leftChars="290" w:hanging="320" w:hangingChars="100"/>
        <w:jc w:val="both"/>
        <w:textAlignment w:val="baseline"/>
        <w:rPr>
          <w:rFonts w:ascii="仿宋_GB2312" w:eastAsia="仿宋_GB2312" w:cs="Times New Roman" w:hAnsiTheme="minorEastAsia"/>
          <w:color w:val="000000" w:themeColor="text1"/>
          <w:sz w:val="32"/>
          <w:szCs w:val="32"/>
          <w:u w:color="000000"/>
          <w14:textFill>
            <w14:solidFill>
              <w14:schemeClr w14:val="tx1"/>
            </w14:solidFill>
          </w14:textFill>
        </w:rPr>
      </w:pPr>
      <w:r>
        <w:rPr>
          <w:rFonts w:hint="eastAsia" w:ascii="仿宋_GB2312" w:eastAsia="仿宋_GB2312" w:cs="Times New Roman" w:hAnsiTheme="minorEastAsia"/>
          <w:sz w:val="32"/>
          <w:szCs w:val="32"/>
          <w:u w:color="000000"/>
        </w:rPr>
        <w:t>3.预算追加方面</w:t>
      </w:r>
      <w:r>
        <w:rPr>
          <w:rFonts w:hint="eastAsia" w:ascii="仿宋_GB2312" w:eastAsia="仿宋_GB2312" w:cs="Times New Roman" w:hAnsiTheme="minorEastAsia"/>
          <w:sz w:val="32"/>
          <w:szCs w:val="32"/>
          <w:u w:color="000000"/>
          <w:lang w:eastAsia="zh-CN"/>
        </w:rPr>
        <w:t>：</w:t>
      </w:r>
      <w:r>
        <w:rPr>
          <w:rFonts w:hint="eastAsia" w:ascii="仿宋_GB2312" w:eastAsia="仿宋_GB2312" w:cs="Times New Roman" w:hAnsiTheme="minorEastAsia"/>
          <w:color w:val="000000" w:themeColor="text1"/>
          <w:sz w:val="32"/>
          <w:szCs w:val="32"/>
          <w:u w:color="000000"/>
          <w14:textFill>
            <w14:solidFill>
              <w14:schemeClr w14:val="tx1"/>
            </w14:solidFill>
          </w14:textFill>
        </w:rPr>
        <w:t>执行中一般都有追加，按照指标控制率指标计算，本指标基本都大于0.</w:t>
      </w:r>
    </w:p>
    <w:p w14:paraId="44CDAE37">
      <w:pPr>
        <w:spacing w:after="0" w:line="360" w:lineRule="auto"/>
        <w:ind w:left="958" w:leftChars="290" w:hanging="320" w:hangingChars="100"/>
        <w:jc w:val="both"/>
        <w:textAlignment w:val="baseline"/>
        <w:rPr>
          <w:rFonts w:ascii="仿宋_GB2312" w:eastAsia="仿宋_GB2312" w:cs="Times New Roman" w:hAnsiTheme="minorEastAsia"/>
          <w:color w:val="000000" w:themeColor="text1"/>
          <w:sz w:val="32"/>
          <w:szCs w:val="32"/>
          <w:u w:color="000000"/>
          <w14:textFill>
            <w14:solidFill>
              <w14:schemeClr w14:val="tx1"/>
            </w14:solidFill>
          </w14:textFill>
        </w:rPr>
      </w:pPr>
      <w:r>
        <w:rPr>
          <w:rFonts w:hint="default" w:ascii="仿宋_GB2312" w:eastAsia="仿宋_GB2312" w:cs="Times New Roman" w:hAnsiTheme="minorEastAsia"/>
          <w:sz w:val="32"/>
          <w:szCs w:val="32"/>
          <w:u w:color="000000"/>
          <w:lang w:val="en-US"/>
        </w:rPr>
        <w:t>4</w:t>
      </w:r>
      <w:r>
        <w:rPr>
          <w:rFonts w:hint="eastAsia" w:ascii="仿宋_GB2312" w:eastAsia="仿宋_GB2312" w:cs="Times New Roman" w:hAnsiTheme="minorEastAsia"/>
          <w:sz w:val="32"/>
          <w:szCs w:val="32"/>
          <w:u w:color="000000"/>
        </w:rPr>
        <w:t>.项目资金使用率方面</w:t>
      </w:r>
      <w:r>
        <w:rPr>
          <w:rFonts w:hint="eastAsia" w:ascii="仿宋_GB2312" w:eastAsia="仿宋_GB2312" w:cs="Times New Roman" w:hAnsiTheme="minorEastAsia"/>
          <w:sz w:val="32"/>
          <w:szCs w:val="32"/>
          <w:u w:color="000000"/>
          <w:lang w:eastAsia="zh-CN"/>
        </w:rPr>
        <w:t>：</w:t>
      </w:r>
      <w:r>
        <w:rPr>
          <w:rFonts w:hint="eastAsia" w:ascii="仿宋_GB2312" w:eastAsia="仿宋_GB2312" w:cs="Times New Roman" w:hAnsiTheme="minorEastAsia"/>
          <w:color w:val="000000" w:themeColor="text1"/>
          <w:sz w:val="32"/>
          <w:szCs w:val="32"/>
          <w:u w:color="000000"/>
          <w14:textFill>
            <w14:solidFill>
              <w14:schemeClr w14:val="tx1"/>
            </w14:solidFill>
          </w14:textFill>
        </w:rPr>
        <w:t>大部分项目能进行，但存在个别项目不能实施情况。</w:t>
      </w:r>
    </w:p>
    <w:bookmarkEnd w:id="75"/>
    <w:bookmarkEnd w:id="76"/>
    <w:p w14:paraId="1359978F">
      <w:pPr>
        <w:spacing w:after="0" w:line="360" w:lineRule="auto"/>
        <w:jc w:val="both"/>
        <w:textAlignment w:val="baseline"/>
        <w:rPr>
          <w:rFonts w:ascii="仿宋_GB2312" w:eastAsia="仿宋_GB2312" w:cs="Times New Roman" w:hAnsiTheme="minorEastAsia"/>
          <w:sz w:val="32"/>
          <w:szCs w:val="32"/>
          <w:u w:color="000000"/>
        </w:rPr>
      </w:pPr>
      <w:bookmarkStart w:id="77" w:name="_Toc465149521"/>
      <w:r>
        <w:rPr>
          <w:rFonts w:hint="eastAsia" w:ascii="仿宋_GB2312" w:eastAsia="仿宋_GB2312" w:cs="Times New Roman" w:hAnsiTheme="minorEastAsia"/>
          <w:sz w:val="32"/>
          <w:szCs w:val="32"/>
          <w:u w:color="000000"/>
        </w:rPr>
        <w:t>附件：1.保定市徐水</w:t>
      </w:r>
      <w:r>
        <w:rPr>
          <w:rFonts w:hint="eastAsia" w:ascii="仿宋_GB2312" w:eastAsia="仿宋_GB2312" w:cs="DengXian-Regular"/>
          <w:sz w:val="32"/>
          <w:szCs w:val="32"/>
        </w:rPr>
        <w:t>区</w:t>
      </w:r>
      <w:r>
        <w:rPr>
          <w:rFonts w:hint="eastAsia" w:ascii="仿宋_GB2312" w:eastAsia="仿宋_GB2312" w:cs="DengXian-Regular"/>
          <w:sz w:val="32"/>
          <w:szCs w:val="32"/>
          <w:lang w:eastAsia="zh-CN"/>
        </w:rPr>
        <w:t>委政法委</w:t>
      </w:r>
      <w:r>
        <w:rPr>
          <w:rFonts w:hint="eastAsia" w:ascii="仿宋_GB2312" w:eastAsia="仿宋_GB2312" w:cs="Times New Roman" w:hAnsiTheme="minorEastAsia"/>
          <w:sz w:val="32"/>
          <w:szCs w:val="32"/>
          <w:u w:color="000000"/>
        </w:rPr>
        <w:t>部门基本情况及主要职责</w:t>
      </w:r>
    </w:p>
    <w:p w14:paraId="5923D52A">
      <w:pPr>
        <w:spacing w:after="0" w:line="540" w:lineRule="exact"/>
        <w:ind w:firstLine="960" w:firstLineChars="300"/>
        <w:jc w:val="both"/>
        <w:textAlignment w:val="baseline"/>
        <w:rPr>
          <w:rFonts w:ascii="仿宋_GB2312" w:eastAsia="仿宋_GB2312" w:cs="Times New Roman" w:hAnsiTheme="minorEastAsia"/>
          <w:sz w:val="32"/>
          <w:szCs w:val="32"/>
          <w:u w:color="000000"/>
        </w:rPr>
      </w:pPr>
      <w:r>
        <w:rPr>
          <w:rFonts w:hint="eastAsia" w:ascii="仿宋_GB2312" w:eastAsia="仿宋_GB2312" w:cs="Times New Roman" w:hAnsiTheme="minorEastAsia"/>
          <w:sz w:val="32"/>
          <w:szCs w:val="32"/>
          <w:u w:color="000000"/>
        </w:rPr>
        <w:t>2.</w:t>
      </w:r>
      <w:r>
        <w:rPr>
          <w:rFonts w:ascii="仿宋_GB2312" w:eastAsia="仿宋_GB2312" w:cs="Times New Roman" w:hAnsiTheme="minorEastAsia"/>
          <w:sz w:val="32"/>
          <w:szCs w:val="32"/>
          <w:u w:color="000000"/>
        </w:rPr>
        <w:t>2021</w:t>
      </w:r>
      <w:r>
        <w:rPr>
          <w:rFonts w:hint="eastAsia" w:ascii="仿宋_GB2312" w:eastAsia="仿宋_GB2312" w:cs="Times New Roman" w:hAnsiTheme="minorEastAsia"/>
          <w:sz w:val="32"/>
          <w:szCs w:val="32"/>
          <w:u w:color="000000"/>
        </w:rPr>
        <w:t>年度保定市徐水区</w:t>
      </w:r>
      <w:r>
        <w:rPr>
          <w:rFonts w:hint="eastAsia" w:ascii="仿宋_GB2312" w:eastAsia="仿宋_GB2312" w:cs="DengXian-Regular"/>
          <w:sz w:val="32"/>
          <w:szCs w:val="32"/>
          <w:lang w:eastAsia="zh-CN"/>
        </w:rPr>
        <w:t>委政法委</w:t>
      </w:r>
      <w:r>
        <w:rPr>
          <w:rFonts w:hint="eastAsia" w:ascii="仿宋_GB2312" w:eastAsia="仿宋_GB2312" w:cs="Times New Roman" w:hAnsiTheme="minorEastAsia"/>
          <w:sz w:val="32"/>
          <w:szCs w:val="32"/>
          <w:u w:color="000000"/>
        </w:rPr>
        <w:t>收支预算及决算明细表</w:t>
      </w:r>
    </w:p>
    <w:p w14:paraId="27AA8B5F">
      <w:pPr>
        <w:spacing w:after="0" w:line="540" w:lineRule="exact"/>
        <w:ind w:firstLine="960" w:firstLineChars="300"/>
        <w:jc w:val="both"/>
        <w:textAlignment w:val="baseline"/>
        <w:rPr>
          <w:rFonts w:ascii="仿宋_GB2312" w:eastAsia="仿宋_GB2312" w:cs="Times New Roman" w:hAnsiTheme="minorEastAsia"/>
          <w:sz w:val="32"/>
          <w:szCs w:val="32"/>
          <w:u w:color="000000"/>
        </w:rPr>
      </w:pPr>
      <w:bookmarkStart w:id="78" w:name="_Toc465149534"/>
      <w:r>
        <w:rPr>
          <w:rFonts w:hint="eastAsia" w:ascii="仿宋_GB2312" w:eastAsia="仿宋_GB2312" w:cs="Times New Roman" w:hAnsiTheme="minorEastAsia"/>
          <w:sz w:val="32"/>
          <w:szCs w:val="32"/>
          <w:u w:color="000000"/>
        </w:rPr>
        <w:t>3.</w:t>
      </w:r>
      <w:bookmarkEnd w:id="78"/>
      <w:r>
        <w:rPr>
          <w:rFonts w:hint="eastAsia" w:ascii="仿宋_GB2312" w:eastAsia="仿宋_GB2312" w:cs="Times New Roman" w:hAnsiTheme="minorEastAsia"/>
          <w:sz w:val="32"/>
          <w:szCs w:val="32"/>
          <w:u w:color="000000"/>
        </w:rPr>
        <w:t>部门整体支出绩效评价指标体系</w:t>
      </w:r>
    </w:p>
    <w:p w14:paraId="1642E393">
      <w:pPr>
        <w:spacing w:after="0" w:line="540" w:lineRule="exact"/>
        <w:ind w:firstLine="960" w:firstLineChars="300"/>
        <w:jc w:val="both"/>
        <w:textAlignment w:val="baseline"/>
        <w:rPr>
          <w:rFonts w:hint="default" w:ascii="仿宋_GB2312" w:eastAsia="仿宋_GB2312" w:cs="Times New Roman" w:hAnsiTheme="minorEastAsia"/>
          <w:sz w:val="32"/>
          <w:szCs w:val="32"/>
          <w:u w:color="000000"/>
          <w:lang w:val="en-US"/>
        </w:rPr>
      </w:pPr>
      <w:bookmarkStart w:id="79" w:name="_Toc465149544"/>
      <w:r>
        <w:rPr>
          <w:rFonts w:hint="eastAsia" w:ascii="仿宋_GB2312" w:eastAsia="仿宋_GB2312" w:cs="Times New Roman" w:hAnsiTheme="minorEastAsia"/>
          <w:sz w:val="32"/>
          <w:szCs w:val="32"/>
          <w:u w:color="000000"/>
        </w:rPr>
        <w:t>4.</w:t>
      </w:r>
      <w:bookmarkEnd w:id="79"/>
      <w:r>
        <w:rPr>
          <w:rFonts w:ascii="仿宋_GB2312" w:eastAsia="仿宋_GB2312" w:cs="Times New Roman" w:hAnsiTheme="minorEastAsia"/>
          <w:sz w:val="32"/>
          <w:szCs w:val="32"/>
          <w:u w:color="000000"/>
        </w:rPr>
        <w:t>2021</w:t>
      </w:r>
      <w:r>
        <w:rPr>
          <w:rFonts w:hint="eastAsia" w:ascii="仿宋_GB2312" w:eastAsia="仿宋_GB2312" w:cs="Times New Roman" w:hAnsiTheme="minorEastAsia"/>
          <w:sz w:val="32"/>
          <w:szCs w:val="32"/>
          <w:u w:color="000000"/>
        </w:rPr>
        <w:t>年徐水区</w:t>
      </w:r>
      <w:r>
        <w:rPr>
          <w:rFonts w:hint="eastAsia" w:ascii="仿宋_GB2312" w:eastAsia="仿宋_GB2312" w:cs="DengXian-Regular"/>
          <w:sz w:val="32"/>
          <w:szCs w:val="32"/>
          <w:lang w:eastAsia="zh-CN"/>
        </w:rPr>
        <w:t>委政法委</w:t>
      </w:r>
      <w:r>
        <w:rPr>
          <w:rFonts w:hint="eastAsia" w:ascii="仿宋_GB2312" w:eastAsia="仿宋_GB2312" w:cs="Times New Roman" w:hAnsiTheme="minorEastAsia"/>
          <w:sz w:val="32"/>
          <w:szCs w:val="32"/>
          <w:u w:color="000000"/>
        </w:rPr>
        <w:t>工作活动绩效目标、绩效指标一览表</w:t>
      </w:r>
      <w:bookmarkEnd w:id="77"/>
      <w:r>
        <w:rPr>
          <w:rFonts w:hint="default" w:ascii="仿宋_GB2312" w:eastAsia="仿宋_GB2312" w:cs="Times New Roman" w:hAnsiTheme="minorEastAsia"/>
          <w:sz w:val="32"/>
          <w:szCs w:val="32"/>
          <w:u w:color="000000"/>
          <w:lang w:val="en-US"/>
        </w:rPr>
        <w:t xml:space="preserve">  </w:t>
      </w:r>
    </w:p>
    <w:p w14:paraId="3BE83265">
      <w:pPr>
        <w:spacing w:line="540" w:lineRule="exact"/>
        <w:ind w:firstLine="640" w:firstLineChars="200"/>
        <w:jc w:val="both"/>
        <w:textAlignment w:val="baseline"/>
        <w:rPr>
          <w:rFonts w:ascii="仿宋_GB2312" w:eastAsia="仿宋_GB2312" w:cs="Times New Roman" w:hAnsiTheme="minorEastAsia"/>
          <w:sz w:val="32"/>
          <w:szCs w:val="32"/>
          <w:u w:color="000000"/>
        </w:rPr>
      </w:pPr>
    </w:p>
    <w:sectPr>
      <w:footerReference r:id="rId5" w:type="default"/>
      <w:pgSz w:w="11906" w:h="16838"/>
      <w:pgMar w:top="1440" w:right="1797" w:bottom="1191" w:left="1797" w:header="709" w:footer="709" w:gutter="0"/>
      <w:pgNumType w:start="1"/>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libri Light">
    <w:panose1 w:val="020F0302020204030204"/>
    <w:charset w:val="00"/>
    <w:family w:val="auto"/>
    <w:pitch w:val="default"/>
    <w:sig w:usb0="E4002EFF" w:usb1="C200247B" w:usb2="00000009" w:usb3="00000000" w:csb0="200001FF" w:csb1="00000000"/>
  </w:font>
  <w:font w:name="DengXian-Regular">
    <w:altName w:val="宋体"/>
    <w:panose1 w:val="00000000000000000000"/>
    <w:charset w:val="86"/>
    <w:family w:val="auto"/>
    <w:pitch w:val="default"/>
    <w:sig w:usb0="00000000" w:usb1="00000000" w:usb2="00000010" w:usb3="00000000" w:csb0="00040001" w:csb1="00000000"/>
  </w:font>
  <w:font w:name="楷体">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8BCF9A">
    <w:pPr>
      <w:pStyle w:val="6"/>
      <w:jc w:val="center"/>
    </w:pPr>
  </w:p>
  <w:p w14:paraId="26CF4D26">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565EEB">
    <w:pPr>
      <w:pStyle w:val="6"/>
      <w:jc w:val="center"/>
    </w:pPr>
    <w:r>
      <w:fldChar w:fldCharType="begin"/>
    </w:r>
    <w:r>
      <w:instrText xml:space="preserve"> PAGE   \* MERGEFORMAT </w:instrText>
    </w:r>
    <w:r>
      <w:fldChar w:fldCharType="separate"/>
    </w:r>
    <w:r>
      <w:rPr>
        <w:lang w:val="zh-CN"/>
      </w:rPr>
      <w:t>20</w:t>
    </w:r>
    <w:r>
      <w:rPr>
        <w:lang w:val="zh-CN"/>
      </w:rPr>
      <w:fldChar w:fldCharType="end"/>
    </w:r>
  </w:p>
  <w:p w14:paraId="135C4A2A">
    <w:pPr>
      <w:pStyle w:val="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265C33B"/>
    <w:multiLevelType w:val="singleLevel"/>
    <w:tmpl w:val="F265C33B"/>
    <w:lvl w:ilvl="0" w:tentative="0">
      <w:start w:val="2"/>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237A6E"/>
    <w:rsid w:val="00AB648F"/>
    <w:rsid w:val="013362EC"/>
    <w:rsid w:val="02C57126"/>
    <w:rsid w:val="049C7233"/>
    <w:rsid w:val="04F82553"/>
    <w:rsid w:val="05B7425B"/>
    <w:rsid w:val="07133987"/>
    <w:rsid w:val="07C02E2D"/>
    <w:rsid w:val="08262457"/>
    <w:rsid w:val="090D3917"/>
    <w:rsid w:val="094B2E4C"/>
    <w:rsid w:val="099D77AF"/>
    <w:rsid w:val="09FD22F3"/>
    <w:rsid w:val="0A635303"/>
    <w:rsid w:val="0AFC7966"/>
    <w:rsid w:val="0BEC704A"/>
    <w:rsid w:val="0C1B4BB1"/>
    <w:rsid w:val="0D0A54E1"/>
    <w:rsid w:val="0D555C97"/>
    <w:rsid w:val="0DF55736"/>
    <w:rsid w:val="0F90744F"/>
    <w:rsid w:val="10CD4C97"/>
    <w:rsid w:val="11B057A3"/>
    <w:rsid w:val="14000170"/>
    <w:rsid w:val="15F61856"/>
    <w:rsid w:val="16524CAE"/>
    <w:rsid w:val="17116093"/>
    <w:rsid w:val="193A798A"/>
    <w:rsid w:val="1AA903CA"/>
    <w:rsid w:val="1AB32B0A"/>
    <w:rsid w:val="1CA478E7"/>
    <w:rsid w:val="1CF52A93"/>
    <w:rsid w:val="1D5B5B2E"/>
    <w:rsid w:val="1FB02E9C"/>
    <w:rsid w:val="20091B7B"/>
    <w:rsid w:val="20837317"/>
    <w:rsid w:val="211F3AED"/>
    <w:rsid w:val="212E3725"/>
    <w:rsid w:val="24716935"/>
    <w:rsid w:val="24930224"/>
    <w:rsid w:val="24AD76B4"/>
    <w:rsid w:val="253260B5"/>
    <w:rsid w:val="254915AE"/>
    <w:rsid w:val="25D61F4F"/>
    <w:rsid w:val="27B40617"/>
    <w:rsid w:val="291616A4"/>
    <w:rsid w:val="29CB1E61"/>
    <w:rsid w:val="2A0A2EBF"/>
    <w:rsid w:val="2CFC544B"/>
    <w:rsid w:val="2D07269E"/>
    <w:rsid w:val="2D513CFC"/>
    <w:rsid w:val="2E8B4074"/>
    <w:rsid w:val="2F2B1BEC"/>
    <w:rsid w:val="309A4ED5"/>
    <w:rsid w:val="314F6AF2"/>
    <w:rsid w:val="32E7665B"/>
    <w:rsid w:val="33176007"/>
    <w:rsid w:val="355E0CB9"/>
    <w:rsid w:val="356C4CB3"/>
    <w:rsid w:val="35FF5CCC"/>
    <w:rsid w:val="368C6DDC"/>
    <w:rsid w:val="37C953B1"/>
    <w:rsid w:val="391D45A1"/>
    <w:rsid w:val="39756611"/>
    <w:rsid w:val="3A980B95"/>
    <w:rsid w:val="3AD14240"/>
    <w:rsid w:val="3AF52FE1"/>
    <w:rsid w:val="3B313C25"/>
    <w:rsid w:val="3B857A79"/>
    <w:rsid w:val="3BAC7C28"/>
    <w:rsid w:val="3BF822C1"/>
    <w:rsid w:val="3DC65B08"/>
    <w:rsid w:val="3DC76E0D"/>
    <w:rsid w:val="3E961E61"/>
    <w:rsid w:val="3ED77746"/>
    <w:rsid w:val="40D41852"/>
    <w:rsid w:val="41401E2B"/>
    <w:rsid w:val="42764332"/>
    <w:rsid w:val="432E61B8"/>
    <w:rsid w:val="44823967"/>
    <w:rsid w:val="45500B38"/>
    <w:rsid w:val="464104C5"/>
    <w:rsid w:val="47013507"/>
    <w:rsid w:val="4714373A"/>
    <w:rsid w:val="4773098A"/>
    <w:rsid w:val="479F23AA"/>
    <w:rsid w:val="485F38A8"/>
    <w:rsid w:val="48A12778"/>
    <w:rsid w:val="48EC23F8"/>
    <w:rsid w:val="49AD3809"/>
    <w:rsid w:val="49E757EA"/>
    <w:rsid w:val="4A691F11"/>
    <w:rsid w:val="4C2328C1"/>
    <w:rsid w:val="4C721267"/>
    <w:rsid w:val="4CA62603"/>
    <w:rsid w:val="4ED202ED"/>
    <w:rsid w:val="4F514FDC"/>
    <w:rsid w:val="50F75113"/>
    <w:rsid w:val="52762BA7"/>
    <w:rsid w:val="53322182"/>
    <w:rsid w:val="558903EC"/>
    <w:rsid w:val="5678256E"/>
    <w:rsid w:val="56B811E5"/>
    <w:rsid w:val="59122998"/>
    <w:rsid w:val="59632DE0"/>
    <w:rsid w:val="59EE11D8"/>
    <w:rsid w:val="5AC92C8C"/>
    <w:rsid w:val="5BD57C4E"/>
    <w:rsid w:val="5E4C4830"/>
    <w:rsid w:val="5E5E1432"/>
    <w:rsid w:val="5F0D3CA1"/>
    <w:rsid w:val="5F5A566B"/>
    <w:rsid w:val="5F8724D2"/>
    <w:rsid w:val="5FA90379"/>
    <w:rsid w:val="619F4A5E"/>
    <w:rsid w:val="61DF4769"/>
    <w:rsid w:val="62A96CA6"/>
    <w:rsid w:val="63FC0850"/>
    <w:rsid w:val="678E01E3"/>
    <w:rsid w:val="67D67DDE"/>
    <w:rsid w:val="67FE0B27"/>
    <w:rsid w:val="695D714E"/>
    <w:rsid w:val="697029CB"/>
    <w:rsid w:val="6AF20D75"/>
    <w:rsid w:val="6BC75E73"/>
    <w:rsid w:val="6CB80ED4"/>
    <w:rsid w:val="6DA1633C"/>
    <w:rsid w:val="6E612BBD"/>
    <w:rsid w:val="6F1D23AB"/>
    <w:rsid w:val="6FED6976"/>
    <w:rsid w:val="71016EDF"/>
    <w:rsid w:val="72B72C10"/>
    <w:rsid w:val="72D361C9"/>
    <w:rsid w:val="72F35EEF"/>
    <w:rsid w:val="72F84504"/>
    <w:rsid w:val="74230051"/>
    <w:rsid w:val="75A650F5"/>
    <w:rsid w:val="79AF4976"/>
    <w:rsid w:val="7BA17743"/>
    <w:rsid w:val="7EBA60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pPr>
    <w:rPr>
      <w:rFonts w:ascii="Tahoma" w:hAnsi="Tahoma" w:eastAsia="微软雅黑" w:cstheme="minorBidi"/>
      <w:sz w:val="22"/>
      <w:szCs w:val="22"/>
      <w:lang w:val="en-US" w:eastAsia="zh-CN" w:bidi="ar-SA"/>
    </w:rPr>
  </w:style>
  <w:style w:type="paragraph" w:styleId="2">
    <w:name w:val="heading 1"/>
    <w:basedOn w:val="1"/>
    <w:next w:val="1"/>
    <w:qFormat/>
    <w:uiPriority w:val="99"/>
    <w:pPr>
      <w:keepNext/>
      <w:keepLines/>
      <w:adjustRightInd/>
      <w:snapToGrid/>
      <w:spacing w:before="200" w:line="360" w:lineRule="auto"/>
      <w:jc w:val="center"/>
      <w:textAlignment w:val="baseline"/>
      <w:outlineLvl w:val="0"/>
    </w:pPr>
    <w:rPr>
      <w:rFonts w:ascii="Times New Roman" w:hAnsi="Times New Roman" w:eastAsia="黑体" w:cs="Times New Roman"/>
      <w:b/>
      <w:bCs/>
      <w:color w:val="000000"/>
      <w:kern w:val="44"/>
      <w:sz w:val="36"/>
      <w:szCs w:val="44"/>
      <w:u w:color="000000"/>
    </w:rPr>
  </w:style>
  <w:style w:type="paragraph" w:styleId="3">
    <w:name w:val="heading 2"/>
    <w:basedOn w:val="1"/>
    <w:next w:val="1"/>
    <w:qFormat/>
    <w:uiPriority w:val="99"/>
    <w:pPr>
      <w:keepNext/>
      <w:keepLines/>
      <w:widowControl w:val="0"/>
      <w:adjustRightInd/>
      <w:snapToGrid/>
      <w:spacing w:before="260" w:after="260" w:line="416" w:lineRule="auto"/>
      <w:jc w:val="both"/>
      <w:outlineLvl w:val="1"/>
    </w:pPr>
    <w:rPr>
      <w:rFonts w:ascii="Arial" w:hAnsi="Arial" w:eastAsia="黑体" w:cs="Times New Roman"/>
      <w:b/>
      <w:bCs/>
      <w:kern w:val="2"/>
      <w:sz w:val="32"/>
      <w:szCs w:val="32"/>
    </w:rPr>
  </w:style>
  <w:style w:type="paragraph" w:styleId="4">
    <w:name w:val="heading 3"/>
    <w:basedOn w:val="1"/>
    <w:next w:val="1"/>
    <w:qFormat/>
    <w:uiPriority w:val="99"/>
    <w:pPr>
      <w:keepNext/>
      <w:keepLines/>
      <w:adjustRightInd/>
      <w:snapToGrid/>
      <w:spacing w:before="260" w:after="260" w:line="360" w:lineRule="auto"/>
      <w:textAlignment w:val="baseline"/>
      <w:outlineLvl w:val="2"/>
    </w:pPr>
    <w:rPr>
      <w:rFonts w:ascii="Times New Roman" w:hAnsi="Times New Roman" w:eastAsia="仿宋_GB2312" w:cs="Times New Roman"/>
      <w:b/>
      <w:bCs/>
      <w:sz w:val="30"/>
      <w:szCs w:val="32"/>
      <w:u w:color="000000"/>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5">
    <w:name w:val="toc 3"/>
    <w:basedOn w:val="1"/>
    <w:next w:val="1"/>
    <w:qFormat/>
    <w:uiPriority w:val="39"/>
    <w:pPr>
      <w:widowControl w:val="0"/>
      <w:adjustRightInd/>
      <w:snapToGrid/>
      <w:spacing w:after="0"/>
      <w:ind w:left="840" w:leftChars="400"/>
      <w:jc w:val="both"/>
    </w:pPr>
    <w:rPr>
      <w:rFonts w:ascii="Times New Roman" w:hAnsi="Times New Roman" w:eastAsia="宋体" w:cs="Times New Roman"/>
      <w:kern w:val="2"/>
      <w:sz w:val="28"/>
      <w:szCs w:val="24"/>
    </w:rPr>
  </w:style>
  <w:style w:type="paragraph" w:styleId="6">
    <w:name w:val="footer"/>
    <w:basedOn w:val="1"/>
    <w:unhideWhenUsed/>
    <w:qFormat/>
    <w:uiPriority w:val="99"/>
    <w:pPr>
      <w:tabs>
        <w:tab w:val="center" w:pos="4153"/>
        <w:tab w:val="right" w:pos="8306"/>
      </w:tabs>
    </w:pPr>
    <w:rPr>
      <w:sz w:val="18"/>
      <w:szCs w:val="18"/>
    </w:rPr>
  </w:style>
  <w:style w:type="paragraph" w:styleId="7">
    <w:name w:val="toc 2"/>
    <w:basedOn w:val="1"/>
    <w:next w:val="1"/>
    <w:qFormat/>
    <w:uiPriority w:val="39"/>
    <w:pPr>
      <w:widowControl w:val="0"/>
      <w:adjustRightInd/>
      <w:snapToGrid/>
      <w:spacing w:after="0"/>
      <w:ind w:left="420" w:leftChars="200"/>
      <w:jc w:val="both"/>
    </w:pPr>
    <w:rPr>
      <w:rFonts w:ascii="Times New Roman" w:hAnsi="Times New Roman" w:eastAsia="宋体" w:cs="Times New Roman"/>
      <w:kern w:val="2"/>
      <w:sz w:val="30"/>
      <w:szCs w:val="24"/>
    </w:rPr>
  </w:style>
  <w:style w:type="paragraph" w:customStyle="1" w:styleId="10">
    <w:name w:val="TOC 标题1"/>
    <w:basedOn w:val="2"/>
    <w:next w:val="1"/>
    <w:unhideWhenUsed/>
    <w:qFormat/>
    <w:uiPriority w:val="39"/>
    <w:pPr>
      <w:spacing w:before="480" w:after="0" w:line="276" w:lineRule="auto"/>
      <w:jc w:val="left"/>
      <w:textAlignment w:val="auto"/>
      <w:outlineLvl w:val="9"/>
    </w:pPr>
    <w:rPr>
      <w:rFonts w:asciiTheme="majorHAnsi" w:hAnsiTheme="majorHAnsi" w:eastAsiaTheme="majorEastAsia" w:cstheme="majorBidi"/>
      <w:color w:val="2E75B6" w:themeColor="accent1" w:themeShade="BF"/>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chart" Target="charts/chart2.xml"/><Relationship Id="rId8" Type="http://schemas.openxmlformats.org/officeDocument/2006/relationships/image" Target="media/image1.png"/><Relationship Id="rId7" Type="http://schemas.openxmlformats.org/officeDocument/2006/relationships/chart" Target="charts/chart1.xml"/><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2.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89532\Desktop\&#24213;&#31295;---&#33258;&#24049;&#30340;.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89532\Desktop\&#24213;&#31295;---&#33258;&#24049;&#3034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en-US" altLang="zh-CN" sz="1400" b="0">
                <a:latin typeface="仿宋" panose="02010609060101010101" charset="-122"/>
                <a:ea typeface="仿宋" panose="02010609060101010101" charset="-122"/>
                <a:cs typeface="仿宋" panose="02010609060101010101" charset="-122"/>
              </a:rPr>
              <a:t>2021</a:t>
            </a:r>
            <a:r>
              <a:rPr lang="zh-CN" altLang="en-US" sz="1400" b="0">
                <a:latin typeface="仿宋" panose="02010609060101010101" charset="-122"/>
                <a:ea typeface="仿宋" panose="02010609060101010101" charset="-122"/>
                <a:cs typeface="仿宋" panose="02010609060101010101" charset="-122"/>
              </a:rPr>
              <a:t>年决算收入结构图</a:t>
            </a:r>
            <a:endParaRPr lang="zh-CN" altLang="en-US" sz="1400" b="0">
              <a:latin typeface="仿宋" panose="02010609060101010101" charset="-122"/>
              <a:ea typeface="仿宋" panose="02010609060101010101" charset="-122"/>
              <a:cs typeface="仿宋" panose="02010609060101010101" charset="-122"/>
            </a:endParaRPr>
          </a:p>
        </c:rich>
      </c:tx>
      <c:layout>
        <c:manualLayout>
          <c:xMode val="edge"/>
          <c:yMode val="edge"/>
          <c:x val="0.295138888888892"/>
          <c:y val="0.00694444444444448"/>
        </c:manualLayout>
      </c:layout>
      <c:overlay val="0"/>
    </c:title>
    <c:autoTitleDeleted val="0"/>
    <c:plotArea>
      <c:layout>
        <c:manualLayout>
          <c:layoutTarget val="inner"/>
          <c:xMode val="edge"/>
          <c:yMode val="edge"/>
          <c:x val="0.135854768153981"/>
          <c:y val="0.231481481481485"/>
          <c:w val="0.397777777777782"/>
          <c:h val="0.662962962962959"/>
        </c:manualLayout>
      </c:layout>
      <c:pieChart>
        <c:varyColors val="1"/>
        <c:ser>
          <c:idx val="0"/>
          <c:order val="0"/>
          <c:tx>
            <c:strRef>
              <c:f>'[底稿---自己的.xlsx]Sheet1'!$C$3</c:f>
              <c:strCache>
                <c:ptCount val="1"/>
                <c:pt idx="0">
                  <c:v>决算</c:v>
                </c:pt>
              </c:strCache>
            </c:strRef>
          </c:tx>
          <c:explosion val="0"/>
          <c:dPt>
            <c:idx val="0"/>
            <c:bubble3D val="0"/>
          </c:dPt>
          <c:dPt>
            <c:idx val="1"/>
            <c:bubble3D val="0"/>
          </c:dPt>
          <c:dPt>
            <c:idx val="2"/>
            <c:bubble3D val="0"/>
          </c:dPt>
          <c:dPt>
            <c:idx val="3"/>
            <c:bubble3D val="0"/>
          </c:dPt>
          <c:dLbls>
            <c:dLbl>
              <c:idx val="0"/>
              <c:layout>
                <c:manualLayout>
                  <c:x val="-0.139737751531059"/>
                  <c:y val="-0.178139399241762"/>
                </c:manualLayout>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solidFill>
                        <a:latin typeface="+mn-lt"/>
                        <a:ea typeface="+mn-ea"/>
                        <a:cs typeface="+mn-cs"/>
                      </a:defRPr>
                    </a:pPr>
                    <a:r>
                      <a:rPr lang="en-US" altLang="zh-CN"/>
                      <a:t>92.87</a:t>
                    </a:r>
                    <a:r>
                      <a:t>%</a:t>
                    </a:r>
                  </a:p>
                </c:rich>
              </c:tx>
              <c:dLblPos val="bestFit"/>
              <c:showLegendKey val="0"/>
              <c:showVal val="1"/>
              <c:showCatName val="0"/>
              <c:showSerName val="0"/>
              <c:showPercent val="1"/>
              <c:showBubbleSize val="0"/>
              <c:extLst>
                <c:ext xmlns:c15="http://schemas.microsoft.com/office/drawing/2012/chart" uri="{CE6537A1-D6FC-4f65-9D91-7224C49458BB}">
                  <c15:layout/>
                </c:ext>
              </c:extLst>
            </c:dLbl>
            <c:dLbl>
              <c:idx val="1"/>
              <c:layout>
                <c:manualLayout>
                  <c:x val="-0.0065094050743657"/>
                  <c:y val="0.0260538786818318"/>
                </c:manualLayout>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solidFill>
                        <a:latin typeface="+mn-lt"/>
                        <a:ea typeface="+mn-ea"/>
                        <a:cs typeface="+mn-cs"/>
                      </a:defRPr>
                    </a:pPr>
                    <a:r>
                      <a:rPr lang="en-US" altLang="zh-CN"/>
                      <a:t>4.59</a:t>
                    </a:r>
                    <a:r>
                      <a:t>%</a:t>
                    </a:r>
                  </a:p>
                </c:rich>
              </c:tx>
              <c:dLblPos val="bestFit"/>
              <c:showLegendKey val="0"/>
              <c:showVal val="1"/>
              <c:showCatName val="0"/>
              <c:showSerName val="0"/>
              <c:showPercent val="1"/>
              <c:showBubbleSize val="0"/>
              <c:extLst>
                <c:ext xmlns:c15="http://schemas.microsoft.com/office/drawing/2012/chart" uri="{CE6537A1-D6FC-4f65-9D91-7224C49458BB}">
                  <c15:layout/>
                </c:ext>
              </c:extLst>
            </c:dLbl>
            <c:dLbl>
              <c:idx val="2"/>
              <c:layout>
                <c:manualLayout>
                  <c:x val="-0.0196932414698163"/>
                  <c:y val="-0.0501060804899389"/>
                </c:manualLayout>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solidFill>
                        <a:latin typeface="+mn-lt"/>
                        <a:ea typeface="+mn-ea"/>
                        <a:cs typeface="+mn-cs"/>
                      </a:defRPr>
                    </a:pPr>
                    <a:r>
                      <a:rPr lang="en-US" altLang="zh-CN"/>
                      <a:t>0.68</a:t>
                    </a:r>
                    <a:r>
                      <a:t>%</a:t>
                    </a:r>
                  </a:p>
                </c:rich>
              </c:tx>
              <c:dLblPos val="bestFit"/>
              <c:showLegendKey val="0"/>
              <c:showVal val="1"/>
              <c:showCatName val="0"/>
              <c:showSerName val="0"/>
              <c:showPercent val="1"/>
              <c:showBubbleSize val="0"/>
              <c:extLst>
                <c:ext xmlns:c15="http://schemas.microsoft.com/office/drawing/2012/chart" uri="{CE6537A1-D6FC-4f65-9D91-7224C49458BB}">
                  <c15:layout/>
                </c:ext>
              </c:extLst>
            </c:dLbl>
            <c:dLbl>
              <c:idx val="3"/>
              <c:layout>
                <c:manualLayout>
                  <c:x val="0.111039807524059"/>
                  <c:y val="-0.0261030912802566"/>
                </c:manualLayout>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solidFill>
                        <a:latin typeface="+mn-lt"/>
                        <a:ea typeface="+mn-ea"/>
                        <a:cs typeface="+mn-cs"/>
                      </a:defRPr>
                    </a:pPr>
                    <a:r>
                      <a:rPr lang="en-US" altLang="zh-CN"/>
                      <a:t>1.27</a:t>
                    </a:r>
                    <a:r>
                      <a:t>%</a:t>
                    </a:r>
                  </a:p>
                </c:rich>
              </c:tx>
              <c:dLblPos val="bestFit"/>
              <c:showLegendKey val="0"/>
              <c:showVal val="1"/>
              <c:showCatName val="0"/>
              <c:showSerName val="0"/>
              <c:showPercent val="1"/>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1"/>
            <c:showCatName val="0"/>
            <c:showSerName val="0"/>
            <c:showPercent val="1"/>
            <c:showBubbleSize val="0"/>
            <c:showLeaderLines val="1"/>
            <c:extLst>
              <c:ext xmlns:c15="http://schemas.microsoft.com/office/drawing/2012/chart" uri="{CE6537A1-D6FC-4f65-9D91-7224C49458BB}">
                <c15:layout/>
                <c15:showLeaderLines val="1"/>
                <c15:leaderLines/>
              </c:ext>
            </c:extLst>
          </c:dLbls>
          <c:cat>
            <c:strRef>
              <c:f>'[底稿---自己的.xlsx]Sheet1'!$A$4:$A$7</c:f>
              <c:strCache>
                <c:ptCount val="4"/>
                <c:pt idx="0">
                  <c:v>公共安全支出</c:v>
                </c:pt>
                <c:pt idx="1">
                  <c:v>社会保障和就业支出</c:v>
                </c:pt>
                <c:pt idx="2">
                  <c:v>医疗卫生与计划生育支出</c:v>
                </c:pt>
                <c:pt idx="3">
                  <c:v>住房保障支出</c:v>
                </c:pt>
              </c:strCache>
            </c:strRef>
          </c:cat>
          <c:val>
            <c:numRef>
              <c:f>'[底稿---自己的.xlsx]Sheet1'!$C$4:$C$7</c:f>
              <c:numCache>
                <c:formatCode>0.00_ </c:formatCode>
                <c:ptCount val="4"/>
                <c:pt idx="0">
                  <c:v>1124.81</c:v>
                </c:pt>
                <c:pt idx="1">
                  <c:v>105.54</c:v>
                </c:pt>
                <c:pt idx="2">
                  <c:v>23.94</c:v>
                </c:pt>
                <c:pt idx="3">
                  <c:v>45.89</c:v>
                </c:pt>
              </c:numCache>
            </c:numRef>
          </c:val>
        </c:ser>
        <c:dLbls>
          <c:showLegendKey val="0"/>
          <c:showVal val="1"/>
          <c:showCatName val="0"/>
          <c:showSerName val="0"/>
          <c:showPercent val="1"/>
          <c:showBubbleSize val="0"/>
          <c:showLeaderLines val="1"/>
        </c:dLbls>
        <c:firstSliceAng val="0"/>
      </c:pieChart>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zero"/>
    <c:showDLblsOverMax val="0"/>
    <c:extLst>
      <c:ext uri="{0b15fc19-7d7d-44ad-8c2d-2c3a37ce22c3}">
        <chartProps xmlns="https://web.wps.cn/et/2018/main" chartId="{2df0a998-418a-46fe-8c0e-a0c7ba2c33ee}"/>
      </c:ext>
    </c:extLst>
  </c:chart>
  <c:txPr>
    <a:bodyPr/>
    <a:lstStyle/>
    <a:p>
      <a:pPr>
        <a:defRPr lang="zh-CN"/>
      </a:pPr>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en-US" altLang="zh-CN" sz="1400" b="0">
                <a:latin typeface="仿宋" panose="02010609060101010101" charset="-122"/>
                <a:ea typeface="仿宋" panose="02010609060101010101" charset="-122"/>
                <a:cs typeface="仿宋" panose="02010609060101010101" charset="-122"/>
              </a:rPr>
              <a:t>2021</a:t>
            </a:r>
            <a:r>
              <a:rPr lang="zh-CN" altLang="en-US" sz="1400" b="0">
                <a:latin typeface="仿宋" panose="02010609060101010101" charset="-122"/>
                <a:ea typeface="仿宋" panose="02010609060101010101" charset="-122"/>
                <a:cs typeface="仿宋" panose="02010609060101010101" charset="-122"/>
              </a:rPr>
              <a:t>年度决算支出结构图</a:t>
            </a:r>
            <a:endParaRPr lang="zh-CN" altLang="en-US" sz="1400" b="0">
              <a:latin typeface="仿宋" panose="02010609060101010101" charset="-122"/>
              <a:ea typeface="仿宋" panose="02010609060101010101" charset="-122"/>
              <a:cs typeface="仿宋" panose="02010609060101010101" charset="-122"/>
            </a:endParaRPr>
          </a:p>
        </c:rich>
      </c:tx>
      <c:layout>
        <c:manualLayout>
          <c:xMode val="edge"/>
          <c:yMode val="edge"/>
          <c:x val="0.298346055979648"/>
          <c:y val="0.00682593856655289"/>
        </c:manualLayout>
      </c:layout>
      <c:overlay val="0"/>
    </c:title>
    <c:autoTitleDeleted val="0"/>
    <c:plotArea>
      <c:layout>
        <c:manualLayout>
          <c:layoutTarget val="inner"/>
          <c:xMode val="edge"/>
          <c:yMode val="edge"/>
          <c:x val="0.135854768153981"/>
          <c:y val="0.231481481481485"/>
          <c:w val="0.397777777777782"/>
          <c:h val="0.662962962962959"/>
        </c:manualLayout>
      </c:layout>
      <c:pieChart>
        <c:varyColors val="1"/>
        <c:ser>
          <c:idx val="0"/>
          <c:order val="0"/>
          <c:tx>
            <c:strRef>
              <c:f>'[底稿---自己的.xlsx]Sheet1'!$C$3</c:f>
              <c:strCache>
                <c:ptCount val="1"/>
                <c:pt idx="0">
                  <c:v>决算</c:v>
                </c:pt>
              </c:strCache>
            </c:strRef>
          </c:tx>
          <c:explosion val="0"/>
          <c:dPt>
            <c:idx val="0"/>
            <c:bubble3D val="0"/>
          </c:dPt>
          <c:dPt>
            <c:idx val="1"/>
            <c:bubble3D val="0"/>
          </c:dPt>
          <c:dPt>
            <c:idx val="2"/>
            <c:bubble3D val="0"/>
          </c:dPt>
          <c:dPt>
            <c:idx val="3"/>
            <c:bubble3D val="0"/>
          </c:dPt>
          <c:dLbls>
            <c:dLbl>
              <c:idx val="0"/>
              <c:layout>
                <c:manualLayout>
                  <c:x val="-0.139737751531059"/>
                  <c:y val="-0.178139399241762"/>
                </c:manualLayout>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solidFill>
                        <a:latin typeface="+mn-lt"/>
                        <a:ea typeface="+mn-ea"/>
                        <a:cs typeface="+mn-cs"/>
                      </a:defRPr>
                    </a:pPr>
                    <a:r>
                      <a:rPr lang="en-US" altLang="zh-CN"/>
                      <a:t>93.42</a:t>
                    </a:r>
                    <a:r>
                      <a:t>%</a:t>
                    </a:r>
                  </a:p>
                </c:rich>
              </c:tx>
              <c:dLblPos val="bestFit"/>
              <c:showLegendKey val="0"/>
              <c:showVal val="1"/>
              <c:showCatName val="0"/>
              <c:showSerName val="0"/>
              <c:showPercent val="1"/>
              <c:showBubbleSize val="0"/>
              <c:extLst>
                <c:ext xmlns:c15="http://schemas.microsoft.com/office/drawing/2012/chart" uri="{CE6537A1-D6FC-4f65-9D91-7224C49458BB}">
                  <c15:layout/>
                </c:ext>
              </c:extLst>
            </c:dLbl>
            <c:dLbl>
              <c:idx val="1"/>
              <c:layout>
                <c:manualLayout>
                  <c:x val="-0.0065094050743657"/>
                  <c:y val="0.0260538786818318"/>
                </c:manualLayout>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solidFill>
                        <a:latin typeface="+mn-lt"/>
                        <a:ea typeface="+mn-ea"/>
                        <a:cs typeface="+mn-cs"/>
                      </a:defRPr>
                    </a:pPr>
                    <a:r>
                      <a:rPr lang="en-US" altLang="zh-CN"/>
                      <a:t>4.61</a:t>
                    </a:r>
                    <a:r>
                      <a:t>%</a:t>
                    </a:r>
                  </a:p>
                </c:rich>
              </c:tx>
              <c:dLblPos val="bestFit"/>
              <c:showLegendKey val="0"/>
              <c:showVal val="1"/>
              <c:showCatName val="0"/>
              <c:showSerName val="0"/>
              <c:showPercent val="1"/>
              <c:showBubbleSize val="0"/>
              <c:extLst>
                <c:ext xmlns:c15="http://schemas.microsoft.com/office/drawing/2012/chart" uri="{CE6537A1-D6FC-4f65-9D91-7224C49458BB}">
                  <c15:layout/>
                </c:ext>
              </c:extLst>
            </c:dLbl>
            <c:dLbl>
              <c:idx val="2"/>
              <c:layout>
                <c:manualLayout>
                  <c:x val="-0.0196932414698163"/>
                  <c:y val="-0.0501060804899389"/>
                </c:manualLayout>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solidFill>
                        <a:latin typeface="+mn-lt"/>
                        <a:ea typeface="+mn-ea"/>
                        <a:cs typeface="+mn-cs"/>
                      </a:defRPr>
                    </a:pPr>
                    <a:r>
                      <a:rPr lang="en-US" altLang="zh-CN"/>
                      <a:t>0.69</a:t>
                    </a:r>
                    <a:r>
                      <a:t>%</a:t>
                    </a:r>
                  </a:p>
                </c:rich>
              </c:tx>
              <c:dLblPos val="bestFit"/>
              <c:showLegendKey val="0"/>
              <c:showVal val="1"/>
              <c:showCatName val="0"/>
              <c:showSerName val="0"/>
              <c:showPercent val="1"/>
              <c:showBubbleSize val="0"/>
              <c:extLst>
                <c:ext xmlns:c15="http://schemas.microsoft.com/office/drawing/2012/chart" uri="{CE6537A1-D6FC-4f65-9D91-7224C49458BB}">
                  <c15:layout/>
                </c:ext>
              </c:extLst>
            </c:dLbl>
            <c:dLbl>
              <c:idx val="3"/>
              <c:layout>
                <c:manualLayout>
                  <c:x val="0.111039807524059"/>
                  <c:y val="-0.0261030912802566"/>
                </c:manualLayout>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solidFill>
                        <a:latin typeface="+mn-lt"/>
                        <a:ea typeface="+mn-ea"/>
                        <a:cs typeface="+mn-cs"/>
                      </a:defRPr>
                    </a:pPr>
                    <a:r>
                      <a:rPr lang="en-US" altLang="zh-CN"/>
                      <a:t>1.28</a:t>
                    </a:r>
                    <a:r>
                      <a:t>%</a:t>
                    </a:r>
                  </a:p>
                </c:rich>
              </c:tx>
              <c:dLblPos val="bestFit"/>
              <c:showLegendKey val="0"/>
              <c:showVal val="1"/>
              <c:showCatName val="0"/>
              <c:showSerName val="0"/>
              <c:showPercent val="1"/>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1"/>
            <c:showCatName val="0"/>
            <c:showSerName val="0"/>
            <c:showPercent val="1"/>
            <c:showBubbleSize val="0"/>
            <c:showLeaderLines val="1"/>
            <c:extLst>
              <c:ext xmlns:c15="http://schemas.microsoft.com/office/drawing/2012/chart" uri="{CE6537A1-D6FC-4f65-9D91-7224C49458BB}">
                <c15:layout/>
                <c15:showLeaderLines val="1"/>
                <c15:leaderLines/>
              </c:ext>
            </c:extLst>
          </c:dLbls>
          <c:cat>
            <c:strRef>
              <c:f>'[底稿---自己的.xlsx]Sheet1'!$A$4:$A$7</c:f>
              <c:strCache>
                <c:ptCount val="4"/>
                <c:pt idx="0">
                  <c:v>公共安全支出</c:v>
                </c:pt>
                <c:pt idx="1">
                  <c:v>社会保障和就业支出</c:v>
                </c:pt>
                <c:pt idx="2">
                  <c:v>医疗卫生与计划生育支出</c:v>
                </c:pt>
                <c:pt idx="3">
                  <c:v>住房保障支出</c:v>
                </c:pt>
              </c:strCache>
            </c:strRef>
          </c:cat>
          <c:val>
            <c:numRef>
              <c:f>'[底稿---自己的.xlsx]Sheet1'!$C$4:$C$7</c:f>
              <c:numCache>
                <c:formatCode>0.00_ </c:formatCode>
                <c:ptCount val="4"/>
                <c:pt idx="0">
                  <c:v>1189.16</c:v>
                </c:pt>
                <c:pt idx="1">
                  <c:v>105.54</c:v>
                </c:pt>
                <c:pt idx="2">
                  <c:v>23.94</c:v>
                </c:pt>
                <c:pt idx="3">
                  <c:v>45.89</c:v>
                </c:pt>
              </c:numCache>
            </c:numRef>
          </c:val>
        </c:ser>
        <c:dLbls>
          <c:showLegendKey val="0"/>
          <c:showVal val="1"/>
          <c:showCatName val="0"/>
          <c:showSerName val="0"/>
          <c:showPercent val="1"/>
          <c:showBubbleSize val="0"/>
          <c:showLeaderLines val="1"/>
        </c:dLbls>
        <c:firstSliceAng val="0"/>
      </c:pieChart>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zero"/>
    <c:showDLblsOverMax val="0"/>
    <c:extLst>
      <c:ext uri="{0b15fc19-7d7d-44ad-8c2d-2c3a37ce22c3}">
        <chartProps xmlns="https://web.wps.cn/et/2018/main" chartId="{8ef0b1fd-e35c-455e-b82e-59c338c8b564}"/>
      </c:ext>
    </c:extLst>
  </c:chart>
  <c:txPr>
    <a:bodyPr/>
    <a:lstStyle/>
    <a:p>
      <a:pPr>
        <a:defRPr lang="zh-CN"/>
      </a:pPr>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0.7875</cdr:x>
      <cdr:y>0.125</cdr:y>
    </cdr:from>
    <cdr:to>
      <cdr:x>0.99375</cdr:x>
      <cdr:y>0.21181</cdr:y>
    </cdr:to>
    <cdr:sp>
      <cdr:nvSpPr>
        <cdr:cNvPr id="2" name="矩形 1"/>
        <cdr:cNvSpPr/>
      </cdr:nvSpPr>
      <cdr:spPr xmlns:a="http://schemas.openxmlformats.org/drawingml/2006/main">
        <a:xfrm xmlns:a="http://schemas.openxmlformats.org/drawingml/2006/main">
          <a:off x="3600451" y="342900"/>
          <a:ext cx="942974" cy="238125"/>
        </a:xfrm>
        <a:prstGeom xmlns:a="http://schemas.openxmlformats.org/drawingml/2006/main" prst="rect">
          <a:avLst/>
        </a:prstGeom>
      </cdr:spPr>
      <cdr:txBody xmlns:a="http://schemas.openxmlformats.org/drawingml/2006/main">
        <a:bodyPr vert="horz" wrap="square" lIns="45720" tIns="45720" rIns="45720" bIns="45720" rtlCol="0" anchor="t" anchorCtr="0">
          <a:normAutofit/>
        </a:bodyPr>
        <a:lstStyle/>
        <a:p>
          <a:r>
            <a:rPr lang="zh-CN" altLang="en-US" sz="1000"/>
            <a:t>单位：万元</a:t>
          </a:r>
          <a:endParaRPr lang="zh-CN" altLang="en-US" sz="1000"/>
        </a:p>
      </cdr:txBody>
    </cdr:sp>
  </cdr:relSizeAnchor>
</c:userShapes>
</file>

<file path=word/drawings/drawing2.xml><?xml version="1.0" encoding="utf-8"?>
<c:userShapes xmlns:c="http://schemas.openxmlformats.org/drawingml/2006/chart">
  <cdr:relSizeAnchor xmlns:cdr="http://schemas.openxmlformats.org/drawingml/2006/chartDrawing">
    <cdr:from>
      <cdr:x>0.7875</cdr:x>
      <cdr:y>0.125</cdr:y>
    </cdr:from>
    <cdr:to>
      <cdr:x>0.99375</cdr:x>
      <cdr:y>0.21181</cdr:y>
    </cdr:to>
    <cdr:sp>
      <cdr:nvSpPr>
        <cdr:cNvPr id="2" name="矩形 1"/>
        <cdr:cNvSpPr/>
      </cdr:nvSpPr>
      <cdr:spPr xmlns:a="http://schemas.openxmlformats.org/drawingml/2006/main">
        <a:xfrm xmlns:a="http://schemas.openxmlformats.org/drawingml/2006/main">
          <a:off x="3600451" y="342900"/>
          <a:ext cx="942974" cy="238125"/>
        </a:xfrm>
        <a:prstGeom xmlns:a="http://schemas.openxmlformats.org/drawingml/2006/main" prst="rect">
          <a:avLst/>
        </a:prstGeom>
      </cdr:spPr>
      <cdr:txBody xmlns:a="http://schemas.openxmlformats.org/drawingml/2006/main">
        <a:bodyPr vert="horz" wrap="square" lIns="45720" tIns="45720" rIns="45720" bIns="45720" rtlCol="0" anchor="t" anchorCtr="0">
          <a:normAutofit/>
        </a:bodyPr>
        <a:lstStyle/>
        <a:p>
          <a:r>
            <a:rPr lang="zh-CN" altLang="en-US" sz="1000"/>
            <a:t>单位：万元</a:t>
          </a:r>
          <a:endParaRPr lang="zh-CN" altLang="en-US" sz="1000"/>
        </a:p>
      </cdr:txBody>
    </cdr:sp>
  </cdr:relSizeAnchor>
</c:userShap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35</Pages>
  <Words>4803</Words>
  <Characters>5180</Characters>
  <Lines>0</Lines>
  <Paragraphs>0</Paragraphs>
  <TotalTime>121</TotalTime>
  <ScaleCrop>false</ScaleCrop>
  <LinksUpToDate>false</LinksUpToDate>
  <CharactersWithSpaces>5337</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2022-11-09T02:33:00Z</dcterms:created>
  <dc:creator>Administrator</dc:creator>
  <cp:lastModifiedBy>Nancy</cp:lastModifiedBy>
  <cp:lastPrinted>2022-11-18T08:27:00Z</cp:lastPrinted>
  <dcterms:modified xsi:type="dcterms:W3CDTF">2025-04-14T06:04:30Z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E8CAC045E8CB4E0DB1B885E61EDCC334_13</vt:lpwstr>
  </property>
  <property fmtid="{D5CDD505-2E9C-101B-9397-08002B2CF9AE}" pid="4" name="KSOTemplateDocerSaveRecord">
    <vt:lpwstr>eyJoZGlkIjoiYTUxMjE0NGUwNzYyMjQ3YTcxM2YxMWU5ZmRkOTYxZWQiLCJ1c2VySWQiOiIxMjczNzE4NDgwIn0=</vt:lpwstr>
  </property>
</Properties>
</file>