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23" w:name="_GoBack"/>
      <w:bookmarkEnd w:id="23"/>
    </w:p>
    <w:p/>
    <w:p/>
    <w:p>
      <w:pPr>
        <w:spacing w:line="960" w:lineRule="exact"/>
        <w:jc w:val="center"/>
        <w:rPr>
          <w:b/>
          <w:bCs/>
          <w:sz w:val="44"/>
          <w:szCs w:val="44"/>
        </w:rPr>
      </w:pPr>
      <w:r>
        <w:rPr>
          <w:rFonts w:hint="eastAsia"/>
          <w:b/>
          <w:bCs/>
          <w:sz w:val="44"/>
          <w:szCs w:val="44"/>
        </w:rPr>
        <w:t>保定市徐水区教育和体育局2022年现代</w:t>
      </w:r>
    </w:p>
    <w:p>
      <w:pPr>
        <w:spacing w:line="960" w:lineRule="exact"/>
        <w:jc w:val="center"/>
        <w:rPr>
          <w:b/>
          <w:bCs/>
          <w:sz w:val="44"/>
          <w:szCs w:val="44"/>
        </w:rPr>
      </w:pPr>
      <w:r>
        <w:rPr>
          <w:rFonts w:hint="eastAsia"/>
          <w:b/>
          <w:bCs/>
          <w:sz w:val="44"/>
          <w:szCs w:val="44"/>
        </w:rPr>
        <w:t>职业教育质量提升计划中央资金项目</w:t>
      </w:r>
    </w:p>
    <w:p>
      <w:pPr>
        <w:spacing w:line="960" w:lineRule="exact"/>
        <w:jc w:val="center"/>
        <w:rPr>
          <w:b/>
          <w:bCs/>
          <w:sz w:val="44"/>
          <w:szCs w:val="44"/>
        </w:rPr>
      </w:pPr>
      <w:r>
        <w:rPr>
          <w:rFonts w:hint="eastAsia"/>
          <w:b/>
          <w:bCs/>
          <w:sz w:val="44"/>
          <w:szCs w:val="44"/>
        </w:rPr>
        <w:t>重点绩效评价报告</w:t>
      </w:r>
    </w:p>
    <w:p/>
    <w:p/>
    <w:p/>
    <w:p/>
    <w:p/>
    <w:p/>
    <w:p/>
    <w:p/>
    <w:p/>
    <w:p>
      <w:pPr>
        <w:jc w:val="left"/>
        <w:rPr>
          <w:b/>
          <w:bCs/>
        </w:rPr>
      </w:pPr>
      <w:r>
        <w:rPr>
          <w:rFonts w:hint="eastAsia"/>
          <w:b/>
          <w:bCs/>
        </w:rPr>
        <w:t>评价机构：上海闻政管理咨询有限公司河北分公司</w:t>
      </w:r>
    </w:p>
    <w:p>
      <w:pPr>
        <w:jc w:val="left"/>
        <w:rPr>
          <w:b/>
          <w:bCs/>
        </w:rPr>
      </w:pPr>
      <w:r>
        <w:rPr>
          <w:rFonts w:hint="eastAsia"/>
          <w:b/>
          <w:bCs/>
        </w:rPr>
        <w:t>委托单位：保定市徐水区财政局</w:t>
      </w:r>
    </w:p>
    <w:p>
      <w:pPr>
        <w:jc w:val="left"/>
        <w:rPr>
          <w:b/>
          <w:bCs/>
        </w:rPr>
      </w:pPr>
      <w:r>
        <w:rPr>
          <w:rFonts w:hint="eastAsia"/>
          <w:b/>
          <w:bCs/>
        </w:rPr>
        <w:t>被评价单位：保定市徐水区教育和体育局</w:t>
      </w:r>
    </w:p>
    <w:p>
      <w:pPr>
        <w:jc w:val="left"/>
        <w:rPr>
          <w:b/>
          <w:bCs/>
        </w:rPr>
      </w:pPr>
      <w:r>
        <w:rPr>
          <w:rFonts w:hint="eastAsia"/>
          <w:b/>
          <w:bCs/>
        </w:rPr>
        <w:t>报告时间：2023年6月</w:t>
      </w:r>
    </w:p>
    <w:p/>
    <w:sdt>
      <w:sdtPr>
        <w:rPr>
          <w:rFonts w:eastAsia="宋体"/>
          <w:sz w:val="21"/>
        </w:rPr>
        <w:id w:val="147456272"/>
        <w15:color w:val="DBDBDB"/>
        <w:docPartObj>
          <w:docPartGallery w:val="Table of Contents"/>
          <w:docPartUnique/>
        </w:docPartObj>
      </w:sdtPr>
      <w:sdtEndPr>
        <w:rPr>
          <w:rFonts w:hint="eastAsia" w:eastAsia="仿宋_GB2312"/>
          <w:b/>
          <w:sz w:val="32"/>
        </w:rPr>
      </w:sdtEndPr>
      <w:sdtContent>
        <w:p>
          <w:pPr>
            <w:jc w:val="center"/>
          </w:pPr>
          <w:r>
            <w:rPr>
              <w:rFonts w:eastAsia="宋体"/>
              <w:b/>
              <w:bCs/>
              <w:sz w:val="36"/>
              <w:szCs w:val="36"/>
            </w:rPr>
            <w:t>目</w:t>
          </w:r>
          <w:r>
            <w:rPr>
              <w:rFonts w:hint="eastAsia" w:eastAsia="宋体"/>
              <w:b/>
              <w:bCs/>
              <w:sz w:val="36"/>
              <w:szCs w:val="36"/>
            </w:rPr>
            <w:t xml:space="preserve"> </w:t>
          </w:r>
          <w:r>
            <w:rPr>
              <w:rFonts w:eastAsia="宋体"/>
              <w:b/>
              <w:bCs/>
              <w:sz w:val="36"/>
              <w:szCs w:val="36"/>
            </w:rPr>
            <w:t>录</w:t>
          </w:r>
        </w:p>
        <w:p>
          <w:pPr>
            <w:pStyle w:val="9"/>
            <w:tabs>
              <w:tab w:val="right" w:leader="dot" w:pos="8296"/>
            </w:tabs>
            <w:rPr>
              <w:rFonts w:asciiTheme="minorHAnsi" w:hAnsiTheme="minorHAnsi" w:eastAsiaTheme="minorEastAsia"/>
              <w:sz w:val="21"/>
              <w:szCs w:val="22"/>
              <w14:ligatures w14:val="standardContextual"/>
            </w:rPr>
          </w:pPr>
          <w:r>
            <w:rPr>
              <w:rFonts w:hint="eastAsia"/>
            </w:rPr>
            <w:fldChar w:fldCharType="begin"/>
          </w:r>
          <w:r>
            <w:rPr>
              <w:rFonts w:hint="eastAsia"/>
            </w:rPr>
            <w:instrText xml:space="preserve">TOC \o "1-2" \h \u </w:instrText>
          </w:r>
          <w:r>
            <w:rPr>
              <w:rFonts w:hint="eastAsia"/>
            </w:rPr>
            <w:fldChar w:fldCharType="separate"/>
          </w:r>
          <w:r>
            <w:fldChar w:fldCharType="begin"/>
          </w:r>
          <w:r>
            <w:instrText xml:space="preserve"> HYPERLINK \l "_Toc142381549" </w:instrText>
          </w:r>
          <w:r>
            <w:fldChar w:fldCharType="separate"/>
          </w:r>
          <w:r>
            <w:rPr>
              <w:rStyle w:val="15"/>
              <w:bCs/>
            </w:rPr>
            <w:t>摘 要</w:t>
          </w:r>
          <w:r>
            <w:tab/>
          </w:r>
          <w:r>
            <w:fldChar w:fldCharType="begin"/>
          </w:r>
          <w:r>
            <w:instrText xml:space="preserve"> PAGEREF _Toc142381549 \h </w:instrText>
          </w:r>
          <w:r>
            <w:fldChar w:fldCharType="separate"/>
          </w:r>
          <w:r>
            <w:t>1</w:t>
          </w:r>
          <w:r>
            <w:fldChar w:fldCharType="end"/>
          </w:r>
          <w:r>
            <w:fldChar w:fldCharType="end"/>
          </w:r>
        </w:p>
        <w:p>
          <w:pPr>
            <w:pStyle w:val="9"/>
            <w:tabs>
              <w:tab w:val="right" w:leader="dot" w:pos="8296"/>
            </w:tabs>
            <w:rPr>
              <w:rFonts w:asciiTheme="minorHAnsi" w:hAnsiTheme="minorHAnsi" w:eastAsiaTheme="minorEastAsia"/>
              <w:sz w:val="21"/>
              <w:szCs w:val="22"/>
              <w14:ligatures w14:val="standardContextual"/>
            </w:rPr>
          </w:pPr>
          <w:r>
            <w:fldChar w:fldCharType="begin"/>
          </w:r>
          <w:r>
            <w:instrText xml:space="preserve"> HYPERLINK \l "_Toc142381550" </w:instrText>
          </w:r>
          <w:r>
            <w:fldChar w:fldCharType="separate"/>
          </w:r>
          <w:r>
            <w:rPr>
              <w:rStyle w:val="15"/>
              <w:bCs/>
            </w:rPr>
            <w:t>一、基本情况</w:t>
          </w:r>
          <w:r>
            <w:tab/>
          </w:r>
          <w:r>
            <w:fldChar w:fldCharType="begin"/>
          </w:r>
          <w:r>
            <w:instrText xml:space="preserve"> PAGEREF _Toc142381550 \h </w:instrText>
          </w:r>
          <w:r>
            <w:fldChar w:fldCharType="separate"/>
          </w:r>
          <w:r>
            <w:t>1</w:t>
          </w:r>
          <w:r>
            <w:fldChar w:fldCharType="end"/>
          </w:r>
          <w:r>
            <w:fldChar w:fldCharType="end"/>
          </w:r>
        </w:p>
        <w:p>
          <w:pPr>
            <w:pStyle w:val="10"/>
            <w:tabs>
              <w:tab w:val="right" w:leader="dot" w:pos="8296"/>
            </w:tabs>
            <w:ind w:left="640"/>
            <w:rPr>
              <w:rFonts w:asciiTheme="minorHAnsi" w:hAnsiTheme="minorHAnsi" w:eastAsiaTheme="minorEastAsia"/>
              <w:sz w:val="21"/>
              <w:szCs w:val="22"/>
              <w14:ligatures w14:val="standardContextual"/>
            </w:rPr>
          </w:pPr>
          <w:r>
            <w:fldChar w:fldCharType="begin"/>
          </w:r>
          <w:r>
            <w:instrText xml:space="preserve"> HYPERLINK \l "_Toc142381551" </w:instrText>
          </w:r>
          <w:r>
            <w:fldChar w:fldCharType="separate"/>
          </w:r>
          <w:r>
            <w:rPr>
              <w:rStyle w:val="15"/>
            </w:rPr>
            <w:t>（一）项目概括</w:t>
          </w:r>
          <w:r>
            <w:tab/>
          </w:r>
          <w:r>
            <w:fldChar w:fldCharType="begin"/>
          </w:r>
          <w:r>
            <w:instrText xml:space="preserve"> PAGEREF _Toc142381551 \h </w:instrText>
          </w:r>
          <w:r>
            <w:fldChar w:fldCharType="separate"/>
          </w:r>
          <w:r>
            <w:t>1</w:t>
          </w:r>
          <w:r>
            <w:fldChar w:fldCharType="end"/>
          </w:r>
          <w:r>
            <w:fldChar w:fldCharType="end"/>
          </w:r>
        </w:p>
        <w:p>
          <w:pPr>
            <w:pStyle w:val="10"/>
            <w:tabs>
              <w:tab w:val="right" w:leader="dot" w:pos="8296"/>
            </w:tabs>
            <w:ind w:left="640"/>
            <w:rPr>
              <w:rFonts w:asciiTheme="minorHAnsi" w:hAnsiTheme="minorHAnsi" w:eastAsiaTheme="minorEastAsia"/>
              <w:sz w:val="21"/>
              <w:szCs w:val="22"/>
              <w14:ligatures w14:val="standardContextual"/>
            </w:rPr>
          </w:pPr>
          <w:r>
            <w:fldChar w:fldCharType="begin"/>
          </w:r>
          <w:r>
            <w:instrText xml:space="preserve"> HYPERLINK \l "_Toc142381552" </w:instrText>
          </w:r>
          <w:r>
            <w:fldChar w:fldCharType="separate"/>
          </w:r>
          <w:r>
            <w:rPr>
              <w:rStyle w:val="15"/>
            </w:rPr>
            <w:t>（二）项目绩效目标</w:t>
          </w:r>
          <w:r>
            <w:tab/>
          </w:r>
          <w:r>
            <w:fldChar w:fldCharType="begin"/>
          </w:r>
          <w:r>
            <w:instrText xml:space="preserve"> PAGEREF _Toc142381552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sz w:val="21"/>
              <w:szCs w:val="22"/>
              <w14:ligatures w14:val="standardContextual"/>
            </w:rPr>
          </w:pPr>
          <w:r>
            <w:fldChar w:fldCharType="begin"/>
          </w:r>
          <w:r>
            <w:instrText xml:space="preserve"> HYPERLINK \l "_Toc142381553" </w:instrText>
          </w:r>
          <w:r>
            <w:fldChar w:fldCharType="separate"/>
          </w:r>
          <w:r>
            <w:rPr>
              <w:rStyle w:val="15"/>
              <w:bCs/>
            </w:rPr>
            <w:t>二、绩效评价工作开展情况</w:t>
          </w:r>
          <w:r>
            <w:tab/>
          </w:r>
          <w:r>
            <w:fldChar w:fldCharType="begin"/>
          </w:r>
          <w:r>
            <w:instrText xml:space="preserve"> PAGEREF _Toc142381553 \h </w:instrText>
          </w:r>
          <w:r>
            <w:fldChar w:fldCharType="separate"/>
          </w:r>
          <w:r>
            <w:t>7</w:t>
          </w:r>
          <w:r>
            <w:fldChar w:fldCharType="end"/>
          </w:r>
          <w:r>
            <w:fldChar w:fldCharType="end"/>
          </w:r>
        </w:p>
        <w:p>
          <w:pPr>
            <w:pStyle w:val="10"/>
            <w:tabs>
              <w:tab w:val="right" w:leader="dot" w:pos="8296"/>
            </w:tabs>
            <w:ind w:left="640"/>
            <w:rPr>
              <w:rFonts w:asciiTheme="minorHAnsi" w:hAnsiTheme="minorHAnsi" w:eastAsiaTheme="minorEastAsia"/>
              <w:sz w:val="21"/>
              <w:szCs w:val="22"/>
              <w14:ligatures w14:val="standardContextual"/>
            </w:rPr>
          </w:pPr>
          <w:r>
            <w:fldChar w:fldCharType="begin"/>
          </w:r>
          <w:r>
            <w:instrText xml:space="preserve"> HYPERLINK \l "_Toc142381554" </w:instrText>
          </w:r>
          <w:r>
            <w:fldChar w:fldCharType="separate"/>
          </w:r>
          <w:r>
            <w:rPr>
              <w:rStyle w:val="15"/>
            </w:rPr>
            <w:t>（一）绩效评价目的、对象和范围</w:t>
          </w:r>
          <w:r>
            <w:tab/>
          </w:r>
          <w:r>
            <w:fldChar w:fldCharType="begin"/>
          </w:r>
          <w:r>
            <w:instrText xml:space="preserve"> PAGEREF _Toc142381554 \h </w:instrText>
          </w:r>
          <w:r>
            <w:fldChar w:fldCharType="separate"/>
          </w:r>
          <w:r>
            <w:t>7</w:t>
          </w:r>
          <w:r>
            <w:fldChar w:fldCharType="end"/>
          </w:r>
          <w:r>
            <w:fldChar w:fldCharType="end"/>
          </w:r>
        </w:p>
        <w:p>
          <w:pPr>
            <w:pStyle w:val="10"/>
            <w:tabs>
              <w:tab w:val="right" w:leader="dot" w:pos="8296"/>
            </w:tabs>
            <w:ind w:left="640"/>
            <w:rPr>
              <w:rFonts w:asciiTheme="minorHAnsi" w:hAnsiTheme="minorHAnsi" w:eastAsiaTheme="minorEastAsia"/>
              <w:sz w:val="21"/>
              <w:szCs w:val="22"/>
              <w14:ligatures w14:val="standardContextual"/>
            </w:rPr>
          </w:pPr>
          <w:r>
            <w:fldChar w:fldCharType="begin"/>
          </w:r>
          <w:r>
            <w:instrText xml:space="preserve"> HYPERLINK \l "_Toc142381555" </w:instrText>
          </w:r>
          <w:r>
            <w:fldChar w:fldCharType="separate"/>
          </w:r>
          <w:r>
            <w:rPr>
              <w:rStyle w:val="15"/>
            </w:rPr>
            <w:t>（二）绩效评价原则、评价指标体系、评价方法、评价标准</w:t>
          </w:r>
          <w:r>
            <w:tab/>
          </w:r>
          <w:r>
            <w:fldChar w:fldCharType="begin"/>
          </w:r>
          <w:r>
            <w:instrText xml:space="preserve"> PAGEREF _Toc142381555 \h </w:instrText>
          </w:r>
          <w:r>
            <w:fldChar w:fldCharType="separate"/>
          </w:r>
          <w:r>
            <w:t>8</w:t>
          </w:r>
          <w:r>
            <w:fldChar w:fldCharType="end"/>
          </w:r>
          <w:r>
            <w:fldChar w:fldCharType="end"/>
          </w:r>
        </w:p>
        <w:p>
          <w:pPr>
            <w:pStyle w:val="10"/>
            <w:tabs>
              <w:tab w:val="right" w:leader="dot" w:pos="8296"/>
            </w:tabs>
            <w:ind w:left="640"/>
            <w:rPr>
              <w:rFonts w:asciiTheme="minorHAnsi" w:hAnsiTheme="minorHAnsi" w:eastAsiaTheme="minorEastAsia"/>
              <w:sz w:val="21"/>
              <w:szCs w:val="22"/>
              <w14:ligatures w14:val="standardContextual"/>
            </w:rPr>
          </w:pPr>
          <w:r>
            <w:fldChar w:fldCharType="begin"/>
          </w:r>
          <w:r>
            <w:instrText xml:space="preserve"> HYPERLINK \l "_Toc142381556" </w:instrText>
          </w:r>
          <w:r>
            <w:fldChar w:fldCharType="separate"/>
          </w:r>
          <w:r>
            <w:rPr>
              <w:rStyle w:val="15"/>
            </w:rPr>
            <w:t>（三）绩效评价工作过程</w:t>
          </w:r>
          <w:r>
            <w:tab/>
          </w:r>
          <w:r>
            <w:fldChar w:fldCharType="begin"/>
          </w:r>
          <w:r>
            <w:instrText xml:space="preserve"> PAGEREF _Toc142381556 \h </w:instrText>
          </w:r>
          <w:r>
            <w:fldChar w:fldCharType="separate"/>
          </w:r>
          <w:r>
            <w:t>12</w:t>
          </w:r>
          <w:r>
            <w:fldChar w:fldCharType="end"/>
          </w:r>
          <w:r>
            <w:fldChar w:fldCharType="end"/>
          </w:r>
        </w:p>
        <w:p>
          <w:pPr>
            <w:pStyle w:val="9"/>
            <w:tabs>
              <w:tab w:val="right" w:leader="dot" w:pos="8296"/>
            </w:tabs>
            <w:rPr>
              <w:rFonts w:asciiTheme="minorHAnsi" w:hAnsiTheme="minorHAnsi" w:eastAsiaTheme="minorEastAsia"/>
              <w:sz w:val="21"/>
              <w:szCs w:val="22"/>
              <w14:ligatures w14:val="standardContextual"/>
            </w:rPr>
          </w:pPr>
          <w:r>
            <w:fldChar w:fldCharType="begin"/>
          </w:r>
          <w:r>
            <w:instrText xml:space="preserve"> HYPERLINK \l "_Toc142381557" </w:instrText>
          </w:r>
          <w:r>
            <w:fldChar w:fldCharType="separate"/>
          </w:r>
          <w:r>
            <w:rPr>
              <w:rStyle w:val="15"/>
              <w:bCs/>
            </w:rPr>
            <w:t>三、综合评价情况及评价结论</w:t>
          </w:r>
          <w:r>
            <w:tab/>
          </w:r>
          <w:r>
            <w:fldChar w:fldCharType="begin"/>
          </w:r>
          <w:r>
            <w:instrText xml:space="preserve"> PAGEREF _Toc142381557 \h </w:instrText>
          </w:r>
          <w:r>
            <w:fldChar w:fldCharType="separate"/>
          </w:r>
          <w:r>
            <w:t>13</w:t>
          </w:r>
          <w:r>
            <w:fldChar w:fldCharType="end"/>
          </w:r>
          <w:r>
            <w:fldChar w:fldCharType="end"/>
          </w:r>
        </w:p>
        <w:p>
          <w:pPr>
            <w:pStyle w:val="9"/>
            <w:tabs>
              <w:tab w:val="right" w:leader="dot" w:pos="8296"/>
            </w:tabs>
            <w:rPr>
              <w:rFonts w:asciiTheme="minorHAnsi" w:hAnsiTheme="minorHAnsi" w:eastAsiaTheme="minorEastAsia"/>
              <w:sz w:val="21"/>
              <w:szCs w:val="22"/>
              <w14:ligatures w14:val="standardContextual"/>
            </w:rPr>
          </w:pPr>
          <w:r>
            <w:fldChar w:fldCharType="begin"/>
          </w:r>
          <w:r>
            <w:instrText xml:space="preserve"> HYPERLINK \l "_Toc142381558" </w:instrText>
          </w:r>
          <w:r>
            <w:fldChar w:fldCharType="separate"/>
          </w:r>
          <w:r>
            <w:rPr>
              <w:rStyle w:val="15"/>
              <w:bCs/>
            </w:rPr>
            <w:t>四、绩效评价指标分析</w:t>
          </w:r>
          <w:r>
            <w:tab/>
          </w:r>
          <w:r>
            <w:fldChar w:fldCharType="begin"/>
          </w:r>
          <w:r>
            <w:instrText xml:space="preserve"> PAGEREF _Toc142381558 \h </w:instrText>
          </w:r>
          <w:r>
            <w:fldChar w:fldCharType="separate"/>
          </w:r>
          <w:r>
            <w:t>15</w:t>
          </w:r>
          <w:r>
            <w:fldChar w:fldCharType="end"/>
          </w:r>
          <w:r>
            <w:fldChar w:fldCharType="end"/>
          </w:r>
        </w:p>
        <w:p>
          <w:pPr>
            <w:pStyle w:val="10"/>
            <w:tabs>
              <w:tab w:val="right" w:leader="dot" w:pos="8296"/>
            </w:tabs>
            <w:ind w:left="640"/>
            <w:rPr>
              <w:rFonts w:asciiTheme="minorHAnsi" w:hAnsiTheme="minorHAnsi" w:eastAsiaTheme="minorEastAsia"/>
              <w:sz w:val="21"/>
              <w:szCs w:val="22"/>
              <w14:ligatures w14:val="standardContextual"/>
            </w:rPr>
          </w:pPr>
          <w:r>
            <w:fldChar w:fldCharType="begin"/>
          </w:r>
          <w:r>
            <w:instrText xml:space="preserve"> HYPERLINK \l "_Toc142381559" </w:instrText>
          </w:r>
          <w:r>
            <w:fldChar w:fldCharType="separate"/>
          </w:r>
          <w:r>
            <w:rPr>
              <w:rStyle w:val="15"/>
            </w:rPr>
            <w:t>（一）项目决策情况</w:t>
          </w:r>
          <w:r>
            <w:tab/>
          </w:r>
          <w:r>
            <w:fldChar w:fldCharType="begin"/>
          </w:r>
          <w:r>
            <w:instrText xml:space="preserve"> PAGEREF _Toc142381559 \h </w:instrText>
          </w:r>
          <w:r>
            <w:fldChar w:fldCharType="separate"/>
          </w:r>
          <w:r>
            <w:t>15</w:t>
          </w:r>
          <w:r>
            <w:fldChar w:fldCharType="end"/>
          </w:r>
          <w:r>
            <w:fldChar w:fldCharType="end"/>
          </w:r>
        </w:p>
        <w:p>
          <w:pPr>
            <w:pStyle w:val="10"/>
            <w:tabs>
              <w:tab w:val="right" w:leader="dot" w:pos="8296"/>
            </w:tabs>
            <w:ind w:left="640"/>
            <w:rPr>
              <w:rFonts w:asciiTheme="minorHAnsi" w:hAnsiTheme="minorHAnsi" w:eastAsiaTheme="minorEastAsia"/>
              <w:sz w:val="21"/>
              <w:szCs w:val="22"/>
              <w14:ligatures w14:val="standardContextual"/>
            </w:rPr>
          </w:pPr>
          <w:r>
            <w:fldChar w:fldCharType="begin"/>
          </w:r>
          <w:r>
            <w:instrText xml:space="preserve"> HYPERLINK \l "_Toc142381560" </w:instrText>
          </w:r>
          <w:r>
            <w:fldChar w:fldCharType="separate"/>
          </w:r>
          <w:r>
            <w:rPr>
              <w:rStyle w:val="15"/>
            </w:rPr>
            <w:t>（二）项目过程情况</w:t>
          </w:r>
          <w:r>
            <w:tab/>
          </w:r>
          <w:r>
            <w:fldChar w:fldCharType="begin"/>
          </w:r>
          <w:r>
            <w:instrText xml:space="preserve"> PAGEREF _Toc142381560 \h </w:instrText>
          </w:r>
          <w:r>
            <w:fldChar w:fldCharType="separate"/>
          </w:r>
          <w:r>
            <w:t>19</w:t>
          </w:r>
          <w:r>
            <w:fldChar w:fldCharType="end"/>
          </w:r>
          <w:r>
            <w:fldChar w:fldCharType="end"/>
          </w:r>
        </w:p>
        <w:p>
          <w:pPr>
            <w:pStyle w:val="10"/>
            <w:tabs>
              <w:tab w:val="right" w:leader="dot" w:pos="8296"/>
            </w:tabs>
            <w:ind w:left="640"/>
            <w:rPr>
              <w:rFonts w:asciiTheme="minorHAnsi" w:hAnsiTheme="minorHAnsi" w:eastAsiaTheme="minorEastAsia"/>
              <w:sz w:val="21"/>
              <w:szCs w:val="22"/>
              <w14:ligatures w14:val="standardContextual"/>
            </w:rPr>
          </w:pPr>
          <w:r>
            <w:fldChar w:fldCharType="begin"/>
          </w:r>
          <w:r>
            <w:instrText xml:space="preserve"> HYPERLINK \l "_Toc142381561" </w:instrText>
          </w:r>
          <w:r>
            <w:fldChar w:fldCharType="separate"/>
          </w:r>
          <w:r>
            <w:rPr>
              <w:rStyle w:val="15"/>
            </w:rPr>
            <w:t>（三）项目产出情况</w:t>
          </w:r>
          <w:r>
            <w:tab/>
          </w:r>
          <w:r>
            <w:fldChar w:fldCharType="begin"/>
          </w:r>
          <w:r>
            <w:instrText xml:space="preserve"> PAGEREF _Toc142381561 \h </w:instrText>
          </w:r>
          <w:r>
            <w:fldChar w:fldCharType="separate"/>
          </w:r>
          <w:r>
            <w:t>21</w:t>
          </w:r>
          <w:r>
            <w:fldChar w:fldCharType="end"/>
          </w:r>
          <w:r>
            <w:fldChar w:fldCharType="end"/>
          </w:r>
        </w:p>
        <w:p>
          <w:pPr>
            <w:pStyle w:val="10"/>
            <w:tabs>
              <w:tab w:val="right" w:leader="dot" w:pos="8296"/>
            </w:tabs>
            <w:ind w:left="640"/>
            <w:rPr>
              <w:rFonts w:asciiTheme="minorHAnsi" w:hAnsiTheme="minorHAnsi" w:eastAsiaTheme="minorEastAsia"/>
              <w:sz w:val="21"/>
              <w:szCs w:val="22"/>
              <w14:ligatures w14:val="standardContextual"/>
            </w:rPr>
          </w:pPr>
          <w:r>
            <w:fldChar w:fldCharType="begin"/>
          </w:r>
          <w:r>
            <w:instrText xml:space="preserve"> HYPERLINK \l "_Toc142381562" </w:instrText>
          </w:r>
          <w:r>
            <w:fldChar w:fldCharType="separate"/>
          </w:r>
          <w:r>
            <w:rPr>
              <w:rStyle w:val="15"/>
            </w:rPr>
            <w:t>（四）项目效益情况</w:t>
          </w:r>
          <w:r>
            <w:tab/>
          </w:r>
          <w:r>
            <w:fldChar w:fldCharType="begin"/>
          </w:r>
          <w:r>
            <w:instrText xml:space="preserve"> PAGEREF _Toc142381562 \h </w:instrText>
          </w:r>
          <w:r>
            <w:fldChar w:fldCharType="separate"/>
          </w:r>
          <w:r>
            <w:t>27</w:t>
          </w:r>
          <w:r>
            <w:fldChar w:fldCharType="end"/>
          </w:r>
          <w:r>
            <w:fldChar w:fldCharType="end"/>
          </w:r>
        </w:p>
        <w:p>
          <w:pPr>
            <w:pStyle w:val="9"/>
            <w:tabs>
              <w:tab w:val="right" w:leader="dot" w:pos="8296"/>
            </w:tabs>
            <w:rPr>
              <w:rFonts w:asciiTheme="minorHAnsi" w:hAnsiTheme="minorHAnsi" w:eastAsiaTheme="minorEastAsia"/>
              <w:sz w:val="21"/>
              <w:szCs w:val="22"/>
              <w14:ligatures w14:val="standardContextual"/>
            </w:rPr>
          </w:pPr>
          <w:r>
            <w:fldChar w:fldCharType="begin"/>
          </w:r>
          <w:r>
            <w:instrText xml:space="preserve"> HYPERLINK \l "_Toc142381563" </w:instrText>
          </w:r>
          <w:r>
            <w:fldChar w:fldCharType="separate"/>
          </w:r>
          <w:r>
            <w:rPr>
              <w:rStyle w:val="15"/>
              <w:bCs/>
            </w:rPr>
            <w:t>五、主要经验及做法、存在的问题及原因分析</w:t>
          </w:r>
          <w:r>
            <w:tab/>
          </w:r>
          <w:r>
            <w:fldChar w:fldCharType="begin"/>
          </w:r>
          <w:r>
            <w:instrText xml:space="preserve"> PAGEREF _Toc142381563 \h </w:instrText>
          </w:r>
          <w:r>
            <w:fldChar w:fldCharType="separate"/>
          </w:r>
          <w:r>
            <w:t>29</w:t>
          </w:r>
          <w:r>
            <w:fldChar w:fldCharType="end"/>
          </w:r>
          <w:r>
            <w:fldChar w:fldCharType="end"/>
          </w:r>
        </w:p>
        <w:p>
          <w:pPr>
            <w:pStyle w:val="10"/>
            <w:tabs>
              <w:tab w:val="right" w:leader="dot" w:pos="8296"/>
            </w:tabs>
            <w:ind w:left="640"/>
            <w:rPr>
              <w:rFonts w:asciiTheme="minorHAnsi" w:hAnsiTheme="minorHAnsi" w:eastAsiaTheme="minorEastAsia"/>
              <w:sz w:val="21"/>
              <w:szCs w:val="22"/>
              <w14:ligatures w14:val="standardContextual"/>
            </w:rPr>
          </w:pPr>
          <w:r>
            <w:fldChar w:fldCharType="begin"/>
          </w:r>
          <w:r>
            <w:instrText xml:space="preserve"> HYPERLINK \l "_Toc142381564" </w:instrText>
          </w:r>
          <w:r>
            <w:fldChar w:fldCharType="separate"/>
          </w:r>
          <w:r>
            <w:rPr>
              <w:rStyle w:val="15"/>
            </w:rPr>
            <w:t>（一）主要经验及做法</w:t>
          </w:r>
          <w:r>
            <w:tab/>
          </w:r>
          <w:r>
            <w:fldChar w:fldCharType="begin"/>
          </w:r>
          <w:r>
            <w:instrText xml:space="preserve"> PAGEREF _Toc142381564 \h </w:instrText>
          </w:r>
          <w:r>
            <w:fldChar w:fldCharType="separate"/>
          </w:r>
          <w:r>
            <w:t>29</w:t>
          </w:r>
          <w:r>
            <w:fldChar w:fldCharType="end"/>
          </w:r>
          <w:r>
            <w:fldChar w:fldCharType="end"/>
          </w:r>
        </w:p>
        <w:p>
          <w:pPr>
            <w:pStyle w:val="10"/>
            <w:tabs>
              <w:tab w:val="right" w:leader="dot" w:pos="8296"/>
            </w:tabs>
            <w:ind w:left="640"/>
            <w:rPr>
              <w:rFonts w:asciiTheme="minorHAnsi" w:hAnsiTheme="minorHAnsi" w:eastAsiaTheme="minorEastAsia"/>
              <w:sz w:val="21"/>
              <w:szCs w:val="22"/>
              <w14:ligatures w14:val="standardContextual"/>
            </w:rPr>
          </w:pPr>
          <w:r>
            <w:fldChar w:fldCharType="begin"/>
          </w:r>
          <w:r>
            <w:instrText xml:space="preserve"> HYPERLINK \l "_Toc142381565" </w:instrText>
          </w:r>
          <w:r>
            <w:fldChar w:fldCharType="separate"/>
          </w:r>
          <w:r>
            <w:rPr>
              <w:rStyle w:val="15"/>
            </w:rPr>
            <w:t>（二）存在的问题及原因分析</w:t>
          </w:r>
          <w:r>
            <w:tab/>
          </w:r>
          <w:r>
            <w:fldChar w:fldCharType="begin"/>
          </w:r>
          <w:r>
            <w:instrText xml:space="preserve"> PAGEREF _Toc142381565 \h </w:instrText>
          </w:r>
          <w:r>
            <w:fldChar w:fldCharType="separate"/>
          </w:r>
          <w:r>
            <w:t>31</w:t>
          </w:r>
          <w:r>
            <w:fldChar w:fldCharType="end"/>
          </w:r>
          <w:r>
            <w:fldChar w:fldCharType="end"/>
          </w:r>
        </w:p>
        <w:p>
          <w:pPr>
            <w:pStyle w:val="9"/>
            <w:tabs>
              <w:tab w:val="right" w:leader="dot" w:pos="8296"/>
            </w:tabs>
            <w:rPr>
              <w:rFonts w:asciiTheme="minorHAnsi" w:hAnsiTheme="minorHAnsi" w:eastAsiaTheme="minorEastAsia"/>
              <w:sz w:val="21"/>
              <w:szCs w:val="22"/>
              <w14:ligatures w14:val="standardContextual"/>
            </w:rPr>
          </w:pPr>
          <w:r>
            <w:fldChar w:fldCharType="begin"/>
          </w:r>
          <w:r>
            <w:instrText xml:space="preserve"> HYPERLINK \l "_Toc142381566" </w:instrText>
          </w:r>
          <w:r>
            <w:fldChar w:fldCharType="separate"/>
          </w:r>
          <w:r>
            <w:rPr>
              <w:rStyle w:val="15"/>
              <w:bCs/>
            </w:rPr>
            <w:t>六、有关建议</w:t>
          </w:r>
          <w:r>
            <w:tab/>
          </w:r>
          <w:r>
            <w:fldChar w:fldCharType="begin"/>
          </w:r>
          <w:r>
            <w:instrText xml:space="preserve"> PAGEREF _Toc142381566 \h </w:instrText>
          </w:r>
          <w:r>
            <w:fldChar w:fldCharType="separate"/>
          </w:r>
          <w:r>
            <w:t>32</w:t>
          </w:r>
          <w:r>
            <w:fldChar w:fldCharType="end"/>
          </w:r>
          <w:r>
            <w:fldChar w:fldCharType="end"/>
          </w:r>
        </w:p>
        <w:p>
          <w:pPr>
            <w:pStyle w:val="9"/>
            <w:tabs>
              <w:tab w:val="right" w:leader="dot" w:pos="8296"/>
            </w:tabs>
            <w:rPr>
              <w:rFonts w:asciiTheme="minorHAnsi" w:hAnsiTheme="minorHAnsi" w:eastAsiaTheme="minorEastAsia"/>
              <w:sz w:val="21"/>
              <w:szCs w:val="22"/>
              <w14:ligatures w14:val="standardContextual"/>
            </w:rPr>
          </w:pPr>
          <w:r>
            <w:fldChar w:fldCharType="begin"/>
          </w:r>
          <w:r>
            <w:instrText xml:space="preserve"> HYPERLINK \l "_Toc142381567" </w:instrText>
          </w:r>
          <w:r>
            <w:fldChar w:fldCharType="separate"/>
          </w:r>
          <w:r>
            <w:rPr>
              <w:rStyle w:val="15"/>
              <w:bCs/>
            </w:rPr>
            <w:t>七、其他需要说明的问题</w:t>
          </w:r>
          <w:r>
            <w:tab/>
          </w:r>
          <w:r>
            <w:fldChar w:fldCharType="begin"/>
          </w:r>
          <w:r>
            <w:instrText xml:space="preserve"> PAGEREF _Toc142381567 \h </w:instrText>
          </w:r>
          <w:r>
            <w:fldChar w:fldCharType="separate"/>
          </w:r>
          <w:r>
            <w:t>34</w:t>
          </w:r>
          <w:r>
            <w:fldChar w:fldCharType="end"/>
          </w:r>
          <w:r>
            <w:fldChar w:fldCharType="end"/>
          </w:r>
        </w:p>
        <w:p>
          <w:pPr>
            <w:pStyle w:val="9"/>
            <w:tabs>
              <w:tab w:val="right" w:leader="dot" w:pos="8296"/>
            </w:tabs>
            <w:rPr>
              <w:rFonts w:asciiTheme="minorHAnsi" w:hAnsiTheme="minorHAnsi" w:eastAsiaTheme="minorEastAsia"/>
              <w:sz w:val="21"/>
              <w:szCs w:val="22"/>
              <w14:ligatures w14:val="standardContextual"/>
            </w:rPr>
          </w:pPr>
          <w:r>
            <w:fldChar w:fldCharType="begin"/>
          </w:r>
          <w:r>
            <w:instrText xml:space="preserve"> HYPERLINK \l "_Toc142381568" </w:instrText>
          </w:r>
          <w:r>
            <w:fldChar w:fldCharType="separate"/>
          </w:r>
          <w:r>
            <w:rPr>
              <w:rStyle w:val="15"/>
              <w:bCs/>
            </w:rPr>
            <w:t>附件1 评价指标体系及得分表</w:t>
          </w:r>
          <w:r>
            <w:tab/>
          </w:r>
          <w:r>
            <w:fldChar w:fldCharType="begin"/>
          </w:r>
          <w:r>
            <w:instrText xml:space="preserve"> PAGEREF _Toc142381568 \h </w:instrText>
          </w:r>
          <w:r>
            <w:fldChar w:fldCharType="separate"/>
          </w:r>
          <w:r>
            <w:t>35</w:t>
          </w:r>
          <w:r>
            <w:fldChar w:fldCharType="end"/>
          </w:r>
          <w:r>
            <w:fldChar w:fldCharType="end"/>
          </w:r>
        </w:p>
        <w:p>
          <w:pPr>
            <w:pStyle w:val="9"/>
            <w:tabs>
              <w:tab w:val="right" w:leader="dot" w:pos="8296"/>
            </w:tabs>
            <w:rPr>
              <w:rFonts w:asciiTheme="minorHAnsi" w:hAnsiTheme="minorHAnsi" w:eastAsiaTheme="minorEastAsia"/>
              <w:sz w:val="21"/>
              <w:szCs w:val="22"/>
              <w14:ligatures w14:val="standardContextual"/>
            </w:rPr>
          </w:pPr>
          <w:r>
            <w:fldChar w:fldCharType="begin"/>
          </w:r>
          <w:r>
            <w:instrText xml:space="preserve"> HYPERLINK \l "_Toc142381569" </w:instrText>
          </w:r>
          <w:r>
            <w:fldChar w:fldCharType="separate"/>
          </w:r>
          <w:r>
            <w:rPr>
              <w:rStyle w:val="15"/>
              <w:bCs/>
            </w:rPr>
            <w:t>附件2 满意度调查问卷分析报告</w:t>
          </w:r>
          <w:r>
            <w:tab/>
          </w:r>
          <w:r>
            <w:fldChar w:fldCharType="begin"/>
          </w:r>
          <w:r>
            <w:instrText xml:space="preserve"> PAGEREF _Toc142381569 \h </w:instrText>
          </w:r>
          <w:r>
            <w:fldChar w:fldCharType="separate"/>
          </w:r>
          <w:r>
            <w:t>47</w:t>
          </w:r>
          <w:r>
            <w:fldChar w:fldCharType="end"/>
          </w:r>
          <w:r>
            <w:fldChar w:fldCharType="end"/>
          </w:r>
        </w:p>
        <w:p>
          <w:pPr>
            <w:rPr>
              <w:b/>
            </w:rPr>
            <w:sectPr>
              <w:pgSz w:w="11906" w:h="16838"/>
              <w:pgMar w:top="1440" w:right="1800" w:bottom="1440" w:left="1800" w:header="851" w:footer="992" w:gutter="0"/>
              <w:cols w:space="425" w:num="1"/>
              <w:docGrid w:type="lines" w:linePitch="312" w:charSpace="0"/>
            </w:sectPr>
          </w:pPr>
          <w:r>
            <w:rPr>
              <w:rFonts w:hint="eastAsia"/>
            </w:rPr>
            <w:fldChar w:fldCharType="end"/>
          </w:r>
        </w:p>
      </w:sdtContent>
    </w:sdt>
    <w:p>
      <w:pPr>
        <w:pStyle w:val="3"/>
        <w:jc w:val="center"/>
        <w:rPr>
          <w:b w:val="0"/>
          <w:bCs/>
        </w:rPr>
      </w:pPr>
      <w:bookmarkStart w:id="0" w:name="_Toc142381549"/>
      <w:bookmarkStart w:id="1" w:name="_Toc19994"/>
      <w:r>
        <w:rPr>
          <w:rFonts w:hint="eastAsia"/>
          <w:b w:val="0"/>
          <w:bCs/>
        </w:rPr>
        <w:t>摘 要</w:t>
      </w:r>
      <w:bookmarkEnd w:id="0"/>
      <w:bookmarkEnd w:id="1"/>
    </w:p>
    <w:p>
      <w:pPr>
        <w:pStyle w:val="18"/>
        <w:spacing w:line="240" w:lineRule="auto"/>
        <w:ind w:firstLine="640"/>
        <w:rPr>
          <w:sz w:val="32"/>
          <w:szCs w:val="32"/>
        </w:rPr>
      </w:pPr>
      <w:r>
        <w:rPr>
          <w:rFonts w:hint="eastAsia"/>
          <w:sz w:val="32"/>
          <w:szCs w:val="32"/>
        </w:rPr>
        <w:t>为贯彻落实中共中央国务院《关于全面实施预算绩效管理的意见》（中发〔2018〕34号）、省委政府《关于全面实施预算绩效管理的实施意见》（冀发〔2018〕54号），进一步提高财政资金管理水平和使用效益，根据《河北省省级预算绩效重点评价管理办法》（冀财绩〔2019〕11号）、保定市徐水区财政局《关于开展2023年财政重点绩效评价工作的通知》（徐政财字〔2023〕34号）的要求，受保定市徐水区财政局委托，上海闻政管理咨询有限公司河北分公司作为第三方绩效评价中介机构，承担保定市徐水区教育和体育局2022年度现代职业教育质量提升计划中央资金项目绩效评价工作。经过现场访谈、基础数据复核、资料复核、问卷调研，评价组根据核查结果对项目进行评分，并撰写绩效评价报告，完成了绩效评价工作，现将绩效评价情况及评价结果报告如下：</w:t>
      </w:r>
    </w:p>
    <w:p>
      <w:pPr>
        <w:pStyle w:val="3"/>
        <w:spacing w:line="240" w:lineRule="auto"/>
        <w:jc w:val="left"/>
        <w:rPr>
          <w:b w:val="0"/>
          <w:bCs/>
        </w:rPr>
      </w:pPr>
      <w:bookmarkStart w:id="2" w:name="_Toc142381550"/>
      <w:r>
        <w:rPr>
          <w:rFonts w:hint="eastAsia"/>
          <w:b w:val="0"/>
          <w:bCs/>
        </w:rPr>
        <w:t>一、基本情况</w:t>
      </w:r>
      <w:bookmarkEnd w:id="2"/>
    </w:p>
    <w:p>
      <w:pPr>
        <w:pStyle w:val="4"/>
        <w:spacing w:line="240" w:lineRule="auto"/>
      </w:pPr>
      <w:bookmarkStart w:id="3" w:name="_Toc142381551"/>
      <w:r>
        <w:rPr>
          <w:rFonts w:hint="eastAsia"/>
        </w:rPr>
        <w:t>（一）项目概括</w:t>
      </w:r>
      <w:bookmarkEnd w:id="3"/>
    </w:p>
    <w:p>
      <w:pPr>
        <w:pStyle w:val="18"/>
        <w:spacing w:line="240" w:lineRule="auto"/>
        <w:ind w:firstLine="640"/>
        <w:rPr>
          <w:sz w:val="32"/>
          <w:szCs w:val="32"/>
        </w:rPr>
      </w:pPr>
      <w:r>
        <w:rPr>
          <w:rFonts w:hint="eastAsia"/>
          <w:sz w:val="32"/>
          <w:szCs w:val="32"/>
        </w:rPr>
        <w:t>1.项目背景</w:t>
      </w:r>
    </w:p>
    <w:p>
      <w:pPr>
        <w:pStyle w:val="18"/>
        <w:spacing w:line="240" w:lineRule="auto"/>
        <w:ind w:firstLine="640"/>
        <w:rPr>
          <w:sz w:val="32"/>
          <w:szCs w:val="32"/>
        </w:rPr>
      </w:pPr>
      <w:r>
        <w:rPr>
          <w:rFonts w:hint="eastAsia"/>
          <w:sz w:val="32"/>
          <w:szCs w:val="32"/>
        </w:rPr>
        <w:t>随着我国步入新的发展阶段，产业升级和经济结构调整进展迅速，各行各业对技术技能人才的需求变得更加紧迫，职业教育的重要性和作用逐渐凸显出来。为认真贯彻《国务院关于加快发展现代职业教育的决定》（国发〔2014〕19号）和《关于推动现代职业教育高质量发展的意见》（2021年）文件精神，全面贯彻党的十九大和十九届五中全会、深入贯彻落实全国职教大会精神，省政府办公厅发布《教育部河北省人民政府关于提升区域职业教育发展动能打造品质保定的实施意见》（冀政字〔2021〕61号），积极推动教育的健康、持续发展，为我国经济的进一步发展提供有力的人才和智力支持。2021年11月，由河北省财政厅、教育局联合下发的《关于提前下达2022年现代职业教育质量提升计划资金预算的通知》明确了河北省各市县现代职业教育质量提升计划项目的基本原则、任务目标、任务要求及资金分配。结合保定市徐水区实际情况，职业教育中心实施了2022年度现代职业教育质量提升计划中央补助资金项目。通过项目实施，有效改善和提升现代职业教育办学条件，提升教学质量，加强教学基础设施能力建设。</w:t>
      </w:r>
    </w:p>
    <w:p>
      <w:pPr>
        <w:pStyle w:val="18"/>
        <w:spacing w:line="240" w:lineRule="auto"/>
        <w:ind w:firstLine="640"/>
        <w:rPr>
          <w:sz w:val="32"/>
          <w:szCs w:val="32"/>
        </w:rPr>
      </w:pPr>
      <w:r>
        <w:rPr>
          <w:rFonts w:hint="eastAsia"/>
          <w:sz w:val="32"/>
          <w:szCs w:val="32"/>
        </w:rPr>
        <w:t>2.主要内容及实施情况</w:t>
      </w:r>
    </w:p>
    <w:p>
      <w:pPr>
        <w:pStyle w:val="18"/>
        <w:spacing w:line="240" w:lineRule="auto"/>
        <w:ind w:firstLine="640"/>
        <w:rPr>
          <w:sz w:val="32"/>
          <w:szCs w:val="32"/>
        </w:rPr>
      </w:pPr>
      <w:r>
        <w:rPr>
          <w:rFonts w:hint="eastAsia"/>
          <w:sz w:val="32"/>
          <w:szCs w:val="32"/>
        </w:rPr>
        <w:t>（1）主要内容</w:t>
      </w:r>
    </w:p>
    <w:p>
      <w:pPr>
        <w:pStyle w:val="18"/>
        <w:spacing w:line="240" w:lineRule="auto"/>
        <w:ind w:firstLine="640"/>
        <w:rPr>
          <w:sz w:val="32"/>
          <w:szCs w:val="32"/>
        </w:rPr>
      </w:pPr>
      <w:r>
        <w:rPr>
          <w:rFonts w:hint="eastAsia"/>
          <w:sz w:val="32"/>
          <w:szCs w:val="32"/>
        </w:rPr>
        <w:t>主要内容详见表1。</w:t>
      </w:r>
    </w:p>
    <w:p>
      <w:pPr>
        <w:jc w:val="center"/>
        <w:rPr>
          <w:b/>
          <w:bCs/>
        </w:rPr>
      </w:pPr>
      <w:r>
        <w:rPr>
          <w:rFonts w:hint="eastAsia"/>
          <w:b/>
          <w:bCs/>
        </w:rPr>
        <w:t>表1 职业教育中心质量提升计划主要内容</w:t>
      </w:r>
    </w:p>
    <w:tbl>
      <w:tblPr>
        <w:tblStyle w:val="12"/>
        <w:tblW w:w="5894"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1601"/>
        <w:gridCol w:w="6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5" w:type="pct"/>
            <w:shd w:val="clear" w:color="auto" w:fill="E7E6E6" w:themeFill="background2"/>
          </w:tcPr>
          <w:p>
            <w:pPr>
              <w:jc w:val="center"/>
              <w:rPr>
                <w:rFonts w:cs="Times New Roman"/>
                <w:b/>
                <w:bCs/>
                <w:sz w:val="28"/>
                <w:szCs w:val="28"/>
              </w:rPr>
            </w:pPr>
            <w:r>
              <w:rPr>
                <w:rFonts w:hint="eastAsia" w:cs="Times New Roman"/>
                <w:b/>
                <w:bCs/>
                <w:sz w:val="28"/>
                <w:szCs w:val="28"/>
              </w:rPr>
              <w:t>类型</w:t>
            </w:r>
          </w:p>
        </w:tc>
        <w:tc>
          <w:tcPr>
            <w:tcW w:w="797" w:type="pct"/>
            <w:shd w:val="clear" w:color="auto" w:fill="E7E6E6" w:themeFill="background2"/>
          </w:tcPr>
          <w:p>
            <w:pPr>
              <w:jc w:val="center"/>
              <w:rPr>
                <w:rFonts w:cs="Times New Roman"/>
                <w:b/>
                <w:bCs/>
                <w:sz w:val="28"/>
                <w:szCs w:val="28"/>
              </w:rPr>
            </w:pPr>
            <w:r>
              <w:rPr>
                <w:rFonts w:hint="eastAsia" w:cs="Times New Roman"/>
                <w:b/>
                <w:bCs/>
                <w:sz w:val="28"/>
                <w:szCs w:val="28"/>
              </w:rPr>
              <w:t>对象</w:t>
            </w:r>
          </w:p>
        </w:tc>
        <w:tc>
          <w:tcPr>
            <w:tcW w:w="3478" w:type="pct"/>
            <w:shd w:val="clear" w:color="auto" w:fill="E7E6E6" w:themeFill="background2"/>
          </w:tcPr>
          <w:p>
            <w:pPr>
              <w:jc w:val="center"/>
              <w:rPr>
                <w:rFonts w:cs="Times New Roman"/>
                <w:b/>
                <w:bCs/>
                <w:sz w:val="28"/>
                <w:szCs w:val="28"/>
              </w:rPr>
            </w:pPr>
            <w:r>
              <w:rPr>
                <w:rFonts w:hint="eastAsia" w:cs="Times New Roman"/>
                <w:b/>
                <w:bCs/>
                <w:sz w:val="28"/>
                <w:szCs w:val="28"/>
              </w:rPr>
              <w:t>质量提升内容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Merge w:val="restart"/>
            <w:vAlign w:val="center"/>
          </w:tcPr>
          <w:p>
            <w:pPr>
              <w:jc w:val="center"/>
              <w:rPr>
                <w:rFonts w:cs="Times New Roman"/>
                <w:sz w:val="24"/>
              </w:rPr>
            </w:pPr>
            <w:r>
              <w:rPr>
                <w:rFonts w:hint="eastAsia" w:cs="Times New Roman"/>
                <w:sz w:val="24"/>
              </w:rPr>
              <w:t>设备购置</w:t>
            </w:r>
          </w:p>
        </w:tc>
        <w:tc>
          <w:tcPr>
            <w:tcW w:w="797" w:type="pct"/>
            <w:vAlign w:val="center"/>
          </w:tcPr>
          <w:p>
            <w:pPr>
              <w:jc w:val="center"/>
              <w:rPr>
                <w:rFonts w:cs="Times New Roman"/>
                <w:sz w:val="24"/>
              </w:rPr>
            </w:pPr>
            <w:r>
              <w:rPr>
                <w:rFonts w:hint="eastAsia" w:cs="Times New Roman"/>
                <w:sz w:val="24"/>
              </w:rPr>
              <w:t>计算机专业</w:t>
            </w:r>
          </w:p>
        </w:tc>
        <w:tc>
          <w:tcPr>
            <w:tcW w:w="3478" w:type="pct"/>
          </w:tcPr>
          <w:p>
            <w:pPr>
              <w:jc w:val="center"/>
              <w:rPr>
                <w:rFonts w:cs="Times New Roman"/>
                <w:sz w:val="24"/>
              </w:rPr>
            </w:pPr>
            <w:r>
              <w:rPr>
                <w:rFonts w:hint="eastAsia" w:cs="Times New Roman"/>
                <w:sz w:val="24"/>
              </w:rPr>
              <w:t>打造6个计算机实训室，包括3个云机房、3个实体机房，对硬件平台和设备更新升级，满足30个教学班的实训环境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Merge w:val="continue"/>
            <w:vAlign w:val="center"/>
          </w:tcPr>
          <w:p>
            <w:pPr>
              <w:jc w:val="center"/>
              <w:rPr>
                <w:rFonts w:cs="Times New Roman"/>
                <w:sz w:val="24"/>
              </w:rPr>
            </w:pPr>
          </w:p>
        </w:tc>
        <w:tc>
          <w:tcPr>
            <w:tcW w:w="797" w:type="pct"/>
            <w:vAlign w:val="center"/>
          </w:tcPr>
          <w:p>
            <w:pPr>
              <w:jc w:val="center"/>
              <w:rPr>
                <w:rFonts w:cs="Times New Roman"/>
                <w:sz w:val="24"/>
              </w:rPr>
            </w:pPr>
            <w:r>
              <w:rPr>
                <w:rFonts w:hint="eastAsia" w:cs="Times New Roman"/>
                <w:sz w:val="24"/>
              </w:rPr>
              <w:t>机加工专业</w:t>
            </w:r>
          </w:p>
        </w:tc>
        <w:tc>
          <w:tcPr>
            <w:tcW w:w="3478" w:type="pct"/>
          </w:tcPr>
          <w:p>
            <w:pPr>
              <w:jc w:val="center"/>
              <w:rPr>
                <w:rFonts w:cs="Times New Roman"/>
                <w:sz w:val="24"/>
              </w:rPr>
            </w:pPr>
            <w:r>
              <w:rPr>
                <w:rFonts w:hint="eastAsia" w:cs="Times New Roman"/>
                <w:sz w:val="24"/>
              </w:rPr>
              <w:t>购置设备满足学生上课需求，包括虚拟仿真教学系统、飞行模拟器、迷你飞行器、无人机电池等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Merge w:val="continue"/>
            <w:vAlign w:val="center"/>
          </w:tcPr>
          <w:p>
            <w:pPr>
              <w:jc w:val="center"/>
              <w:rPr>
                <w:rFonts w:cs="Times New Roman"/>
                <w:sz w:val="24"/>
              </w:rPr>
            </w:pPr>
          </w:p>
        </w:tc>
        <w:tc>
          <w:tcPr>
            <w:tcW w:w="797" w:type="pct"/>
            <w:vAlign w:val="center"/>
          </w:tcPr>
          <w:p>
            <w:pPr>
              <w:jc w:val="center"/>
              <w:rPr>
                <w:rFonts w:cs="Times New Roman"/>
                <w:sz w:val="24"/>
              </w:rPr>
            </w:pPr>
            <w:r>
              <w:rPr>
                <w:rFonts w:hint="eastAsia" w:cs="Times New Roman"/>
                <w:sz w:val="24"/>
              </w:rPr>
              <w:t>会计专业</w:t>
            </w:r>
          </w:p>
        </w:tc>
        <w:tc>
          <w:tcPr>
            <w:tcW w:w="3478" w:type="pct"/>
          </w:tcPr>
          <w:p>
            <w:pPr>
              <w:jc w:val="center"/>
              <w:rPr>
                <w:rFonts w:cs="Times New Roman"/>
                <w:sz w:val="24"/>
              </w:rPr>
            </w:pPr>
            <w:r>
              <w:rPr>
                <w:rFonts w:hint="eastAsia" w:cs="Times New Roman"/>
                <w:sz w:val="24"/>
              </w:rPr>
              <w:t>健全会计实务专业实训基地，包括购置1+X业财一体化初级中级软件、税务综合竞赛平台、多媒体讲台、投影机、幕布等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Merge w:val="continue"/>
            <w:vAlign w:val="center"/>
          </w:tcPr>
          <w:p>
            <w:pPr>
              <w:jc w:val="center"/>
              <w:rPr>
                <w:rFonts w:cs="Times New Roman"/>
                <w:sz w:val="24"/>
              </w:rPr>
            </w:pPr>
          </w:p>
        </w:tc>
        <w:tc>
          <w:tcPr>
            <w:tcW w:w="797" w:type="pct"/>
            <w:vAlign w:val="center"/>
          </w:tcPr>
          <w:p>
            <w:pPr>
              <w:jc w:val="center"/>
              <w:rPr>
                <w:rFonts w:cs="Times New Roman"/>
                <w:sz w:val="24"/>
              </w:rPr>
            </w:pPr>
            <w:r>
              <w:rPr>
                <w:rFonts w:hint="eastAsia" w:cs="Times New Roman"/>
                <w:sz w:val="24"/>
              </w:rPr>
              <w:t>智慧教室</w:t>
            </w:r>
          </w:p>
        </w:tc>
        <w:tc>
          <w:tcPr>
            <w:tcW w:w="3478" w:type="pct"/>
          </w:tcPr>
          <w:p>
            <w:pPr>
              <w:jc w:val="center"/>
              <w:rPr>
                <w:rFonts w:cs="Times New Roman"/>
                <w:sz w:val="24"/>
              </w:rPr>
            </w:pPr>
            <w:r>
              <w:rPr>
                <w:rFonts w:hint="eastAsia" w:cs="Times New Roman"/>
                <w:sz w:val="24"/>
              </w:rPr>
              <w:t>购置智慧教室终端、智慧终端管理系统、录播系统、4K云镜摄像机、云直播互动服务、备课系统等设备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5" w:type="pct"/>
            <w:vMerge w:val="continue"/>
            <w:vAlign w:val="center"/>
          </w:tcPr>
          <w:p>
            <w:pPr>
              <w:jc w:val="center"/>
              <w:rPr>
                <w:rFonts w:cs="Times New Roman"/>
                <w:sz w:val="24"/>
              </w:rPr>
            </w:pPr>
          </w:p>
        </w:tc>
        <w:tc>
          <w:tcPr>
            <w:tcW w:w="797" w:type="pct"/>
            <w:vAlign w:val="center"/>
          </w:tcPr>
          <w:p>
            <w:pPr>
              <w:jc w:val="center"/>
              <w:rPr>
                <w:rFonts w:cs="Times New Roman"/>
                <w:sz w:val="24"/>
              </w:rPr>
            </w:pPr>
            <w:r>
              <w:rPr>
                <w:rFonts w:hint="eastAsia" w:cs="Times New Roman"/>
                <w:sz w:val="24"/>
              </w:rPr>
              <w:t>图书馆</w:t>
            </w:r>
          </w:p>
        </w:tc>
        <w:tc>
          <w:tcPr>
            <w:tcW w:w="3478" w:type="pct"/>
          </w:tcPr>
          <w:p>
            <w:pPr>
              <w:jc w:val="center"/>
              <w:rPr>
                <w:rFonts w:cs="Times New Roman"/>
                <w:sz w:val="24"/>
              </w:rPr>
            </w:pPr>
            <w:r>
              <w:rPr>
                <w:rFonts w:hint="eastAsia" w:cs="Times New Roman"/>
                <w:sz w:val="24"/>
              </w:rPr>
              <w:t>①购置图书；</w:t>
            </w:r>
          </w:p>
          <w:p>
            <w:pPr>
              <w:jc w:val="center"/>
              <w:rPr>
                <w:rFonts w:cs="Times New Roman"/>
                <w:sz w:val="24"/>
              </w:rPr>
            </w:pPr>
            <w:r>
              <w:rPr>
                <w:rFonts w:hint="eastAsia" w:cs="Times New Roman"/>
                <w:sz w:val="24"/>
              </w:rPr>
              <w:t>②配套设备购置，包括电脑桌椅、打印机、书架等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Merge w:val="continue"/>
            <w:vAlign w:val="center"/>
          </w:tcPr>
          <w:p>
            <w:pPr>
              <w:jc w:val="center"/>
              <w:rPr>
                <w:rFonts w:cs="Times New Roman"/>
                <w:sz w:val="24"/>
              </w:rPr>
            </w:pPr>
          </w:p>
        </w:tc>
        <w:tc>
          <w:tcPr>
            <w:tcW w:w="797" w:type="pct"/>
            <w:vAlign w:val="center"/>
          </w:tcPr>
          <w:p>
            <w:pPr>
              <w:jc w:val="center"/>
              <w:rPr>
                <w:rFonts w:cs="Times New Roman"/>
                <w:sz w:val="24"/>
              </w:rPr>
            </w:pPr>
            <w:r>
              <w:rPr>
                <w:rFonts w:hint="eastAsia" w:cs="Times New Roman"/>
                <w:sz w:val="24"/>
              </w:rPr>
              <w:t>幼儿保育</w:t>
            </w:r>
          </w:p>
          <w:p>
            <w:pPr>
              <w:jc w:val="center"/>
              <w:rPr>
                <w:rFonts w:cs="Times New Roman"/>
                <w:sz w:val="24"/>
              </w:rPr>
            </w:pPr>
            <w:r>
              <w:rPr>
                <w:rFonts w:hint="eastAsia" w:cs="Times New Roman"/>
                <w:sz w:val="24"/>
              </w:rPr>
              <w:t>专业</w:t>
            </w:r>
          </w:p>
        </w:tc>
        <w:tc>
          <w:tcPr>
            <w:tcW w:w="3478" w:type="pct"/>
          </w:tcPr>
          <w:p>
            <w:pPr>
              <w:jc w:val="center"/>
              <w:rPr>
                <w:rFonts w:cs="Times New Roman"/>
                <w:sz w:val="24"/>
              </w:rPr>
            </w:pPr>
            <w:r>
              <w:rPr>
                <w:rFonts w:hint="eastAsia" w:cs="Times New Roman"/>
                <w:sz w:val="24"/>
              </w:rPr>
              <w:t>打造卫生保健实训室，购置卫生保健相关的实训设备，包括交互平板、急救箱、身高体重仪、高级婴幼儿气道阻塞及CPR模型等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Merge w:val="restart"/>
            <w:vAlign w:val="center"/>
          </w:tcPr>
          <w:p>
            <w:pPr>
              <w:jc w:val="center"/>
              <w:rPr>
                <w:rFonts w:cs="Times New Roman"/>
                <w:sz w:val="24"/>
              </w:rPr>
            </w:pPr>
            <w:r>
              <w:rPr>
                <w:rFonts w:hint="eastAsia" w:cs="Times New Roman"/>
                <w:sz w:val="24"/>
              </w:rPr>
              <w:t>教室文化</w:t>
            </w:r>
          </w:p>
          <w:p>
            <w:pPr>
              <w:jc w:val="center"/>
              <w:rPr>
                <w:rFonts w:cs="Times New Roman"/>
                <w:sz w:val="24"/>
              </w:rPr>
            </w:pPr>
            <w:r>
              <w:rPr>
                <w:rFonts w:hint="eastAsia" w:cs="Times New Roman"/>
                <w:sz w:val="24"/>
              </w:rPr>
              <w:t>建设及装修</w:t>
            </w:r>
          </w:p>
        </w:tc>
        <w:tc>
          <w:tcPr>
            <w:tcW w:w="797" w:type="pct"/>
            <w:vAlign w:val="center"/>
          </w:tcPr>
          <w:p>
            <w:pPr>
              <w:jc w:val="center"/>
              <w:rPr>
                <w:rFonts w:cs="Times New Roman"/>
                <w:sz w:val="24"/>
              </w:rPr>
            </w:pPr>
            <w:r>
              <w:rPr>
                <w:rFonts w:hint="eastAsia" w:cs="Times New Roman"/>
                <w:sz w:val="24"/>
              </w:rPr>
              <w:t>躬行楼五楼</w:t>
            </w:r>
          </w:p>
        </w:tc>
        <w:tc>
          <w:tcPr>
            <w:tcW w:w="3478" w:type="pct"/>
          </w:tcPr>
          <w:p>
            <w:pPr>
              <w:jc w:val="center"/>
              <w:rPr>
                <w:rFonts w:cs="Times New Roman"/>
                <w:sz w:val="24"/>
              </w:rPr>
            </w:pPr>
            <w:r>
              <w:rPr>
                <w:rFonts w:hint="eastAsia" w:cs="Times New Roman"/>
                <w:sz w:val="24"/>
              </w:rPr>
              <w:t>对6个计算机实训室进行升级改造，包括粉刷、隔断通顶、网络综合布线等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Merge w:val="continue"/>
            <w:vAlign w:val="center"/>
          </w:tcPr>
          <w:p>
            <w:pPr>
              <w:jc w:val="center"/>
              <w:rPr>
                <w:rFonts w:cs="Times New Roman"/>
                <w:sz w:val="24"/>
              </w:rPr>
            </w:pPr>
          </w:p>
        </w:tc>
        <w:tc>
          <w:tcPr>
            <w:tcW w:w="797" w:type="pct"/>
            <w:vMerge w:val="restart"/>
            <w:vAlign w:val="center"/>
          </w:tcPr>
          <w:p>
            <w:pPr>
              <w:jc w:val="center"/>
              <w:rPr>
                <w:rFonts w:cs="Times New Roman"/>
                <w:sz w:val="24"/>
              </w:rPr>
            </w:pPr>
            <w:r>
              <w:rPr>
                <w:rFonts w:hint="eastAsia" w:cs="Times New Roman"/>
                <w:sz w:val="24"/>
              </w:rPr>
              <w:t>幼儿保育</w:t>
            </w:r>
          </w:p>
          <w:p>
            <w:pPr>
              <w:jc w:val="center"/>
              <w:rPr>
                <w:rFonts w:cs="Times New Roman"/>
                <w:sz w:val="24"/>
              </w:rPr>
            </w:pPr>
            <w:r>
              <w:rPr>
                <w:rFonts w:hint="eastAsia" w:cs="Times New Roman"/>
                <w:sz w:val="24"/>
              </w:rPr>
              <w:t>专业</w:t>
            </w:r>
          </w:p>
        </w:tc>
        <w:tc>
          <w:tcPr>
            <w:tcW w:w="3478" w:type="pct"/>
          </w:tcPr>
          <w:p>
            <w:pPr>
              <w:jc w:val="center"/>
              <w:rPr>
                <w:rFonts w:cs="Times New Roman"/>
                <w:sz w:val="24"/>
              </w:rPr>
            </w:pPr>
            <w:r>
              <w:rPr>
                <w:rFonts w:hint="eastAsia" w:cs="Times New Roman"/>
                <w:sz w:val="24"/>
              </w:rPr>
              <w:t>对卫生保健实训室进行升级改造，包括地面修复、墙皮处理、墙面粉刷、线路改造、设计文化氛围造型墙等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Merge w:val="continue"/>
            <w:vAlign w:val="center"/>
          </w:tcPr>
          <w:p>
            <w:pPr>
              <w:jc w:val="center"/>
              <w:rPr>
                <w:rFonts w:cs="Times New Roman"/>
                <w:sz w:val="24"/>
              </w:rPr>
            </w:pPr>
          </w:p>
        </w:tc>
        <w:tc>
          <w:tcPr>
            <w:tcW w:w="797" w:type="pct"/>
            <w:vMerge w:val="continue"/>
            <w:vAlign w:val="center"/>
          </w:tcPr>
          <w:p>
            <w:pPr>
              <w:jc w:val="center"/>
              <w:rPr>
                <w:rFonts w:cs="Times New Roman"/>
                <w:sz w:val="24"/>
              </w:rPr>
            </w:pPr>
          </w:p>
        </w:tc>
        <w:tc>
          <w:tcPr>
            <w:tcW w:w="3478" w:type="pct"/>
          </w:tcPr>
          <w:p>
            <w:pPr>
              <w:jc w:val="center"/>
              <w:rPr>
                <w:rFonts w:cs="Times New Roman"/>
                <w:sz w:val="24"/>
              </w:rPr>
            </w:pPr>
            <w:r>
              <w:rPr>
                <w:rFonts w:hint="eastAsia" w:cs="Times New Roman"/>
                <w:sz w:val="24"/>
              </w:rPr>
              <w:t>打造一间舞蹈实训室，包括铺装舞蹈专用塑胶地板、安装舞蹈把杆、制作物柜鞋柜、墙体文化制作等</w:t>
            </w:r>
          </w:p>
        </w:tc>
      </w:tr>
    </w:tbl>
    <w:p>
      <w:pPr>
        <w:pStyle w:val="18"/>
        <w:spacing w:line="240" w:lineRule="auto"/>
        <w:ind w:firstLine="640"/>
        <w:rPr>
          <w:b/>
          <w:bCs/>
          <w:sz w:val="32"/>
          <w:szCs w:val="32"/>
        </w:rPr>
      </w:pPr>
      <w:r>
        <w:rPr>
          <w:rFonts w:hint="eastAsia" w:cstheme="minorBidi"/>
          <w:kern w:val="2"/>
          <w:sz w:val="32"/>
          <w:szCs w:val="24"/>
        </w:rPr>
        <w:t>为了让学生拥有更好的实训环境，保定市徐水区教育和体育局2022年现代职业教育质量提升计划中央资金项目的资金支出主要用于计算机实训室设备及会计、机加工及智慧教室的设备购置，以及图书馆配套设施购置、图书采购、幼儿保育卫生保健实训室和舞蹈实训室的装修建设。</w:t>
      </w:r>
    </w:p>
    <w:p>
      <w:pPr>
        <w:pStyle w:val="18"/>
        <w:spacing w:line="240" w:lineRule="auto"/>
        <w:ind w:firstLine="640"/>
        <w:rPr>
          <w:sz w:val="32"/>
          <w:szCs w:val="32"/>
        </w:rPr>
      </w:pPr>
      <w:r>
        <w:rPr>
          <w:rFonts w:hint="eastAsia"/>
          <w:sz w:val="32"/>
          <w:szCs w:val="32"/>
        </w:rPr>
        <w:t>（2）实施情况</w:t>
      </w:r>
    </w:p>
    <w:p>
      <w:pPr>
        <w:pStyle w:val="18"/>
        <w:spacing w:line="240" w:lineRule="auto"/>
        <w:ind w:firstLine="640"/>
        <w:rPr>
          <w:sz w:val="32"/>
          <w:szCs w:val="32"/>
        </w:rPr>
      </w:pPr>
      <w:r>
        <w:rPr>
          <w:rFonts w:hint="eastAsia"/>
          <w:sz w:val="32"/>
          <w:szCs w:val="32"/>
        </w:rPr>
        <w:t>保定市徐水区2022年现代职业教育质量提升计划中央资金项目资金支出主要用于6个子项目，包括质量提升计划A包、质量提升计划B包、图书采购、图书馆配套设备购置、幼儿保育卫生保健实训室建设、幼儿保育舞蹈实训室建设。2022年现代职业教育质量提升计划中央资金项目实施情况详见表2。</w:t>
      </w:r>
    </w:p>
    <w:p>
      <w:pPr>
        <w:pStyle w:val="18"/>
        <w:spacing w:line="240" w:lineRule="auto"/>
        <w:ind w:firstLine="0" w:firstLineChars="0"/>
        <w:jc w:val="center"/>
        <w:rPr>
          <w:b/>
          <w:bCs/>
        </w:rPr>
      </w:pPr>
      <w:r>
        <w:rPr>
          <w:rFonts w:hint="eastAsia"/>
          <w:b/>
          <w:bCs/>
        </w:rPr>
        <w:t>表2 职业教育质量提升计划中央资金项目实施情况</w:t>
      </w:r>
    </w:p>
    <w:p>
      <w:pPr>
        <w:pStyle w:val="18"/>
        <w:ind w:firstLine="480"/>
        <w:jc w:val="right"/>
        <w:rPr>
          <w:sz w:val="24"/>
          <w:szCs w:val="24"/>
        </w:rPr>
      </w:pPr>
      <w:r>
        <w:rPr>
          <w:rFonts w:hint="eastAsia"/>
          <w:sz w:val="24"/>
          <w:szCs w:val="24"/>
        </w:rPr>
        <w:t>单位：元</w:t>
      </w:r>
    </w:p>
    <w:tbl>
      <w:tblPr>
        <w:tblStyle w:val="12"/>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169"/>
        <w:gridCol w:w="4804"/>
        <w:gridCol w:w="1458"/>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04" w:type="pct"/>
            <w:shd w:val="clear" w:color="auto" w:fill="E7E6E6" w:themeFill="background2"/>
            <w:vAlign w:val="center"/>
          </w:tcPr>
          <w:p>
            <w:pPr>
              <w:widowControl/>
              <w:jc w:val="center"/>
              <w:rPr>
                <w:b/>
                <w:bCs/>
                <w:color w:val="000000"/>
                <w:sz w:val="28"/>
                <w:szCs w:val="28"/>
              </w:rPr>
            </w:pPr>
            <w:r>
              <w:rPr>
                <w:rFonts w:hint="eastAsia"/>
                <w:b/>
                <w:bCs/>
                <w:color w:val="000000"/>
                <w:sz w:val="28"/>
                <w:szCs w:val="28"/>
              </w:rPr>
              <w:t>批次</w:t>
            </w:r>
          </w:p>
        </w:tc>
        <w:tc>
          <w:tcPr>
            <w:tcW w:w="582" w:type="pct"/>
            <w:shd w:val="clear" w:color="auto" w:fill="E7E6E6" w:themeFill="background2"/>
            <w:vAlign w:val="center"/>
          </w:tcPr>
          <w:p>
            <w:pPr>
              <w:widowControl/>
              <w:jc w:val="center"/>
              <w:rPr>
                <w:b/>
                <w:bCs/>
                <w:color w:val="000000"/>
                <w:sz w:val="28"/>
                <w:szCs w:val="28"/>
              </w:rPr>
            </w:pPr>
            <w:r>
              <w:rPr>
                <w:rFonts w:hint="eastAsia"/>
                <w:b/>
                <w:bCs/>
                <w:color w:val="000000"/>
                <w:sz w:val="28"/>
                <w:szCs w:val="28"/>
              </w:rPr>
              <w:t>项目</w:t>
            </w:r>
          </w:p>
        </w:tc>
        <w:tc>
          <w:tcPr>
            <w:tcW w:w="2392" w:type="pct"/>
            <w:shd w:val="clear" w:color="auto" w:fill="E7E6E6" w:themeFill="background2"/>
            <w:vAlign w:val="center"/>
          </w:tcPr>
          <w:p>
            <w:pPr>
              <w:widowControl/>
              <w:jc w:val="center"/>
              <w:rPr>
                <w:b/>
                <w:bCs/>
                <w:color w:val="000000"/>
                <w:sz w:val="28"/>
                <w:szCs w:val="28"/>
              </w:rPr>
            </w:pPr>
            <w:r>
              <w:rPr>
                <w:rFonts w:hint="eastAsia"/>
                <w:b/>
                <w:bCs/>
                <w:color w:val="000000"/>
                <w:sz w:val="28"/>
                <w:szCs w:val="28"/>
              </w:rPr>
              <w:t>采购情况</w:t>
            </w:r>
          </w:p>
        </w:tc>
        <w:tc>
          <w:tcPr>
            <w:tcW w:w="726" w:type="pct"/>
            <w:shd w:val="clear" w:color="auto" w:fill="E7E6E6" w:themeFill="background2"/>
            <w:vAlign w:val="center"/>
          </w:tcPr>
          <w:p>
            <w:pPr>
              <w:widowControl/>
              <w:jc w:val="center"/>
              <w:rPr>
                <w:b/>
                <w:bCs/>
                <w:color w:val="000000"/>
                <w:sz w:val="28"/>
                <w:szCs w:val="28"/>
              </w:rPr>
            </w:pPr>
            <w:r>
              <w:rPr>
                <w:rFonts w:hint="eastAsia"/>
                <w:b/>
                <w:bCs/>
                <w:color w:val="000000"/>
                <w:sz w:val="28"/>
                <w:szCs w:val="28"/>
              </w:rPr>
              <w:t>实际支出</w:t>
            </w:r>
          </w:p>
        </w:tc>
        <w:tc>
          <w:tcPr>
            <w:tcW w:w="797" w:type="pct"/>
            <w:shd w:val="clear" w:color="auto" w:fill="E7E6E6" w:themeFill="background2"/>
            <w:vAlign w:val="center"/>
          </w:tcPr>
          <w:p>
            <w:pPr>
              <w:widowControl/>
              <w:jc w:val="center"/>
              <w:rPr>
                <w:b/>
                <w:bCs/>
                <w:color w:val="000000"/>
                <w:sz w:val="28"/>
                <w:szCs w:val="28"/>
              </w:rPr>
            </w:pPr>
            <w:r>
              <w:rPr>
                <w:rFonts w:hint="eastAsia"/>
                <w:b/>
                <w:bCs/>
                <w:color w:val="000000"/>
                <w:sz w:val="28"/>
                <w:szCs w:val="28"/>
              </w:rPr>
              <w:t>申请拨付资金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vMerge w:val="restart"/>
            <w:vAlign w:val="center"/>
          </w:tcPr>
          <w:p>
            <w:pPr>
              <w:widowControl/>
              <w:jc w:val="center"/>
              <w:rPr>
                <w:color w:val="000000"/>
                <w:sz w:val="24"/>
              </w:rPr>
            </w:pPr>
            <w:r>
              <w:rPr>
                <w:rFonts w:hint="eastAsia"/>
                <w:color w:val="000000"/>
                <w:sz w:val="24"/>
              </w:rPr>
              <w:t>第一批次：200万元</w:t>
            </w:r>
          </w:p>
        </w:tc>
        <w:tc>
          <w:tcPr>
            <w:tcW w:w="582" w:type="pct"/>
            <w:vAlign w:val="center"/>
          </w:tcPr>
          <w:p>
            <w:pPr>
              <w:widowControl/>
              <w:jc w:val="center"/>
              <w:rPr>
                <w:color w:val="000000"/>
                <w:sz w:val="24"/>
              </w:rPr>
            </w:pPr>
            <w:r>
              <w:rPr>
                <w:rFonts w:hint="eastAsia"/>
                <w:color w:val="000000"/>
                <w:sz w:val="24"/>
              </w:rPr>
              <w:t>质量提升计划A包</w:t>
            </w:r>
          </w:p>
        </w:tc>
        <w:tc>
          <w:tcPr>
            <w:tcW w:w="2392" w:type="pct"/>
            <w:vAlign w:val="center"/>
          </w:tcPr>
          <w:p>
            <w:pPr>
              <w:widowControl/>
              <w:jc w:val="center"/>
              <w:rPr>
                <w:color w:val="000000"/>
                <w:sz w:val="24"/>
              </w:rPr>
            </w:pPr>
            <w:r>
              <w:rPr>
                <w:color w:val="000000"/>
                <w:sz w:val="24"/>
              </w:rPr>
              <w:t>2022年7月7日与河北空谷网络科技有限公司签订合同</w:t>
            </w:r>
            <w:r>
              <w:rPr>
                <w:rFonts w:hint="eastAsia"/>
                <w:color w:val="000000"/>
                <w:sz w:val="24"/>
              </w:rPr>
              <w:t>，为计算机实训室购置1批云终端、电脑等设备，于2022年9月21日验收，验收结果合格</w:t>
            </w:r>
          </w:p>
        </w:tc>
        <w:tc>
          <w:tcPr>
            <w:tcW w:w="726" w:type="pct"/>
            <w:vAlign w:val="center"/>
          </w:tcPr>
          <w:p>
            <w:pPr>
              <w:widowControl/>
              <w:jc w:val="center"/>
              <w:rPr>
                <w:color w:val="000000"/>
                <w:sz w:val="24"/>
              </w:rPr>
            </w:pPr>
            <w:r>
              <w:rPr>
                <w:color w:val="000000"/>
                <w:sz w:val="24"/>
              </w:rPr>
              <w:t>1,985,500</w:t>
            </w:r>
          </w:p>
        </w:tc>
        <w:tc>
          <w:tcPr>
            <w:tcW w:w="797" w:type="pct"/>
            <w:vAlign w:val="center"/>
          </w:tcPr>
          <w:p>
            <w:pPr>
              <w:widowControl/>
              <w:jc w:val="center"/>
              <w:rPr>
                <w:color w:val="000000"/>
                <w:sz w:val="24"/>
              </w:rPr>
            </w:pPr>
            <w:r>
              <w:rPr>
                <w:color w:val="000000"/>
                <w:sz w:val="24"/>
              </w:rPr>
              <w:t>1,985,500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vMerge w:val="continue"/>
            <w:vAlign w:val="center"/>
          </w:tcPr>
          <w:p>
            <w:pPr>
              <w:jc w:val="center"/>
              <w:rPr>
                <w:sz w:val="24"/>
              </w:rPr>
            </w:pPr>
          </w:p>
        </w:tc>
        <w:tc>
          <w:tcPr>
            <w:tcW w:w="582" w:type="pct"/>
            <w:vAlign w:val="center"/>
          </w:tcPr>
          <w:p>
            <w:pPr>
              <w:widowControl/>
              <w:jc w:val="center"/>
              <w:rPr>
                <w:color w:val="000000"/>
                <w:sz w:val="24"/>
              </w:rPr>
            </w:pPr>
            <w:r>
              <w:rPr>
                <w:rFonts w:hint="eastAsia"/>
                <w:color w:val="000000"/>
                <w:sz w:val="24"/>
              </w:rPr>
              <w:t>质量提升计划B包</w:t>
            </w:r>
          </w:p>
        </w:tc>
        <w:tc>
          <w:tcPr>
            <w:tcW w:w="2392" w:type="pct"/>
            <w:vAlign w:val="center"/>
          </w:tcPr>
          <w:p>
            <w:pPr>
              <w:widowControl/>
              <w:jc w:val="center"/>
              <w:rPr>
                <w:color w:val="000000"/>
                <w:sz w:val="24"/>
              </w:rPr>
            </w:pPr>
            <w:r>
              <w:rPr>
                <w:color w:val="000000"/>
                <w:sz w:val="24"/>
              </w:rPr>
              <w:t>2022年7月7日与中煤信息技术（北京）有限公司签订合同</w:t>
            </w:r>
            <w:r>
              <w:rPr>
                <w:rFonts w:hint="eastAsia"/>
                <w:color w:val="000000"/>
                <w:sz w:val="24"/>
              </w:rPr>
              <w:t>，为机加工、会计及智慧教室购置1批飞行模拟器、税务综合竞赛平台、智慧教室终端等设备，于2022年9月21日验收，验收结果合格</w:t>
            </w:r>
          </w:p>
        </w:tc>
        <w:tc>
          <w:tcPr>
            <w:tcW w:w="726" w:type="pct"/>
            <w:vAlign w:val="center"/>
          </w:tcPr>
          <w:p>
            <w:pPr>
              <w:widowControl/>
              <w:jc w:val="center"/>
              <w:rPr>
                <w:color w:val="000000"/>
                <w:sz w:val="24"/>
              </w:rPr>
            </w:pPr>
            <w:r>
              <w:rPr>
                <w:color w:val="000000"/>
                <w:sz w:val="24"/>
              </w:rPr>
              <w:t>1,198,210</w:t>
            </w:r>
          </w:p>
        </w:tc>
        <w:tc>
          <w:tcPr>
            <w:tcW w:w="797" w:type="pct"/>
            <w:vAlign w:val="center"/>
          </w:tcPr>
          <w:p>
            <w:pPr>
              <w:widowControl/>
              <w:jc w:val="center"/>
              <w:rPr>
                <w:color w:val="000000"/>
                <w:sz w:val="24"/>
              </w:rPr>
            </w:pPr>
            <w:r>
              <w:rPr>
                <w:color w:val="000000"/>
                <w:sz w:val="24"/>
              </w:rPr>
              <w:t>14,500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vMerge w:val="restart"/>
            <w:vAlign w:val="center"/>
          </w:tcPr>
          <w:p>
            <w:pPr>
              <w:widowControl/>
              <w:jc w:val="center"/>
              <w:rPr>
                <w:sz w:val="24"/>
              </w:rPr>
            </w:pPr>
            <w:r>
              <w:rPr>
                <w:rFonts w:hint="eastAsia"/>
                <w:color w:val="000000"/>
                <w:sz w:val="24"/>
              </w:rPr>
              <w:t>第二批次：70万元</w:t>
            </w:r>
          </w:p>
        </w:tc>
        <w:tc>
          <w:tcPr>
            <w:tcW w:w="582" w:type="pct"/>
            <w:vAlign w:val="center"/>
          </w:tcPr>
          <w:p>
            <w:pPr>
              <w:widowControl/>
              <w:jc w:val="center"/>
              <w:rPr>
                <w:color w:val="000000"/>
                <w:sz w:val="24"/>
              </w:rPr>
            </w:pPr>
            <w:r>
              <w:rPr>
                <w:rFonts w:hint="eastAsia"/>
                <w:color w:val="000000"/>
                <w:sz w:val="24"/>
              </w:rPr>
              <w:t>图书馆配套设备购置</w:t>
            </w:r>
          </w:p>
        </w:tc>
        <w:tc>
          <w:tcPr>
            <w:tcW w:w="2392" w:type="pct"/>
            <w:vAlign w:val="center"/>
          </w:tcPr>
          <w:p>
            <w:pPr>
              <w:widowControl/>
              <w:jc w:val="center"/>
              <w:rPr>
                <w:color w:val="000000"/>
                <w:sz w:val="24"/>
              </w:rPr>
            </w:pPr>
            <w:r>
              <w:rPr>
                <w:color w:val="000000"/>
                <w:sz w:val="24"/>
              </w:rPr>
              <w:t>2022年8月23日与定州至简建筑装饰工程有限公司签订采购合同</w:t>
            </w:r>
            <w:r>
              <w:rPr>
                <w:rFonts w:hint="eastAsia"/>
                <w:color w:val="000000"/>
                <w:sz w:val="24"/>
              </w:rPr>
              <w:t>，采购一批书架、电脑桌椅等设备，于2022年9月23日验收，验收结果合格</w:t>
            </w:r>
          </w:p>
        </w:tc>
        <w:tc>
          <w:tcPr>
            <w:tcW w:w="726" w:type="pct"/>
            <w:vAlign w:val="center"/>
          </w:tcPr>
          <w:p>
            <w:pPr>
              <w:widowControl/>
              <w:jc w:val="center"/>
              <w:rPr>
                <w:color w:val="000000"/>
                <w:sz w:val="24"/>
              </w:rPr>
            </w:pPr>
            <w:r>
              <w:rPr>
                <w:color w:val="000000"/>
                <w:sz w:val="24"/>
              </w:rPr>
              <w:t>119,250</w:t>
            </w:r>
          </w:p>
        </w:tc>
        <w:tc>
          <w:tcPr>
            <w:tcW w:w="797" w:type="pct"/>
            <w:vAlign w:val="center"/>
          </w:tcPr>
          <w:p>
            <w:pPr>
              <w:widowControl/>
              <w:jc w:val="center"/>
              <w:rPr>
                <w:color w:val="000000"/>
                <w:sz w:val="24"/>
              </w:rPr>
            </w:pPr>
            <w:r>
              <w:rPr>
                <w:color w:val="000000"/>
                <w:sz w:val="24"/>
              </w:rPr>
              <w:t>119,200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vMerge w:val="continue"/>
            <w:vAlign w:val="center"/>
          </w:tcPr>
          <w:p>
            <w:pPr>
              <w:jc w:val="center"/>
              <w:rPr>
                <w:sz w:val="24"/>
              </w:rPr>
            </w:pPr>
          </w:p>
        </w:tc>
        <w:tc>
          <w:tcPr>
            <w:tcW w:w="582" w:type="pct"/>
            <w:vAlign w:val="center"/>
          </w:tcPr>
          <w:p>
            <w:pPr>
              <w:widowControl/>
              <w:jc w:val="center"/>
              <w:rPr>
                <w:color w:val="000000"/>
                <w:sz w:val="24"/>
              </w:rPr>
            </w:pPr>
            <w:r>
              <w:rPr>
                <w:rFonts w:hint="eastAsia"/>
                <w:color w:val="000000"/>
                <w:sz w:val="24"/>
              </w:rPr>
              <w:t>图书</w:t>
            </w:r>
          </w:p>
          <w:p>
            <w:pPr>
              <w:widowControl/>
              <w:jc w:val="center"/>
              <w:rPr>
                <w:color w:val="000000"/>
                <w:sz w:val="24"/>
              </w:rPr>
            </w:pPr>
            <w:r>
              <w:rPr>
                <w:rFonts w:hint="eastAsia"/>
                <w:color w:val="000000"/>
                <w:sz w:val="24"/>
              </w:rPr>
              <w:t>采购</w:t>
            </w:r>
          </w:p>
        </w:tc>
        <w:tc>
          <w:tcPr>
            <w:tcW w:w="2392" w:type="pct"/>
            <w:vAlign w:val="center"/>
          </w:tcPr>
          <w:p>
            <w:pPr>
              <w:widowControl/>
              <w:jc w:val="center"/>
              <w:rPr>
                <w:color w:val="000000"/>
                <w:sz w:val="24"/>
              </w:rPr>
            </w:pPr>
            <w:r>
              <w:rPr>
                <w:color w:val="000000"/>
                <w:sz w:val="24"/>
              </w:rPr>
              <w:t>2022年8月28日与定州市博陵书店签订采购合同，采购40000册图书，于2022年9月23日验收，验收结果合格</w:t>
            </w:r>
          </w:p>
        </w:tc>
        <w:tc>
          <w:tcPr>
            <w:tcW w:w="726" w:type="pct"/>
            <w:vAlign w:val="center"/>
          </w:tcPr>
          <w:p>
            <w:pPr>
              <w:widowControl/>
              <w:jc w:val="center"/>
              <w:rPr>
                <w:color w:val="000000"/>
                <w:sz w:val="24"/>
              </w:rPr>
            </w:pPr>
            <w:r>
              <w:rPr>
                <w:color w:val="000000"/>
                <w:sz w:val="24"/>
              </w:rPr>
              <w:t>280,800</w:t>
            </w:r>
          </w:p>
        </w:tc>
        <w:tc>
          <w:tcPr>
            <w:tcW w:w="797" w:type="pct"/>
            <w:vAlign w:val="center"/>
          </w:tcPr>
          <w:p>
            <w:pPr>
              <w:widowControl/>
              <w:jc w:val="center"/>
              <w:rPr>
                <w:color w:val="000000"/>
                <w:sz w:val="24"/>
              </w:rPr>
            </w:pPr>
            <w:r>
              <w:rPr>
                <w:color w:val="000000"/>
                <w:sz w:val="24"/>
              </w:rPr>
              <w:t>280,800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vMerge w:val="continue"/>
            <w:vAlign w:val="center"/>
          </w:tcPr>
          <w:p>
            <w:pPr>
              <w:jc w:val="center"/>
              <w:rPr>
                <w:sz w:val="24"/>
              </w:rPr>
            </w:pPr>
          </w:p>
        </w:tc>
        <w:tc>
          <w:tcPr>
            <w:tcW w:w="582" w:type="pct"/>
            <w:vAlign w:val="center"/>
          </w:tcPr>
          <w:p>
            <w:pPr>
              <w:widowControl/>
              <w:jc w:val="center"/>
              <w:rPr>
                <w:color w:val="000000"/>
                <w:sz w:val="24"/>
              </w:rPr>
            </w:pPr>
            <w:r>
              <w:rPr>
                <w:rFonts w:hint="eastAsia"/>
                <w:color w:val="000000"/>
                <w:sz w:val="24"/>
              </w:rPr>
              <w:t>幼儿保育卫生保健实训室建设</w:t>
            </w:r>
          </w:p>
        </w:tc>
        <w:tc>
          <w:tcPr>
            <w:tcW w:w="2392" w:type="pct"/>
            <w:vAlign w:val="center"/>
          </w:tcPr>
          <w:p>
            <w:pPr>
              <w:widowControl/>
              <w:jc w:val="center"/>
              <w:rPr>
                <w:color w:val="000000"/>
                <w:sz w:val="24"/>
              </w:rPr>
            </w:pPr>
            <w:r>
              <w:rPr>
                <w:color w:val="000000"/>
                <w:sz w:val="24"/>
              </w:rPr>
              <w:t>2022年9月10日与保定市徐水区腾辉电子机房设备经销部签订采购合同</w:t>
            </w:r>
            <w:r>
              <w:rPr>
                <w:rFonts w:hint="eastAsia"/>
                <w:color w:val="000000"/>
                <w:sz w:val="24"/>
              </w:rPr>
              <w:t>，装修一间舞蹈实训室，于2022年9月18日验收，验收结果合格</w:t>
            </w:r>
          </w:p>
        </w:tc>
        <w:tc>
          <w:tcPr>
            <w:tcW w:w="726" w:type="pct"/>
            <w:vAlign w:val="center"/>
          </w:tcPr>
          <w:p>
            <w:pPr>
              <w:widowControl/>
              <w:jc w:val="center"/>
              <w:rPr>
                <w:color w:val="000000"/>
                <w:sz w:val="24"/>
              </w:rPr>
            </w:pPr>
            <w:r>
              <w:rPr>
                <w:color w:val="000000"/>
                <w:sz w:val="24"/>
              </w:rPr>
              <w:t>116,378.86</w:t>
            </w:r>
          </w:p>
        </w:tc>
        <w:tc>
          <w:tcPr>
            <w:tcW w:w="797" w:type="pct"/>
            <w:vAlign w:val="center"/>
          </w:tcPr>
          <w:p>
            <w:pPr>
              <w:widowControl/>
              <w:jc w:val="center"/>
              <w:rPr>
                <w:color w:val="000000"/>
                <w:sz w:val="24"/>
              </w:rPr>
            </w:pPr>
            <w:r>
              <w:rPr>
                <w:color w:val="000000"/>
                <w:sz w:val="24"/>
              </w:rPr>
              <w:t>82,134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vMerge w:val="continue"/>
            <w:vAlign w:val="center"/>
          </w:tcPr>
          <w:p>
            <w:pPr>
              <w:jc w:val="center"/>
              <w:rPr>
                <w:sz w:val="24"/>
              </w:rPr>
            </w:pPr>
          </w:p>
        </w:tc>
        <w:tc>
          <w:tcPr>
            <w:tcW w:w="582" w:type="pct"/>
            <w:vAlign w:val="center"/>
          </w:tcPr>
          <w:p>
            <w:pPr>
              <w:widowControl/>
              <w:jc w:val="center"/>
              <w:rPr>
                <w:color w:val="000000"/>
                <w:sz w:val="24"/>
              </w:rPr>
            </w:pPr>
            <w:r>
              <w:rPr>
                <w:rFonts w:hint="eastAsia"/>
                <w:color w:val="000000"/>
                <w:sz w:val="24"/>
              </w:rPr>
              <w:t>幼儿保育舞蹈实训室建设</w:t>
            </w:r>
          </w:p>
        </w:tc>
        <w:tc>
          <w:tcPr>
            <w:tcW w:w="2392" w:type="pct"/>
            <w:vAlign w:val="center"/>
          </w:tcPr>
          <w:p>
            <w:pPr>
              <w:widowControl/>
              <w:jc w:val="center"/>
              <w:rPr>
                <w:color w:val="000000"/>
                <w:sz w:val="24"/>
              </w:rPr>
            </w:pPr>
            <w:r>
              <w:rPr>
                <w:color w:val="000000"/>
                <w:sz w:val="24"/>
              </w:rPr>
              <w:t>2022年9月15日与石家庄霖洋电子科技有限公司签订采购合同</w:t>
            </w:r>
            <w:r>
              <w:rPr>
                <w:rFonts w:hint="eastAsia"/>
                <w:color w:val="000000"/>
                <w:sz w:val="24"/>
              </w:rPr>
              <w:t>，采购一批体重仪、血压计等教学设备及装修一间实训室，于2022年9月21日验收，验收结果合格</w:t>
            </w:r>
          </w:p>
        </w:tc>
        <w:tc>
          <w:tcPr>
            <w:tcW w:w="726" w:type="pct"/>
            <w:vAlign w:val="center"/>
          </w:tcPr>
          <w:p>
            <w:pPr>
              <w:widowControl/>
              <w:jc w:val="center"/>
              <w:rPr>
                <w:color w:val="000000"/>
                <w:sz w:val="24"/>
              </w:rPr>
            </w:pPr>
            <w:r>
              <w:rPr>
                <w:color w:val="000000"/>
                <w:sz w:val="24"/>
              </w:rPr>
              <w:t>217,866</w:t>
            </w:r>
          </w:p>
        </w:tc>
        <w:tc>
          <w:tcPr>
            <w:tcW w:w="797" w:type="pct"/>
            <w:vAlign w:val="center"/>
          </w:tcPr>
          <w:p>
            <w:pPr>
              <w:widowControl/>
              <w:jc w:val="center"/>
              <w:rPr>
                <w:color w:val="000000"/>
                <w:sz w:val="24"/>
              </w:rPr>
            </w:pPr>
            <w:r>
              <w:rPr>
                <w:color w:val="000000"/>
                <w:sz w:val="24"/>
              </w:rPr>
              <w:t>217,866</w:t>
            </w:r>
          </w:p>
        </w:tc>
      </w:tr>
    </w:tbl>
    <w:p>
      <w:pPr>
        <w:pStyle w:val="18"/>
        <w:spacing w:line="240" w:lineRule="auto"/>
        <w:ind w:firstLine="640"/>
        <w:rPr>
          <w:sz w:val="32"/>
          <w:szCs w:val="32"/>
        </w:rPr>
      </w:pPr>
      <w:r>
        <w:rPr>
          <w:rFonts w:hint="eastAsia"/>
          <w:sz w:val="32"/>
          <w:szCs w:val="32"/>
        </w:rPr>
        <w:t>3.资金情况</w:t>
      </w:r>
    </w:p>
    <w:p>
      <w:pPr>
        <w:pStyle w:val="18"/>
        <w:spacing w:line="240" w:lineRule="auto"/>
        <w:ind w:firstLine="640"/>
        <w:rPr>
          <w:sz w:val="32"/>
          <w:szCs w:val="32"/>
        </w:rPr>
      </w:pPr>
      <w:r>
        <w:rPr>
          <w:rFonts w:hint="eastAsia"/>
          <w:sz w:val="32"/>
          <w:szCs w:val="32"/>
        </w:rPr>
        <w:t>（1）资金投入情况</w:t>
      </w:r>
    </w:p>
    <w:p>
      <w:pPr>
        <w:pStyle w:val="18"/>
        <w:spacing w:line="240" w:lineRule="auto"/>
        <w:ind w:firstLine="640"/>
        <w:rPr>
          <w:sz w:val="32"/>
          <w:szCs w:val="32"/>
        </w:rPr>
      </w:pPr>
      <w:r>
        <w:rPr>
          <w:rFonts w:hint="eastAsia"/>
          <w:sz w:val="32"/>
          <w:szCs w:val="32"/>
        </w:rPr>
        <w:t>根据保财教〔2021〕49号文件及保财教〔2022〕33号文件，保定市财政局下达2022年现代职业教育质量提升计划中央专项资金共270万元，全部拨付到位，项目资金到位率100%。</w:t>
      </w:r>
    </w:p>
    <w:p>
      <w:pPr>
        <w:pStyle w:val="18"/>
        <w:spacing w:line="240" w:lineRule="auto"/>
        <w:ind w:firstLine="640"/>
        <w:rPr>
          <w:sz w:val="32"/>
          <w:szCs w:val="32"/>
        </w:rPr>
      </w:pPr>
      <w:r>
        <w:rPr>
          <w:rFonts w:hint="eastAsia"/>
          <w:sz w:val="32"/>
          <w:szCs w:val="32"/>
        </w:rPr>
        <w:t>其中，质量提升计划A包项目拨付1</w:t>
      </w:r>
      <w:r>
        <w:rPr>
          <w:sz w:val="32"/>
          <w:szCs w:val="32"/>
        </w:rPr>
        <w:t>,</w:t>
      </w:r>
      <w:r>
        <w:rPr>
          <w:rFonts w:hint="eastAsia"/>
          <w:sz w:val="32"/>
          <w:szCs w:val="32"/>
        </w:rPr>
        <w:t>985</w:t>
      </w:r>
      <w:r>
        <w:rPr>
          <w:sz w:val="32"/>
          <w:szCs w:val="32"/>
        </w:rPr>
        <w:t>,</w:t>
      </w:r>
      <w:r>
        <w:rPr>
          <w:rFonts w:hint="eastAsia"/>
          <w:sz w:val="32"/>
          <w:szCs w:val="32"/>
        </w:rPr>
        <w:t>500元，占比73.54%；质量提升计划B包项目拨付14</w:t>
      </w:r>
      <w:r>
        <w:rPr>
          <w:sz w:val="32"/>
          <w:szCs w:val="32"/>
        </w:rPr>
        <w:t>,</w:t>
      </w:r>
      <w:r>
        <w:rPr>
          <w:rFonts w:hint="eastAsia"/>
          <w:sz w:val="32"/>
          <w:szCs w:val="32"/>
        </w:rPr>
        <w:t>500元，占比0.54%；图书购置项目拨付280</w:t>
      </w:r>
      <w:r>
        <w:rPr>
          <w:sz w:val="32"/>
          <w:szCs w:val="32"/>
        </w:rPr>
        <w:t>,</w:t>
      </w:r>
      <w:r>
        <w:rPr>
          <w:rFonts w:hint="eastAsia"/>
          <w:sz w:val="32"/>
          <w:szCs w:val="32"/>
        </w:rPr>
        <w:t>800元，占比10.40%；图书馆配套设备购置项目拨付119</w:t>
      </w:r>
      <w:r>
        <w:rPr>
          <w:sz w:val="32"/>
          <w:szCs w:val="32"/>
        </w:rPr>
        <w:t>,</w:t>
      </w:r>
      <w:r>
        <w:rPr>
          <w:rFonts w:hint="eastAsia"/>
          <w:sz w:val="32"/>
          <w:szCs w:val="32"/>
        </w:rPr>
        <w:t>200元，占比4.41%；幼儿保育卫生保健实训室建设项目拨付217</w:t>
      </w:r>
      <w:r>
        <w:rPr>
          <w:sz w:val="32"/>
          <w:szCs w:val="32"/>
        </w:rPr>
        <w:t>,</w:t>
      </w:r>
      <w:r>
        <w:rPr>
          <w:rFonts w:hint="eastAsia"/>
          <w:sz w:val="32"/>
          <w:szCs w:val="32"/>
        </w:rPr>
        <w:t>866元，占比8.07%；幼儿保育舞蹈实训室建设项目拨付82</w:t>
      </w:r>
      <w:r>
        <w:rPr>
          <w:sz w:val="32"/>
          <w:szCs w:val="32"/>
        </w:rPr>
        <w:t>,</w:t>
      </w:r>
      <w:r>
        <w:rPr>
          <w:rFonts w:hint="eastAsia"/>
          <w:sz w:val="32"/>
          <w:szCs w:val="32"/>
        </w:rPr>
        <w:t>134元，占比3.04%。</w:t>
      </w:r>
    </w:p>
    <w:p>
      <w:pPr>
        <w:pStyle w:val="18"/>
        <w:spacing w:line="240" w:lineRule="auto"/>
        <w:ind w:firstLine="640"/>
        <w:rPr>
          <w:sz w:val="32"/>
          <w:szCs w:val="32"/>
        </w:rPr>
      </w:pPr>
      <w:r>
        <w:rPr>
          <w:rFonts w:hint="eastAsia"/>
          <w:sz w:val="32"/>
          <w:szCs w:val="32"/>
        </w:rPr>
        <w:t>（2）资金使用情况</w:t>
      </w:r>
    </w:p>
    <w:p>
      <w:pPr>
        <w:pStyle w:val="18"/>
        <w:spacing w:line="240" w:lineRule="auto"/>
        <w:ind w:firstLine="640"/>
        <w:rPr>
          <w:sz w:val="32"/>
          <w:szCs w:val="32"/>
        </w:rPr>
      </w:pPr>
      <w:r>
        <w:rPr>
          <w:rFonts w:hint="eastAsia"/>
          <w:sz w:val="32"/>
          <w:szCs w:val="32"/>
        </w:rPr>
        <w:t>保定市徐水区教育和体育局拨付至2022年现代职业教育质量提升计划专项资金合计270万元，实际支出270万元，预算执行率100%。</w:t>
      </w:r>
    </w:p>
    <w:p>
      <w:pPr>
        <w:pStyle w:val="4"/>
        <w:spacing w:line="240" w:lineRule="auto"/>
      </w:pPr>
      <w:bookmarkStart w:id="4" w:name="_Toc142381552"/>
      <w:r>
        <w:rPr>
          <w:rFonts w:hint="eastAsia"/>
        </w:rPr>
        <w:t>（二）项目绩效目标</w:t>
      </w:r>
      <w:bookmarkEnd w:id="4"/>
    </w:p>
    <w:p>
      <w:pPr>
        <w:pStyle w:val="18"/>
        <w:spacing w:line="240" w:lineRule="auto"/>
        <w:ind w:firstLine="640"/>
        <w:rPr>
          <w:sz w:val="32"/>
          <w:szCs w:val="32"/>
        </w:rPr>
      </w:pPr>
      <w:r>
        <w:rPr>
          <w:rFonts w:hint="eastAsia"/>
          <w:sz w:val="32"/>
          <w:szCs w:val="32"/>
        </w:rPr>
        <w:t>1.总体绩效目标</w:t>
      </w:r>
    </w:p>
    <w:p>
      <w:pPr>
        <w:pStyle w:val="18"/>
        <w:spacing w:line="240" w:lineRule="auto"/>
        <w:ind w:firstLine="640"/>
        <w:rPr>
          <w:sz w:val="32"/>
          <w:szCs w:val="32"/>
        </w:rPr>
      </w:pPr>
      <w:r>
        <w:rPr>
          <w:rFonts w:hint="eastAsia"/>
          <w:sz w:val="32"/>
          <w:szCs w:val="32"/>
        </w:rPr>
        <w:t>根据《保定市徐水区教育和体育局关于进一步规范中小学校幼儿园资金使用管理办法（试行）》（徐教财〔2022〕4号），严格统筹使用现代职业教育质量提升项目专项资金，认真贯彻落实上级关于现代职业教育质量提升的计划和部署，对不符合办学条件的教学设备进行淘汰升级，改造升级云机房、实体机房、实训室的设备，改善实训环境，办学条件得到全面改善和提升，加强基础能力建设，推进职业教育中心教育教学改革，提高中等职业教育人才培养质量。</w:t>
      </w:r>
    </w:p>
    <w:p>
      <w:pPr>
        <w:pStyle w:val="18"/>
        <w:spacing w:line="240" w:lineRule="auto"/>
        <w:ind w:firstLine="640"/>
        <w:rPr>
          <w:sz w:val="32"/>
          <w:szCs w:val="32"/>
        </w:rPr>
      </w:pPr>
      <w:r>
        <w:rPr>
          <w:rFonts w:hint="eastAsia"/>
          <w:sz w:val="32"/>
          <w:szCs w:val="32"/>
        </w:rPr>
        <w:t>2.年度绩效目标</w:t>
      </w:r>
    </w:p>
    <w:p>
      <w:pPr>
        <w:pStyle w:val="18"/>
        <w:spacing w:line="240" w:lineRule="auto"/>
        <w:ind w:firstLine="640"/>
        <w:rPr>
          <w:sz w:val="32"/>
          <w:szCs w:val="32"/>
        </w:rPr>
      </w:pPr>
      <w:r>
        <w:rPr>
          <w:rFonts w:hint="eastAsia"/>
          <w:sz w:val="32"/>
          <w:szCs w:val="32"/>
        </w:rPr>
        <w:t>一是严格执行《保定市徐水区教育和体育局关于进一步规范中小学校幼儿园资金使用管理办法（试行）》（徐教财〔2022〕4号），根据项目实际，将专项资金用于教学质量提升计划、图书采购、图书馆配套设施购置、幼儿保育卫生保健实训室和舞蹈实训室的建设等支出；二是确保完成对计算机专业、会计专业、幼儿保育专业、机加工专业等配套设施的升级改造的目标任务；三是教学环境及实训效果显著提高，提高专业技能大赛成绩及1+X技能等级证书通过率。</w:t>
      </w:r>
    </w:p>
    <w:p>
      <w:pPr>
        <w:pStyle w:val="3"/>
        <w:spacing w:line="240" w:lineRule="auto"/>
        <w:jc w:val="left"/>
        <w:rPr>
          <w:b w:val="0"/>
          <w:bCs/>
        </w:rPr>
      </w:pPr>
      <w:bookmarkStart w:id="5" w:name="_Toc142381553"/>
      <w:r>
        <w:rPr>
          <w:rFonts w:hint="eastAsia"/>
          <w:b w:val="0"/>
          <w:bCs/>
        </w:rPr>
        <w:t>二、绩效评价工作开展情况</w:t>
      </w:r>
      <w:bookmarkEnd w:id="5"/>
    </w:p>
    <w:p>
      <w:pPr>
        <w:pStyle w:val="4"/>
        <w:spacing w:line="240" w:lineRule="auto"/>
      </w:pPr>
      <w:bookmarkStart w:id="6" w:name="_Toc142381554"/>
      <w:r>
        <w:rPr>
          <w:rFonts w:hint="eastAsia"/>
        </w:rPr>
        <w:t>（一）绩效评价目的、对象和范围</w:t>
      </w:r>
      <w:bookmarkEnd w:id="6"/>
    </w:p>
    <w:p>
      <w:pPr>
        <w:pStyle w:val="18"/>
        <w:spacing w:line="240" w:lineRule="auto"/>
        <w:ind w:firstLine="640"/>
        <w:rPr>
          <w:sz w:val="32"/>
          <w:szCs w:val="32"/>
        </w:rPr>
      </w:pPr>
      <w:r>
        <w:rPr>
          <w:rFonts w:hint="eastAsia"/>
          <w:sz w:val="32"/>
          <w:szCs w:val="32"/>
        </w:rPr>
        <w:t>1.绩效评价目的</w:t>
      </w:r>
    </w:p>
    <w:p>
      <w:pPr>
        <w:pStyle w:val="18"/>
        <w:spacing w:line="240" w:lineRule="auto"/>
        <w:ind w:firstLine="640"/>
        <w:rPr>
          <w:sz w:val="32"/>
          <w:szCs w:val="32"/>
        </w:rPr>
      </w:pPr>
      <w:r>
        <w:rPr>
          <w:sz w:val="32"/>
          <w:szCs w:val="32"/>
        </w:rPr>
        <w:t>通过开展绩效评价工作，</w:t>
      </w:r>
      <w:r>
        <w:rPr>
          <w:rFonts w:hint="eastAsia"/>
          <w:sz w:val="32"/>
          <w:szCs w:val="32"/>
        </w:rPr>
        <w:t>旨在对保定市徐水区2022年现代职业教育质量提升计划中央资金项目建设过程中的</w:t>
      </w:r>
      <w:r>
        <w:rPr>
          <w:sz w:val="32"/>
          <w:szCs w:val="32"/>
        </w:rPr>
        <w:t>决策、管理、产出及效益情况</w:t>
      </w:r>
      <w:r>
        <w:rPr>
          <w:rFonts w:hint="eastAsia"/>
          <w:sz w:val="32"/>
          <w:szCs w:val="32"/>
        </w:rPr>
        <w:t>进行全面了解</w:t>
      </w:r>
      <w:r>
        <w:rPr>
          <w:sz w:val="32"/>
          <w:szCs w:val="32"/>
        </w:rPr>
        <w:t>，对</w:t>
      </w:r>
      <w:r>
        <w:rPr>
          <w:rFonts w:hint="eastAsia"/>
          <w:sz w:val="32"/>
          <w:szCs w:val="32"/>
        </w:rPr>
        <w:t>该项目绩效目标设定的合理性和可衡量性、预算编制的合理性和科学性、预算执行的及时性和合规性、管理制度的健全性和有效性、以及项目完成后的产出和效益情况</w:t>
      </w:r>
      <w:r>
        <w:rPr>
          <w:sz w:val="32"/>
          <w:szCs w:val="32"/>
        </w:rPr>
        <w:t>进行分析评价，总结</w:t>
      </w:r>
      <w:r>
        <w:rPr>
          <w:rFonts w:hint="eastAsia"/>
          <w:sz w:val="32"/>
          <w:szCs w:val="32"/>
        </w:rPr>
        <w:t>亮点和</w:t>
      </w:r>
      <w:r>
        <w:rPr>
          <w:sz w:val="32"/>
          <w:szCs w:val="32"/>
        </w:rPr>
        <w:t>经验、发现问题、剖析原因、提出改进建议，</w:t>
      </w:r>
      <w:r>
        <w:rPr>
          <w:rFonts w:hint="eastAsia"/>
          <w:sz w:val="32"/>
          <w:szCs w:val="32"/>
        </w:rPr>
        <w:t>加强现代职业教育质量提升项目管理工作，</w:t>
      </w:r>
      <w:r>
        <w:rPr>
          <w:sz w:val="32"/>
          <w:szCs w:val="32"/>
        </w:rPr>
        <w:t>为</w:t>
      </w:r>
      <w:r>
        <w:rPr>
          <w:rFonts w:hint="eastAsia"/>
          <w:sz w:val="32"/>
          <w:szCs w:val="32"/>
        </w:rPr>
        <w:t>保定市徐水区教育和体育局</w:t>
      </w:r>
      <w:r>
        <w:rPr>
          <w:sz w:val="32"/>
          <w:szCs w:val="32"/>
        </w:rPr>
        <w:t>改进预算管理提供参考，提高财政资源配置效率和使用效益。</w:t>
      </w:r>
    </w:p>
    <w:p>
      <w:pPr>
        <w:pStyle w:val="18"/>
        <w:spacing w:line="240" w:lineRule="auto"/>
        <w:ind w:firstLine="640"/>
        <w:rPr>
          <w:sz w:val="32"/>
          <w:szCs w:val="32"/>
        </w:rPr>
      </w:pPr>
      <w:r>
        <w:rPr>
          <w:rFonts w:hint="eastAsia"/>
          <w:sz w:val="32"/>
          <w:szCs w:val="32"/>
        </w:rPr>
        <w:t>2.绩效评价对象和范围</w:t>
      </w:r>
    </w:p>
    <w:p>
      <w:pPr>
        <w:pStyle w:val="18"/>
        <w:spacing w:line="240" w:lineRule="auto"/>
        <w:ind w:firstLine="640"/>
        <w:rPr>
          <w:sz w:val="32"/>
          <w:szCs w:val="32"/>
        </w:rPr>
      </w:pPr>
      <w:r>
        <w:rPr>
          <w:rFonts w:hint="eastAsia"/>
          <w:sz w:val="32"/>
          <w:szCs w:val="32"/>
        </w:rPr>
        <w:t>本次绩效评价对象为保定市徐水区2022年现代职业教育质量提升计划中央资金270万元。评价范围为现代职业教育提升计划涉及的6个子项目，具体包含质量提升项目A包、质量提升项目B包、图书采购、图书馆配套设备购置、幼儿保育卫生保健实训室建设、幼儿保育舞蹈实训室建设项目，并从项目决策情况、项目过程情况、项目产出情况、项目效益情况以及满意度这五个方面进行评价。</w:t>
      </w:r>
    </w:p>
    <w:p>
      <w:pPr>
        <w:pStyle w:val="18"/>
        <w:spacing w:line="240" w:lineRule="auto"/>
        <w:ind w:firstLine="640"/>
        <w:rPr>
          <w:sz w:val="32"/>
          <w:szCs w:val="32"/>
        </w:rPr>
      </w:pPr>
      <w:r>
        <w:rPr>
          <w:rFonts w:hint="eastAsia"/>
          <w:sz w:val="32"/>
          <w:szCs w:val="32"/>
        </w:rPr>
        <w:t>本次绩效评价时段为：2022年1月1日—2022年12月31日。</w:t>
      </w:r>
    </w:p>
    <w:p>
      <w:pPr>
        <w:pStyle w:val="4"/>
        <w:spacing w:line="240" w:lineRule="auto"/>
        <w:rPr>
          <w:szCs w:val="32"/>
        </w:rPr>
      </w:pPr>
      <w:bookmarkStart w:id="7" w:name="_Toc142381555"/>
      <w:r>
        <w:rPr>
          <w:rFonts w:hint="eastAsia"/>
          <w:szCs w:val="32"/>
        </w:rPr>
        <w:t>（二）绩效评价原则、评价指标体系、评价方法、评价标准</w:t>
      </w:r>
      <w:bookmarkEnd w:id="7"/>
    </w:p>
    <w:p>
      <w:pPr>
        <w:pStyle w:val="18"/>
        <w:spacing w:line="240" w:lineRule="auto"/>
        <w:ind w:firstLine="640"/>
        <w:rPr>
          <w:sz w:val="32"/>
          <w:szCs w:val="32"/>
        </w:rPr>
      </w:pPr>
      <w:r>
        <w:rPr>
          <w:sz w:val="32"/>
          <w:szCs w:val="32"/>
        </w:rPr>
        <w:t>1.绩效评价原则</w:t>
      </w:r>
    </w:p>
    <w:p>
      <w:pPr>
        <w:pStyle w:val="18"/>
        <w:spacing w:line="240" w:lineRule="auto"/>
        <w:ind w:firstLine="640"/>
        <w:rPr>
          <w:sz w:val="32"/>
          <w:szCs w:val="32"/>
        </w:rPr>
      </w:pPr>
      <w:r>
        <w:rPr>
          <w:sz w:val="32"/>
          <w:szCs w:val="32"/>
        </w:rPr>
        <w:t>（1）科学规范。严格执行规定的流程步骤，做到指标合理、标准科学、方法适当、结果可信。</w:t>
      </w:r>
    </w:p>
    <w:p>
      <w:pPr>
        <w:pStyle w:val="18"/>
        <w:spacing w:line="240" w:lineRule="auto"/>
        <w:ind w:firstLine="640"/>
        <w:rPr>
          <w:sz w:val="32"/>
          <w:szCs w:val="32"/>
        </w:rPr>
      </w:pPr>
      <w:r>
        <w:rPr>
          <w:sz w:val="32"/>
          <w:szCs w:val="32"/>
        </w:rPr>
        <w:t>（2）绩效相关。评价结果应当清晰反映绩效目标的实现情况以及预算支出和绩效之间的对应关系。</w:t>
      </w:r>
    </w:p>
    <w:p>
      <w:pPr>
        <w:pStyle w:val="18"/>
        <w:spacing w:line="240" w:lineRule="auto"/>
        <w:ind w:firstLine="640"/>
        <w:rPr>
          <w:sz w:val="32"/>
          <w:szCs w:val="32"/>
        </w:rPr>
      </w:pPr>
      <w:r>
        <w:rPr>
          <w:sz w:val="32"/>
          <w:szCs w:val="32"/>
        </w:rPr>
        <w:t>（3）公开透明。评价结果应当符合真实、客观、公正的要求，依法依规公开并接受监督。</w:t>
      </w:r>
    </w:p>
    <w:p>
      <w:pPr>
        <w:pStyle w:val="18"/>
        <w:spacing w:line="240" w:lineRule="auto"/>
        <w:ind w:firstLine="640"/>
        <w:rPr>
          <w:sz w:val="32"/>
          <w:szCs w:val="32"/>
        </w:rPr>
      </w:pPr>
      <w:r>
        <w:rPr>
          <w:sz w:val="32"/>
          <w:szCs w:val="32"/>
        </w:rPr>
        <w:t>（4）激励约束。评价结果与项目的设立、保留、整合、调整和退出相挂钩，作为完善政策、改进管理、安排预算的重要依据。</w:t>
      </w:r>
    </w:p>
    <w:p>
      <w:pPr>
        <w:pStyle w:val="18"/>
        <w:spacing w:line="240" w:lineRule="auto"/>
        <w:ind w:firstLine="640"/>
        <w:rPr>
          <w:sz w:val="32"/>
          <w:szCs w:val="32"/>
        </w:rPr>
      </w:pPr>
      <w:r>
        <w:rPr>
          <w:sz w:val="32"/>
          <w:szCs w:val="32"/>
        </w:rPr>
        <w:t>2.绩效评价指标体系</w:t>
      </w:r>
    </w:p>
    <w:p>
      <w:pPr>
        <w:pStyle w:val="18"/>
        <w:spacing w:line="240" w:lineRule="auto"/>
        <w:ind w:firstLine="640"/>
        <w:rPr>
          <w:sz w:val="32"/>
          <w:szCs w:val="32"/>
        </w:rPr>
      </w:pPr>
      <w:r>
        <w:rPr>
          <w:sz w:val="32"/>
          <w:szCs w:val="32"/>
        </w:rPr>
        <w:t>（1）绩效指标设计</w:t>
      </w:r>
    </w:p>
    <w:p>
      <w:pPr>
        <w:pStyle w:val="18"/>
        <w:spacing w:line="240" w:lineRule="auto"/>
        <w:ind w:firstLine="640"/>
        <w:rPr>
          <w:sz w:val="32"/>
          <w:szCs w:val="32"/>
        </w:rPr>
      </w:pPr>
      <w:r>
        <w:rPr>
          <w:rFonts w:hint="eastAsia"/>
          <w:sz w:val="32"/>
          <w:szCs w:val="32"/>
        </w:rPr>
        <w:t>本项目绩效评价指标体系依据财政部印发《</w:t>
      </w:r>
      <w:r>
        <w:rPr>
          <w:sz w:val="32"/>
          <w:szCs w:val="32"/>
        </w:rPr>
        <w:t>项目支出绩效评价管理办法》（财预〔2020〕10号</w:t>
      </w:r>
      <w:r>
        <w:rPr>
          <w:rFonts w:hint="eastAsia"/>
          <w:sz w:val="32"/>
          <w:szCs w:val="32"/>
        </w:rPr>
        <w:t>）、保定市徐水区财政局《关于印发保定市徐水区区级预算绩效重点评价管理办法的通知》（徐政财字〔2020〕8号）等文件</w:t>
      </w:r>
      <w:r>
        <w:rPr>
          <w:sz w:val="32"/>
          <w:szCs w:val="32"/>
        </w:rPr>
        <w:t>，</w:t>
      </w:r>
      <w:r>
        <w:rPr>
          <w:rFonts w:hint="eastAsia"/>
          <w:sz w:val="32"/>
          <w:szCs w:val="32"/>
        </w:rPr>
        <w:t>结合本项目实际情况</w:t>
      </w:r>
      <w:r>
        <w:rPr>
          <w:sz w:val="32"/>
          <w:szCs w:val="32"/>
        </w:rPr>
        <w:t>，按照导向性、系统性、可操性的原则，针对</w:t>
      </w:r>
      <w:r>
        <w:rPr>
          <w:rFonts w:hint="eastAsia"/>
          <w:sz w:val="32"/>
          <w:szCs w:val="32"/>
        </w:rPr>
        <w:t>6</w:t>
      </w:r>
      <w:r>
        <w:rPr>
          <w:sz w:val="32"/>
          <w:szCs w:val="32"/>
        </w:rPr>
        <w:t>个子项目设计绩效评价指标体系</w:t>
      </w:r>
      <w:r>
        <w:rPr>
          <w:rFonts w:hint="eastAsia"/>
          <w:sz w:val="32"/>
          <w:szCs w:val="32"/>
        </w:rPr>
        <w:t>，指标体系由4项一级指标、</w:t>
      </w:r>
      <w:r>
        <w:rPr>
          <w:sz w:val="32"/>
          <w:szCs w:val="32"/>
        </w:rPr>
        <w:t>12</w:t>
      </w:r>
      <w:r>
        <w:rPr>
          <w:rFonts w:hint="eastAsia"/>
          <w:sz w:val="32"/>
          <w:szCs w:val="32"/>
        </w:rPr>
        <w:t>项</w:t>
      </w:r>
      <w:r>
        <w:rPr>
          <w:sz w:val="32"/>
          <w:szCs w:val="32"/>
        </w:rPr>
        <w:t>二级指标、3</w:t>
      </w:r>
      <w:r>
        <w:rPr>
          <w:rFonts w:hint="eastAsia"/>
          <w:sz w:val="32"/>
          <w:szCs w:val="32"/>
        </w:rPr>
        <w:t>1项</w:t>
      </w:r>
      <w:r>
        <w:rPr>
          <w:sz w:val="32"/>
          <w:szCs w:val="32"/>
        </w:rPr>
        <w:t>三级指标</w:t>
      </w:r>
      <w:r>
        <w:rPr>
          <w:rFonts w:hint="eastAsia"/>
          <w:sz w:val="32"/>
          <w:szCs w:val="32"/>
        </w:rPr>
        <w:t>组成</w:t>
      </w:r>
      <w:r>
        <w:rPr>
          <w:sz w:val="32"/>
          <w:szCs w:val="32"/>
        </w:rPr>
        <w:t>，总分值为100分。</w:t>
      </w:r>
    </w:p>
    <w:p>
      <w:pPr>
        <w:pStyle w:val="18"/>
        <w:spacing w:line="240" w:lineRule="auto"/>
        <w:ind w:firstLine="640"/>
        <w:rPr>
          <w:sz w:val="32"/>
          <w:szCs w:val="32"/>
        </w:rPr>
      </w:pPr>
      <w:r>
        <w:rPr>
          <w:sz w:val="32"/>
          <w:szCs w:val="32"/>
        </w:rPr>
        <w:t>决策</w:t>
      </w:r>
      <w:r>
        <w:rPr>
          <w:rFonts w:hint="eastAsia"/>
          <w:sz w:val="32"/>
          <w:szCs w:val="32"/>
        </w:rPr>
        <w:t>：</w:t>
      </w:r>
      <w:r>
        <w:rPr>
          <w:sz w:val="32"/>
          <w:szCs w:val="32"/>
        </w:rPr>
        <w:t>分值1</w:t>
      </w:r>
      <w:r>
        <w:rPr>
          <w:rFonts w:hint="eastAsia"/>
          <w:sz w:val="32"/>
          <w:szCs w:val="32"/>
        </w:rPr>
        <w:t>9</w:t>
      </w:r>
      <w:r>
        <w:rPr>
          <w:sz w:val="32"/>
          <w:szCs w:val="32"/>
        </w:rPr>
        <w:t>分，评价指标从项目立项、绩效目标、资金投入三个维度进行设计，主要评价立项依据充分性、立项程序规范性、绩效目标合理性、绩效指标明确性、预算编制科学性、资金分配合理性</w:t>
      </w:r>
      <w:r>
        <w:rPr>
          <w:rFonts w:hint="eastAsia"/>
          <w:sz w:val="32"/>
          <w:szCs w:val="32"/>
        </w:rPr>
        <w:t>。</w:t>
      </w:r>
    </w:p>
    <w:p>
      <w:pPr>
        <w:pStyle w:val="18"/>
        <w:spacing w:line="240" w:lineRule="auto"/>
        <w:ind w:firstLine="640"/>
        <w:rPr>
          <w:sz w:val="32"/>
          <w:szCs w:val="32"/>
        </w:rPr>
      </w:pPr>
      <w:r>
        <w:rPr>
          <w:sz w:val="32"/>
          <w:szCs w:val="32"/>
        </w:rPr>
        <w:t>过程</w:t>
      </w:r>
      <w:r>
        <w:rPr>
          <w:rFonts w:hint="eastAsia"/>
          <w:sz w:val="32"/>
          <w:szCs w:val="32"/>
        </w:rPr>
        <w:t>：</w:t>
      </w:r>
      <w:r>
        <w:rPr>
          <w:sz w:val="32"/>
          <w:szCs w:val="32"/>
        </w:rPr>
        <w:t>分值</w:t>
      </w:r>
      <w:r>
        <w:rPr>
          <w:rFonts w:hint="eastAsia"/>
          <w:sz w:val="32"/>
          <w:szCs w:val="32"/>
        </w:rPr>
        <w:t>11</w:t>
      </w:r>
      <w:r>
        <w:rPr>
          <w:sz w:val="32"/>
          <w:szCs w:val="32"/>
        </w:rPr>
        <w:t>分，评价指标从资金管理及组织实施两个维度进行设计，主要评价资金到位率、预算执行率、资金使用合规性、管理制度健全性、制度执行有效性</w:t>
      </w:r>
      <w:r>
        <w:rPr>
          <w:rFonts w:hint="eastAsia"/>
          <w:sz w:val="32"/>
          <w:szCs w:val="32"/>
        </w:rPr>
        <w:t>。</w:t>
      </w:r>
    </w:p>
    <w:p>
      <w:pPr>
        <w:pStyle w:val="18"/>
        <w:spacing w:line="240" w:lineRule="auto"/>
        <w:ind w:firstLine="640"/>
        <w:rPr>
          <w:sz w:val="32"/>
          <w:szCs w:val="32"/>
        </w:rPr>
      </w:pPr>
      <w:r>
        <w:rPr>
          <w:sz w:val="32"/>
          <w:szCs w:val="32"/>
        </w:rPr>
        <w:t>产出</w:t>
      </w:r>
      <w:r>
        <w:rPr>
          <w:rFonts w:hint="eastAsia"/>
          <w:sz w:val="32"/>
          <w:szCs w:val="32"/>
        </w:rPr>
        <w:t>：</w:t>
      </w:r>
      <w:r>
        <w:rPr>
          <w:sz w:val="32"/>
          <w:szCs w:val="32"/>
        </w:rPr>
        <w:t>分值</w:t>
      </w:r>
      <w:r>
        <w:rPr>
          <w:rFonts w:hint="eastAsia"/>
          <w:sz w:val="32"/>
          <w:szCs w:val="32"/>
        </w:rPr>
        <w:t>44</w:t>
      </w:r>
      <w:r>
        <w:rPr>
          <w:sz w:val="32"/>
          <w:szCs w:val="32"/>
        </w:rPr>
        <w:t>分，</w:t>
      </w:r>
      <w:r>
        <w:rPr>
          <w:rFonts w:hint="eastAsia"/>
          <w:sz w:val="32"/>
          <w:szCs w:val="32"/>
        </w:rPr>
        <w:t>评</w:t>
      </w:r>
      <w:r>
        <w:rPr>
          <w:sz w:val="32"/>
          <w:szCs w:val="32"/>
        </w:rPr>
        <w:t>价指标从产出数量、产出质量、产出时效</w:t>
      </w:r>
      <w:r>
        <w:rPr>
          <w:rFonts w:hint="eastAsia"/>
          <w:sz w:val="32"/>
          <w:szCs w:val="32"/>
        </w:rPr>
        <w:t>、产出成本四</w:t>
      </w:r>
      <w:r>
        <w:rPr>
          <w:sz w:val="32"/>
          <w:szCs w:val="32"/>
        </w:rPr>
        <w:t>个维度进行设计，用于衡量</w:t>
      </w:r>
      <w:r>
        <w:rPr>
          <w:rFonts w:hint="eastAsia"/>
          <w:sz w:val="32"/>
          <w:szCs w:val="32"/>
        </w:rPr>
        <w:t>项目购置设备及建设完成情况、验收及时性及合格率、预算成本控制情况</w:t>
      </w:r>
      <w:r>
        <w:rPr>
          <w:sz w:val="32"/>
          <w:szCs w:val="32"/>
        </w:rPr>
        <w:t>等内容</w:t>
      </w:r>
      <w:r>
        <w:rPr>
          <w:rFonts w:hint="eastAsia"/>
          <w:sz w:val="32"/>
          <w:szCs w:val="32"/>
        </w:rPr>
        <w:t>。</w:t>
      </w:r>
    </w:p>
    <w:p>
      <w:pPr>
        <w:pStyle w:val="18"/>
        <w:spacing w:line="240" w:lineRule="auto"/>
        <w:ind w:firstLine="640"/>
        <w:rPr>
          <w:sz w:val="32"/>
          <w:szCs w:val="32"/>
        </w:rPr>
      </w:pPr>
      <w:r>
        <w:rPr>
          <w:rFonts w:hint="eastAsia"/>
          <w:sz w:val="32"/>
          <w:szCs w:val="32"/>
        </w:rPr>
        <w:t>效益：</w:t>
      </w:r>
      <w:r>
        <w:rPr>
          <w:sz w:val="32"/>
          <w:szCs w:val="32"/>
        </w:rPr>
        <w:t>分值2</w:t>
      </w:r>
      <w:r>
        <w:rPr>
          <w:rFonts w:hint="eastAsia"/>
          <w:sz w:val="32"/>
          <w:szCs w:val="32"/>
        </w:rPr>
        <w:t>6</w:t>
      </w:r>
      <w:r>
        <w:rPr>
          <w:sz w:val="32"/>
          <w:szCs w:val="32"/>
        </w:rPr>
        <w:t>分，评价指标从社会效益、可持续影响、</w:t>
      </w:r>
      <w:r>
        <w:rPr>
          <w:rFonts w:hint="eastAsia"/>
          <w:sz w:val="32"/>
          <w:szCs w:val="32"/>
        </w:rPr>
        <w:t>受益</w:t>
      </w:r>
      <w:r>
        <w:rPr>
          <w:sz w:val="32"/>
          <w:szCs w:val="32"/>
        </w:rPr>
        <w:t>对象满意度</w:t>
      </w:r>
      <w:r>
        <w:rPr>
          <w:rFonts w:hint="eastAsia"/>
          <w:sz w:val="32"/>
          <w:szCs w:val="32"/>
        </w:rPr>
        <w:t>三</w:t>
      </w:r>
      <w:r>
        <w:rPr>
          <w:sz w:val="32"/>
          <w:szCs w:val="32"/>
        </w:rPr>
        <w:t>个维度进行设计，评价资金投入达到的效益效果以及</w:t>
      </w:r>
      <w:r>
        <w:rPr>
          <w:rFonts w:hint="eastAsia"/>
          <w:sz w:val="32"/>
          <w:szCs w:val="32"/>
        </w:rPr>
        <w:t>受益</w:t>
      </w:r>
      <w:r>
        <w:rPr>
          <w:sz w:val="32"/>
          <w:szCs w:val="32"/>
        </w:rPr>
        <w:t>对象的满意度。</w:t>
      </w:r>
    </w:p>
    <w:p>
      <w:pPr>
        <w:pStyle w:val="18"/>
        <w:spacing w:line="240" w:lineRule="auto"/>
        <w:ind w:firstLine="640"/>
        <w:rPr>
          <w:sz w:val="32"/>
          <w:szCs w:val="32"/>
        </w:rPr>
      </w:pPr>
      <w:r>
        <w:rPr>
          <w:rFonts w:hint="eastAsia"/>
          <w:sz w:val="32"/>
          <w:szCs w:val="32"/>
        </w:rPr>
        <w:t>具体指标、指标解释、评价标准、指标权重、指标得分、扣分原因等详见附件1。</w:t>
      </w:r>
    </w:p>
    <w:p>
      <w:pPr>
        <w:pStyle w:val="18"/>
        <w:spacing w:line="240" w:lineRule="auto"/>
        <w:ind w:firstLine="640"/>
        <w:rPr>
          <w:sz w:val="32"/>
          <w:szCs w:val="32"/>
        </w:rPr>
      </w:pPr>
      <w:r>
        <w:rPr>
          <w:sz w:val="32"/>
          <w:szCs w:val="32"/>
        </w:rPr>
        <w:t>（2）绩效评价等级</w:t>
      </w:r>
    </w:p>
    <w:p>
      <w:pPr>
        <w:pStyle w:val="18"/>
        <w:spacing w:line="240" w:lineRule="auto"/>
        <w:ind w:firstLine="640"/>
        <w:rPr>
          <w:sz w:val="32"/>
          <w:szCs w:val="32"/>
        </w:rPr>
      </w:pPr>
      <w:r>
        <w:rPr>
          <w:sz w:val="32"/>
          <w:szCs w:val="32"/>
        </w:rPr>
        <w:t>根据《项目支出绩效评价管理办法》（财预〔2020〕10号）有关要求，绩效评价结果采取评分和评级相结合的方式，总分一般设置为100分，等级一般划分为四档：90（含）-100分为优、80（含）-90分为良、60（含）-80分为中、60分以下为差。</w:t>
      </w:r>
    </w:p>
    <w:p>
      <w:pPr>
        <w:pStyle w:val="18"/>
        <w:spacing w:line="240" w:lineRule="auto"/>
        <w:ind w:firstLine="640"/>
        <w:rPr>
          <w:sz w:val="32"/>
          <w:szCs w:val="32"/>
        </w:rPr>
      </w:pPr>
      <w:r>
        <w:rPr>
          <w:sz w:val="32"/>
          <w:szCs w:val="32"/>
        </w:rPr>
        <w:t>3.绩效评价方法</w:t>
      </w:r>
    </w:p>
    <w:p>
      <w:pPr>
        <w:pStyle w:val="18"/>
        <w:spacing w:line="240" w:lineRule="auto"/>
        <w:ind w:firstLine="640"/>
        <w:rPr>
          <w:sz w:val="32"/>
          <w:szCs w:val="32"/>
        </w:rPr>
      </w:pPr>
      <w:r>
        <w:rPr>
          <w:sz w:val="32"/>
          <w:szCs w:val="32"/>
        </w:rPr>
        <w:t>根据</w:t>
      </w:r>
      <w:r>
        <w:rPr>
          <w:rFonts w:hint="eastAsia"/>
          <w:sz w:val="32"/>
          <w:szCs w:val="32"/>
        </w:rPr>
        <w:t>现代职业教育质量提升计划中央资金</w:t>
      </w:r>
      <w:r>
        <w:rPr>
          <w:sz w:val="32"/>
          <w:szCs w:val="32"/>
        </w:rPr>
        <w:t>项目的特点，本项目绩效评价综合运用文献分析法、成本效益分析法、因素分析法、公众评判法等进行评价。</w:t>
      </w:r>
    </w:p>
    <w:p>
      <w:pPr>
        <w:pStyle w:val="18"/>
        <w:spacing w:line="240" w:lineRule="auto"/>
        <w:ind w:firstLine="640"/>
        <w:rPr>
          <w:sz w:val="32"/>
          <w:szCs w:val="32"/>
        </w:rPr>
      </w:pPr>
      <w:r>
        <w:rPr>
          <w:sz w:val="32"/>
          <w:szCs w:val="32"/>
        </w:rPr>
        <w:t>（1）文献分析法。通过查询</w:t>
      </w:r>
      <w:r>
        <w:rPr>
          <w:rFonts w:hint="eastAsia"/>
          <w:sz w:val="32"/>
          <w:szCs w:val="32"/>
        </w:rPr>
        <w:t>现代职业教育质量提升计划</w:t>
      </w:r>
      <w:r>
        <w:rPr>
          <w:sz w:val="32"/>
          <w:szCs w:val="32"/>
        </w:rPr>
        <w:t>项目相关法律法规、国民经济发展规划、相关政策要求以及财务管理办法等相关文件资料，对该项目实施的背景、财政资金拨付方式、预算资金的属性等进行综合分析。</w:t>
      </w:r>
    </w:p>
    <w:p>
      <w:pPr>
        <w:pStyle w:val="18"/>
        <w:spacing w:line="240" w:lineRule="auto"/>
        <w:ind w:firstLine="640"/>
        <w:rPr>
          <w:sz w:val="32"/>
          <w:szCs w:val="32"/>
        </w:rPr>
      </w:pPr>
      <w:r>
        <w:rPr>
          <w:sz w:val="32"/>
          <w:szCs w:val="32"/>
        </w:rPr>
        <w:t>（2）成本效益分析法。通过对2022年度徐水区</w:t>
      </w:r>
      <w:r>
        <w:rPr>
          <w:rFonts w:hint="eastAsia"/>
          <w:sz w:val="32"/>
          <w:szCs w:val="32"/>
        </w:rPr>
        <w:t>现代职业教育质量提升计划</w:t>
      </w:r>
      <w:r>
        <w:rPr>
          <w:sz w:val="32"/>
          <w:szCs w:val="32"/>
        </w:rPr>
        <w:t>项目实施的投入与产出、效益进行关联性对比分析，以评价绩效目标实现程度。</w:t>
      </w:r>
    </w:p>
    <w:p>
      <w:pPr>
        <w:pStyle w:val="18"/>
        <w:spacing w:line="240" w:lineRule="auto"/>
        <w:ind w:firstLine="640"/>
        <w:rPr>
          <w:sz w:val="32"/>
          <w:szCs w:val="32"/>
        </w:rPr>
      </w:pPr>
      <w:r>
        <w:rPr>
          <w:sz w:val="32"/>
          <w:szCs w:val="32"/>
        </w:rPr>
        <w:t>（3）因素分析法。通过综合分析影响2022年度徐水区</w:t>
      </w:r>
      <w:r>
        <w:rPr>
          <w:rFonts w:hint="eastAsia"/>
          <w:sz w:val="32"/>
          <w:szCs w:val="32"/>
        </w:rPr>
        <w:t>现代职业教育质量提升计划</w:t>
      </w:r>
      <w:r>
        <w:rPr>
          <w:sz w:val="32"/>
          <w:szCs w:val="32"/>
        </w:rPr>
        <w:t>项目绩效目标实现、实施效果的内外部因素，评价绩效目标实现程度。</w:t>
      </w:r>
    </w:p>
    <w:p>
      <w:pPr>
        <w:pStyle w:val="18"/>
        <w:spacing w:line="240" w:lineRule="auto"/>
        <w:ind w:firstLine="640"/>
        <w:rPr>
          <w:sz w:val="32"/>
          <w:szCs w:val="32"/>
        </w:rPr>
      </w:pPr>
      <w:r>
        <w:rPr>
          <w:sz w:val="32"/>
          <w:szCs w:val="32"/>
        </w:rPr>
        <w:t>（</w:t>
      </w:r>
      <w:r>
        <w:rPr>
          <w:rFonts w:hint="eastAsia"/>
          <w:sz w:val="32"/>
          <w:szCs w:val="32"/>
        </w:rPr>
        <w:t>4</w:t>
      </w:r>
      <w:r>
        <w:rPr>
          <w:sz w:val="32"/>
          <w:szCs w:val="32"/>
        </w:rPr>
        <w:t>）公众评判法。通过对2022年度徐水区</w:t>
      </w:r>
      <w:r>
        <w:rPr>
          <w:rFonts w:hint="eastAsia"/>
          <w:sz w:val="32"/>
          <w:szCs w:val="32"/>
        </w:rPr>
        <w:t>现代职业教育质量提升计划</w:t>
      </w:r>
      <w:r>
        <w:rPr>
          <w:sz w:val="32"/>
          <w:szCs w:val="32"/>
        </w:rPr>
        <w:t>项目受益主体开展问卷调查及对项目负责人现场访谈，明确项目资金管理使用状况</w:t>
      </w:r>
      <w:r>
        <w:rPr>
          <w:rFonts w:hint="eastAsia"/>
          <w:sz w:val="32"/>
          <w:szCs w:val="32"/>
        </w:rPr>
        <w:t>及实施效果</w:t>
      </w:r>
      <w:r>
        <w:rPr>
          <w:sz w:val="32"/>
          <w:szCs w:val="32"/>
        </w:rPr>
        <w:t>。</w:t>
      </w:r>
    </w:p>
    <w:p>
      <w:pPr>
        <w:pStyle w:val="18"/>
        <w:spacing w:line="240" w:lineRule="auto"/>
        <w:ind w:firstLine="640"/>
        <w:rPr>
          <w:sz w:val="32"/>
          <w:szCs w:val="32"/>
        </w:rPr>
      </w:pPr>
      <w:r>
        <w:rPr>
          <w:sz w:val="32"/>
          <w:szCs w:val="32"/>
        </w:rPr>
        <w:t>4.绩效评价依据</w:t>
      </w:r>
    </w:p>
    <w:p>
      <w:pPr>
        <w:pStyle w:val="18"/>
        <w:spacing w:line="240" w:lineRule="auto"/>
        <w:ind w:firstLine="640"/>
        <w:rPr>
          <w:sz w:val="32"/>
          <w:szCs w:val="32"/>
        </w:rPr>
      </w:pPr>
      <w:r>
        <w:rPr>
          <w:sz w:val="32"/>
          <w:szCs w:val="32"/>
        </w:rPr>
        <w:t>（1）</w:t>
      </w:r>
      <w:r>
        <w:rPr>
          <w:rFonts w:hint="eastAsia"/>
          <w:sz w:val="32"/>
          <w:szCs w:val="32"/>
        </w:rPr>
        <w:t>《中共中央国务院关于全面实施预算绩效管理的意见》（中发〔2018〕34号）；</w:t>
      </w:r>
    </w:p>
    <w:p>
      <w:pPr>
        <w:pStyle w:val="18"/>
        <w:spacing w:line="240" w:lineRule="auto"/>
        <w:ind w:firstLine="640"/>
        <w:rPr>
          <w:sz w:val="32"/>
          <w:szCs w:val="32"/>
        </w:rPr>
      </w:pPr>
      <w:r>
        <w:rPr>
          <w:rFonts w:hint="eastAsia"/>
          <w:sz w:val="32"/>
          <w:szCs w:val="32"/>
        </w:rPr>
        <w:t>（2）《财政部关于贯彻落实&lt;中共中央国务院关于全面实施预算绩效管理的意见&gt;的通知》（财预〔2018〕167号）；</w:t>
      </w:r>
    </w:p>
    <w:p>
      <w:pPr>
        <w:pStyle w:val="18"/>
        <w:spacing w:line="240" w:lineRule="auto"/>
        <w:ind w:firstLine="640"/>
        <w:rPr>
          <w:sz w:val="32"/>
          <w:szCs w:val="32"/>
        </w:rPr>
      </w:pPr>
      <w:r>
        <w:rPr>
          <w:rFonts w:hint="eastAsia"/>
          <w:sz w:val="32"/>
          <w:szCs w:val="32"/>
        </w:rPr>
        <w:t>（3）河北省委政府印发《关于全面实施预算绩效管理的实施意见》（冀发〔2018〕54号）；</w:t>
      </w:r>
    </w:p>
    <w:p>
      <w:pPr>
        <w:pStyle w:val="18"/>
        <w:spacing w:line="240" w:lineRule="auto"/>
        <w:ind w:firstLine="640"/>
        <w:rPr>
          <w:sz w:val="32"/>
          <w:szCs w:val="32"/>
        </w:rPr>
      </w:pPr>
      <w:r>
        <w:rPr>
          <w:rFonts w:hint="eastAsia"/>
          <w:sz w:val="32"/>
          <w:szCs w:val="32"/>
        </w:rPr>
        <w:t>（4）《河北省省级预算绩效重点评价管理办法》（冀财绩〔2019〕11号）；</w:t>
      </w:r>
    </w:p>
    <w:p>
      <w:pPr>
        <w:pStyle w:val="18"/>
        <w:spacing w:line="240" w:lineRule="auto"/>
        <w:ind w:firstLine="640"/>
        <w:rPr>
          <w:sz w:val="32"/>
          <w:szCs w:val="32"/>
        </w:rPr>
      </w:pPr>
      <w:r>
        <w:rPr>
          <w:rFonts w:hint="eastAsia"/>
          <w:sz w:val="32"/>
          <w:szCs w:val="32"/>
        </w:rPr>
        <w:t>（5）保定市徐水区财政局《关于开展2023年财政重点绩效评价工作的通知》（徐政财字〔2023〕34号）；</w:t>
      </w:r>
    </w:p>
    <w:p>
      <w:pPr>
        <w:pStyle w:val="18"/>
        <w:spacing w:line="240" w:lineRule="auto"/>
        <w:ind w:firstLine="640"/>
        <w:rPr>
          <w:sz w:val="32"/>
          <w:szCs w:val="32"/>
        </w:rPr>
      </w:pPr>
      <w:r>
        <w:rPr>
          <w:rFonts w:hint="eastAsia"/>
          <w:sz w:val="32"/>
          <w:szCs w:val="32"/>
        </w:rPr>
        <w:t>（6）人社部、教育部、发展改革委、财政部联合印发《“十四五”职业技能培训规划》；</w:t>
      </w:r>
    </w:p>
    <w:p>
      <w:pPr>
        <w:pStyle w:val="18"/>
        <w:spacing w:line="240" w:lineRule="auto"/>
        <w:ind w:firstLine="640"/>
        <w:rPr>
          <w:sz w:val="32"/>
          <w:szCs w:val="32"/>
        </w:rPr>
      </w:pPr>
      <w:r>
        <w:rPr>
          <w:rFonts w:hint="eastAsia"/>
          <w:sz w:val="32"/>
          <w:szCs w:val="32"/>
        </w:rPr>
        <w:t>（7）</w:t>
      </w:r>
      <w:r>
        <w:rPr>
          <w:sz w:val="32"/>
          <w:szCs w:val="32"/>
        </w:rPr>
        <w:t>河北省人社厅、教育厅、发改委、财政厅联合印发《河北省“十四五”职业技能培训规划》</w:t>
      </w:r>
      <w:r>
        <w:rPr>
          <w:rFonts w:hint="eastAsia"/>
          <w:sz w:val="32"/>
          <w:szCs w:val="32"/>
        </w:rPr>
        <w:t>；</w:t>
      </w:r>
    </w:p>
    <w:p>
      <w:pPr>
        <w:pStyle w:val="18"/>
        <w:spacing w:line="240" w:lineRule="auto"/>
        <w:ind w:firstLine="640"/>
        <w:rPr>
          <w:sz w:val="32"/>
          <w:szCs w:val="32"/>
        </w:rPr>
      </w:pPr>
      <w:r>
        <w:rPr>
          <w:rFonts w:hint="eastAsia"/>
          <w:sz w:val="32"/>
          <w:szCs w:val="32"/>
        </w:rPr>
        <w:t>（8）教育部等九部门关于印发《职业教育提质培优行动计划（2020—2023年）》的通知（教职成〔2020〕7号）；</w:t>
      </w:r>
    </w:p>
    <w:p>
      <w:pPr>
        <w:pStyle w:val="18"/>
        <w:spacing w:line="240" w:lineRule="auto"/>
        <w:ind w:firstLine="640"/>
        <w:rPr>
          <w:sz w:val="32"/>
          <w:szCs w:val="32"/>
        </w:rPr>
      </w:pPr>
      <w:r>
        <w:rPr>
          <w:rFonts w:hint="eastAsia"/>
          <w:sz w:val="32"/>
          <w:szCs w:val="32"/>
        </w:rPr>
        <w:t>（9）《教育部河北省人民政府关于提升区域职业教育发展动能打造品质保定的实施意见》（冀政字〔2021〕61号）；</w:t>
      </w:r>
    </w:p>
    <w:p>
      <w:pPr>
        <w:pStyle w:val="18"/>
        <w:spacing w:line="240" w:lineRule="auto"/>
        <w:ind w:firstLine="640"/>
        <w:rPr>
          <w:sz w:val="32"/>
          <w:szCs w:val="32"/>
        </w:rPr>
      </w:pPr>
      <w:r>
        <w:rPr>
          <w:rFonts w:hint="eastAsia"/>
          <w:sz w:val="32"/>
          <w:szCs w:val="32"/>
        </w:rPr>
        <w:t>（10）《关于推动现代职业教育高质量发展的意见》；</w:t>
      </w:r>
    </w:p>
    <w:p>
      <w:pPr>
        <w:pStyle w:val="18"/>
        <w:spacing w:line="240" w:lineRule="auto"/>
        <w:ind w:firstLine="640"/>
        <w:rPr>
          <w:sz w:val="32"/>
          <w:szCs w:val="32"/>
        </w:rPr>
      </w:pPr>
      <w:r>
        <w:rPr>
          <w:rFonts w:hint="eastAsia"/>
          <w:sz w:val="32"/>
          <w:szCs w:val="32"/>
        </w:rPr>
        <w:t>（11）《国务院关于加快发展现代职业教育的决定》（国发〔2014〕19号）；</w:t>
      </w:r>
    </w:p>
    <w:p>
      <w:pPr>
        <w:pStyle w:val="18"/>
        <w:spacing w:line="240" w:lineRule="auto"/>
        <w:ind w:firstLine="640"/>
        <w:rPr>
          <w:sz w:val="32"/>
          <w:szCs w:val="32"/>
        </w:rPr>
      </w:pPr>
      <w:r>
        <w:rPr>
          <w:rFonts w:hint="eastAsia"/>
          <w:sz w:val="32"/>
          <w:szCs w:val="32"/>
        </w:rPr>
        <w:t>（12）《河北省现代职业教育发展专项资金管理办法》（冀财教〔2020〕87号）；</w:t>
      </w:r>
    </w:p>
    <w:p>
      <w:pPr>
        <w:pStyle w:val="18"/>
        <w:spacing w:line="240" w:lineRule="auto"/>
        <w:ind w:firstLine="640"/>
        <w:rPr>
          <w:sz w:val="32"/>
          <w:szCs w:val="32"/>
        </w:rPr>
      </w:pPr>
      <w:r>
        <w:rPr>
          <w:rFonts w:hint="eastAsia"/>
          <w:sz w:val="32"/>
          <w:szCs w:val="32"/>
        </w:rPr>
        <w:t>（13）</w:t>
      </w:r>
      <w:r>
        <w:rPr>
          <w:sz w:val="32"/>
          <w:szCs w:val="32"/>
        </w:rPr>
        <w:t>《保定市徐水区教育和体育局关于进一步规范中小学校幼儿园资金使用管理办法（试行）》（徐教财〔2022〕4号）</w:t>
      </w:r>
      <w:r>
        <w:rPr>
          <w:rFonts w:hint="eastAsia"/>
          <w:sz w:val="32"/>
          <w:szCs w:val="32"/>
        </w:rPr>
        <w:t>。</w:t>
      </w:r>
    </w:p>
    <w:p>
      <w:pPr>
        <w:pStyle w:val="4"/>
        <w:spacing w:line="240" w:lineRule="auto"/>
        <w:rPr>
          <w:szCs w:val="32"/>
        </w:rPr>
      </w:pPr>
      <w:bookmarkStart w:id="8" w:name="_Toc142381556"/>
      <w:r>
        <w:rPr>
          <w:rFonts w:hint="eastAsia"/>
          <w:szCs w:val="32"/>
        </w:rPr>
        <w:t>（三）绩效评价工作过程</w:t>
      </w:r>
      <w:bookmarkEnd w:id="8"/>
    </w:p>
    <w:p>
      <w:pPr>
        <w:pStyle w:val="18"/>
        <w:spacing w:line="240" w:lineRule="auto"/>
        <w:ind w:firstLine="640"/>
        <w:rPr>
          <w:sz w:val="32"/>
          <w:szCs w:val="32"/>
        </w:rPr>
      </w:pPr>
      <w:r>
        <w:rPr>
          <w:sz w:val="32"/>
          <w:szCs w:val="32"/>
        </w:rPr>
        <w:t>1.项目启动阶段</w:t>
      </w:r>
    </w:p>
    <w:p>
      <w:pPr>
        <w:pStyle w:val="18"/>
        <w:spacing w:line="240" w:lineRule="auto"/>
        <w:ind w:firstLine="640"/>
        <w:rPr>
          <w:sz w:val="32"/>
          <w:szCs w:val="32"/>
        </w:rPr>
      </w:pPr>
      <w:r>
        <w:rPr>
          <w:sz w:val="32"/>
          <w:szCs w:val="32"/>
        </w:rPr>
        <w:t>与</w:t>
      </w:r>
      <w:r>
        <w:rPr>
          <w:rFonts w:hint="eastAsia"/>
          <w:sz w:val="32"/>
          <w:szCs w:val="32"/>
        </w:rPr>
        <w:t>保定市徐水区</w:t>
      </w:r>
      <w:r>
        <w:rPr>
          <w:sz w:val="32"/>
          <w:szCs w:val="32"/>
        </w:rPr>
        <w:t>财政局就其委托需求、绩效评价工作开展要求进行接洽，</w:t>
      </w:r>
      <w:r>
        <w:rPr>
          <w:rFonts w:hint="eastAsia"/>
          <w:sz w:val="32"/>
          <w:szCs w:val="32"/>
        </w:rPr>
        <w:t>组建评价组，评价组对相关文件进行研读，对项目基础资料进行研究，与项目实施机构进行初步沟通，了解项目基本情况及组织管理模式，获取项目相关资料。</w:t>
      </w:r>
    </w:p>
    <w:p>
      <w:pPr>
        <w:pStyle w:val="18"/>
        <w:spacing w:line="240" w:lineRule="auto"/>
        <w:ind w:firstLine="640"/>
        <w:rPr>
          <w:sz w:val="32"/>
          <w:szCs w:val="32"/>
        </w:rPr>
      </w:pPr>
      <w:r>
        <w:rPr>
          <w:sz w:val="32"/>
          <w:szCs w:val="32"/>
        </w:rPr>
        <w:t>2.评价实施阶段</w:t>
      </w:r>
    </w:p>
    <w:p>
      <w:pPr>
        <w:pStyle w:val="18"/>
        <w:spacing w:line="240" w:lineRule="auto"/>
        <w:ind w:firstLine="640"/>
        <w:rPr>
          <w:sz w:val="32"/>
          <w:szCs w:val="32"/>
        </w:rPr>
      </w:pPr>
      <w:r>
        <w:rPr>
          <w:rFonts w:hint="eastAsia"/>
          <w:sz w:val="32"/>
          <w:szCs w:val="32"/>
        </w:rPr>
        <w:t>根据评价工作方案及绩效评价指标体系，组织开展访谈、数据获取、资料核查、问卷调查，完善评价基础资料。通过对基础数据进行核查，就项目产出、项目效益等进行深入了解，综合聚焦关键问题。</w:t>
      </w:r>
    </w:p>
    <w:p>
      <w:pPr>
        <w:pStyle w:val="18"/>
        <w:spacing w:line="240" w:lineRule="auto"/>
        <w:ind w:firstLine="640"/>
        <w:rPr>
          <w:sz w:val="32"/>
          <w:szCs w:val="32"/>
        </w:rPr>
      </w:pPr>
      <w:r>
        <w:rPr>
          <w:sz w:val="32"/>
          <w:szCs w:val="32"/>
        </w:rPr>
        <w:t>（1）数据</w:t>
      </w:r>
      <w:r>
        <w:rPr>
          <w:rFonts w:hint="eastAsia"/>
          <w:sz w:val="32"/>
          <w:szCs w:val="32"/>
        </w:rPr>
        <w:t>获取</w:t>
      </w:r>
      <w:r>
        <w:rPr>
          <w:sz w:val="32"/>
          <w:szCs w:val="32"/>
        </w:rPr>
        <w:t>：将资料清单提交给相关部门，相关部门按照实地调研通知有关要求准备相关资料、填报相关数据。</w:t>
      </w:r>
    </w:p>
    <w:p>
      <w:pPr>
        <w:pStyle w:val="18"/>
        <w:spacing w:line="240" w:lineRule="auto"/>
        <w:ind w:firstLine="640"/>
        <w:rPr>
          <w:sz w:val="32"/>
          <w:szCs w:val="32"/>
        </w:rPr>
      </w:pPr>
      <w:r>
        <w:rPr>
          <w:sz w:val="32"/>
          <w:szCs w:val="32"/>
        </w:rPr>
        <w:t>（2）问卷调查和访谈：与项目实施机构财务人员及业务人员分别进行访谈，深入了解项目实施情况及组织管理模式；在项目实施机构的配合下，完成线上满意度问卷发放工作，共发放问卷</w:t>
      </w:r>
      <w:r>
        <w:rPr>
          <w:rFonts w:hint="eastAsia"/>
          <w:sz w:val="32"/>
          <w:szCs w:val="32"/>
        </w:rPr>
        <w:t>177</w:t>
      </w:r>
      <w:r>
        <w:rPr>
          <w:sz w:val="32"/>
          <w:szCs w:val="32"/>
        </w:rPr>
        <w:t>份。</w:t>
      </w:r>
    </w:p>
    <w:p>
      <w:pPr>
        <w:pStyle w:val="18"/>
        <w:spacing w:line="240" w:lineRule="auto"/>
        <w:ind w:firstLine="640"/>
        <w:rPr>
          <w:sz w:val="32"/>
          <w:szCs w:val="32"/>
        </w:rPr>
      </w:pPr>
      <w:r>
        <w:rPr>
          <w:sz w:val="32"/>
          <w:szCs w:val="32"/>
        </w:rPr>
        <w:t>3.报告撰写阶段</w:t>
      </w:r>
    </w:p>
    <w:p>
      <w:pPr>
        <w:pStyle w:val="18"/>
        <w:spacing w:line="240" w:lineRule="auto"/>
        <w:ind w:firstLine="640"/>
        <w:rPr>
          <w:sz w:val="32"/>
          <w:szCs w:val="32"/>
        </w:rPr>
      </w:pPr>
      <w:r>
        <w:rPr>
          <w:sz w:val="32"/>
          <w:szCs w:val="32"/>
        </w:rPr>
        <w:t>数据分析：对收集后的数据和资料进行分析汇总，依据评分标准对绩效指标进行评分，并通过绩效分析形成评价结论。</w:t>
      </w:r>
    </w:p>
    <w:p>
      <w:pPr>
        <w:pStyle w:val="18"/>
        <w:spacing w:line="240" w:lineRule="auto"/>
        <w:ind w:firstLine="640"/>
      </w:pPr>
      <w:r>
        <w:rPr>
          <w:sz w:val="32"/>
          <w:szCs w:val="32"/>
        </w:rPr>
        <w:t>撰写评价报告：在数据分析基础上，按照预算绩效管理要求撰写绩效评价报告。绩效评价报告完成初稿后，</w:t>
      </w:r>
      <w:r>
        <w:rPr>
          <w:rFonts w:hint="eastAsia"/>
          <w:sz w:val="32"/>
          <w:szCs w:val="32"/>
        </w:rPr>
        <w:t>与委托单位沟通确认，并根据双方意见进行修改，最终经委托方确认后定稿。</w:t>
      </w:r>
    </w:p>
    <w:p>
      <w:pPr>
        <w:pStyle w:val="3"/>
        <w:spacing w:line="240" w:lineRule="auto"/>
        <w:jc w:val="left"/>
        <w:rPr>
          <w:b w:val="0"/>
          <w:bCs/>
        </w:rPr>
      </w:pPr>
      <w:bookmarkStart w:id="9" w:name="_Toc142381557"/>
      <w:r>
        <w:rPr>
          <w:rFonts w:hint="eastAsia"/>
          <w:b w:val="0"/>
          <w:bCs/>
        </w:rPr>
        <w:t>三、综合评价情况及评价结论</w:t>
      </w:r>
      <w:bookmarkEnd w:id="9"/>
    </w:p>
    <w:p>
      <w:pPr>
        <w:pStyle w:val="18"/>
        <w:spacing w:line="240" w:lineRule="auto"/>
        <w:ind w:firstLine="640"/>
        <w:rPr>
          <w:sz w:val="32"/>
          <w:szCs w:val="32"/>
        </w:rPr>
      </w:pPr>
      <w:r>
        <w:rPr>
          <w:rFonts w:hint="eastAsia"/>
          <w:sz w:val="32"/>
          <w:szCs w:val="32"/>
        </w:rPr>
        <w:t>保定市徐水区教育和体育局2022年现代职业教育质量提升计划中央资金项目</w:t>
      </w:r>
      <w:r>
        <w:rPr>
          <w:sz w:val="32"/>
          <w:szCs w:val="32"/>
        </w:rPr>
        <w:t>绩效评价总得分为95.40分，评价等级为</w:t>
      </w:r>
      <w:r>
        <w:rPr>
          <w:rFonts w:hint="eastAsia"/>
          <w:sz w:val="32"/>
          <w:szCs w:val="32"/>
        </w:rPr>
        <w:t>“优”</w:t>
      </w:r>
      <w:r>
        <w:rPr>
          <w:sz w:val="32"/>
          <w:szCs w:val="32"/>
        </w:rPr>
        <w:t>。自202</w:t>
      </w:r>
      <w:r>
        <w:rPr>
          <w:rFonts w:hint="eastAsia"/>
          <w:sz w:val="32"/>
          <w:szCs w:val="32"/>
        </w:rPr>
        <w:t>2</w:t>
      </w:r>
      <w:r>
        <w:rPr>
          <w:sz w:val="32"/>
          <w:szCs w:val="32"/>
        </w:rPr>
        <w:t>年该项目设立以来，</w:t>
      </w:r>
      <w:r>
        <w:rPr>
          <w:rFonts w:hint="eastAsia"/>
          <w:sz w:val="32"/>
          <w:szCs w:val="32"/>
        </w:rPr>
        <w:t>徐水区职业教育中心依照《关于推动现代职业教育高质量发展的意见》、</w:t>
      </w:r>
      <w:r>
        <w:rPr>
          <w:sz w:val="32"/>
          <w:szCs w:val="32"/>
        </w:rPr>
        <w:t>《河北省</w:t>
      </w:r>
      <w:r>
        <w:rPr>
          <w:rFonts w:hint="eastAsia"/>
          <w:sz w:val="32"/>
          <w:szCs w:val="32"/>
        </w:rPr>
        <w:t>“十四五”</w:t>
      </w:r>
      <w:r>
        <w:rPr>
          <w:sz w:val="32"/>
          <w:szCs w:val="32"/>
        </w:rPr>
        <w:t>职业技能培训规划》</w:t>
      </w:r>
      <w:r>
        <w:rPr>
          <w:rFonts w:hint="eastAsia"/>
          <w:sz w:val="32"/>
          <w:szCs w:val="32"/>
        </w:rPr>
        <w:t>等相关文件精神，科学规划</w:t>
      </w:r>
      <w:r>
        <w:rPr>
          <w:sz w:val="32"/>
          <w:szCs w:val="32"/>
        </w:rPr>
        <w:t>实验实训场地以及其他附属设施，</w:t>
      </w:r>
      <w:r>
        <w:rPr>
          <w:rFonts w:hint="eastAsia"/>
          <w:sz w:val="32"/>
          <w:szCs w:val="32"/>
        </w:rPr>
        <w:t>积极改善</w:t>
      </w:r>
      <w:r>
        <w:rPr>
          <w:sz w:val="32"/>
          <w:szCs w:val="32"/>
        </w:rPr>
        <w:t>配</w:t>
      </w:r>
      <w:r>
        <w:rPr>
          <w:rFonts w:hint="eastAsia"/>
          <w:sz w:val="32"/>
          <w:szCs w:val="32"/>
        </w:rPr>
        <w:t>套</w:t>
      </w:r>
      <w:r>
        <w:rPr>
          <w:sz w:val="32"/>
          <w:szCs w:val="32"/>
        </w:rPr>
        <w:t>图书和教学仪器设备等办学条件，加快补齐</w:t>
      </w:r>
      <w:r>
        <w:rPr>
          <w:rFonts w:hint="eastAsia"/>
          <w:sz w:val="32"/>
          <w:szCs w:val="32"/>
        </w:rPr>
        <w:t>办学</w:t>
      </w:r>
      <w:r>
        <w:rPr>
          <w:sz w:val="32"/>
          <w:szCs w:val="32"/>
        </w:rPr>
        <w:t>基础设施短板，基本上实现了改善办学基础设施条件、提升教育教学质量、提高学生职业技能大赛和1+X证书通过能力的项目总体绩效目标。从该项目的建设情况看，初步实现了对计算机专业、会计专业、机加工专业云机房和实体机房、虚拟仿真软件等实训设备和实训环境的建设，基本完成了升级改造图书馆配套图书和设备，以及对幼儿保育专业两个实训室进行装修改造的工作，总体上完成了项目年度绩效目标</w:t>
      </w:r>
      <w:r>
        <w:rPr>
          <w:rFonts w:hint="eastAsia"/>
          <w:sz w:val="32"/>
          <w:szCs w:val="32"/>
        </w:rPr>
        <w:t>。</w:t>
      </w:r>
    </w:p>
    <w:p>
      <w:pPr>
        <w:pStyle w:val="18"/>
        <w:spacing w:line="240" w:lineRule="auto"/>
        <w:ind w:firstLine="640"/>
        <w:rPr>
          <w:sz w:val="32"/>
          <w:szCs w:val="32"/>
        </w:rPr>
      </w:pPr>
      <w:r>
        <w:rPr>
          <w:sz w:val="32"/>
          <w:szCs w:val="32"/>
        </w:rPr>
        <w:t>但</w:t>
      </w:r>
      <w:r>
        <w:rPr>
          <w:rFonts w:hint="eastAsia"/>
          <w:sz w:val="32"/>
          <w:szCs w:val="32"/>
        </w:rPr>
        <w:t>项目</w:t>
      </w:r>
      <w:r>
        <w:rPr>
          <w:sz w:val="32"/>
          <w:szCs w:val="32"/>
        </w:rPr>
        <w:t>也存在</w:t>
      </w:r>
      <w:r>
        <w:rPr>
          <w:rFonts w:hint="eastAsia"/>
          <w:sz w:val="32"/>
          <w:szCs w:val="32"/>
        </w:rPr>
        <w:t>绩效目标</w:t>
      </w:r>
      <w:r>
        <w:rPr>
          <w:sz w:val="32"/>
          <w:szCs w:val="32"/>
        </w:rPr>
        <w:t>指标设置细化程度不够，未能全面反映项目产出</w:t>
      </w:r>
      <w:r>
        <w:rPr>
          <w:rFonts w:hint="eastAsia"/>
          <w:sz w:val="32"/>
          <w:szCs w:val="32"/>
        </w:rPr>
        <w:t>情况</w:t>
      </w:r>
      <w:r>
        <w:rPr>
          <w:sz w:val="32"/>
          <w:szCs w:val="32"/>
        </w:rPr>
        <w:t>；</w:t>
      </w:r>
      <w:r>
        <w:rPr>
          <w:rFonts w:hint="eastAsia"/>
          <w:sz w:val="32"/>
          <w:szCs w:val="32"/>
        </w:rPr>
        <w:t>个别子项目</w:t>
      </w:r>
      <w:r>
        <w:rPr>
          <w:sz w:val="32"/>
          <w:szCs w:val="32"/>
        </w:rPr>
        <w:t>验收不及时，影响财政资金使用效益的充分发挥等方面的问题，需要进一步改进完善。</w:t>
      </w:r>
    </w:p>
    <w:p>
      <w:pPr>
        <w:pStyle w:val="18"/>
        <w:spacing w:line="240" w:lineRule="auto"/>
        <w:ind w:firstLine="640"/>
        <w:rPr>
          <w:sz w:val="32"/>
          <w:szCs w:val="32"/>
        </w:rPr>
      </w:pPr>
      <w:r>
        <w:rPr>
          <w:rFonts w:hint="eastAsia"/>
          <w:sz w:val="32"/>
          <w:szCs w:val="32"/>
        </w:rPr>
        <w:t>具体得分情况见表3。</w:t>
      </w:r>
    </w:p>
    <w:p>
      <w:pPr>
        <w:pStyle w:val="18"/>
        <w:spacing w:line="240" w:lineRule="auto"/>
        <w:ind w:firstLine="0" w:firstLineChars="0"/>
        <w:jc w:val="center"/>
        <w:rPr>
          <w:b/>
          <w:bCs/>
        </w:rPr>
      </w:pPr>
      <w:r>
        <w:rPr>
          <w:rFonts w:hint="eastAsia"/>
          <w:b/>
          <w:bCs/>
        </w:rPr>
        <w:t>表3 现代职业教育质量提升计划中央资金项目得分汇总表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824"/>
        <w:gridCol w:w="1992"/>
        <w:gridCol w:w="1178"/>
        <w:gridCol w:w="1392"/>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1" w:type="pct"/>
            <w:shd w:val="clear" w:color="auto" w:fill="E7E6E6" w:themeFill="background2"/>
            <w:noWrap/>
            <w:vAlign w:val="center"/>
          </w:tcPr>
          <w:p>
            <w:pPr>
              <w:widowControl/>
              <w:jc w:val="center"/>
              <w:rPr>
                <w:b/>
                <w:bCs/>
                <w:sz w:val="28"/>
                <w:szCs w:val="28"/>
              </w:rPr>
            </w:pPr>
            <w:r>
              <w:rPr>
                <w:rFonts w:hint="eastAsia"/>
                <w:b/>
                <w:bCs/>
                <w:sz w:val="28"/>
                <w:szCs w:val="28"/>
              </w:rPr>
              <w:t>一级指标</w:t>
            </w:r>
          </w:p>
        </w:tc>
        <w:tc>
          <w:tcPr>
            <w:tcW w:w="483" w:type="pct"/>
            <w:shd w:val="clear" w:color="auto" w:fill="E7E6E6" w:themeFill="background2"/>
            <w:noWrap/>
            <w:vAlign w:val="center"/>
          </w:tcPr>
          <w:p>
            <w:pPr>
              <w:widowControl/>
              <w:jc w:val="center"/>
              <w:rPr>
                <w:b/>
                <w:bCs/>
                <w:sz w:val="28"/>
                <w:szCs w:val="28"/>
              </w:rPr>
            </w:pPr>
            <w:r>
              <w:rPr>
                <w:rFonts w:hint="eastAsia"/>
                <w:b/>
                <w:bCs/>
                <w:sz w:val="28"/>
                <w:szCs w:val="28"/>
              </w:rPr>
              <w:t>权重</w:t>
            </w:r>
          </w:p>
        </w:tc>
        <w:tc>
          <w:tcPr>
            <w:tcW w:w="1168" w:type="pct"/>
            <w:shd w:val="clear" w:color="auto" w:fill="E7E6E6" w:themeFill="background2"/>
            <w:vAlign w:val="center"/>
          </w:tcPr>
          <w:p>
            <w:pPr>
              <w:widowControl/>
              <w:jc w:val="center"/>
              <w:rPr>
                <w:b/>
                <w:bCs/>
                <w:sz w:val="28"/>
                <w:szCs w:val="28"/>
              </w:rPr>
            </w:pPr>
            <w:r>
              <w:rPr>
                <w:rFonts w:hint="eastAsia"/>
                <w:b/>
                <w:bCs/>
                <w:sz w:val="28"/>
                <w:szCs w:val="28"/>
              </w:rPr>
              <w:t>二级指标</w:t>
            </w:r>
          </w:p>
        </w:tc>
        <w:tc>
          <w:tcPr>
            <w:tcW w:w="691" w:type="pct"/>
            <w:shd w:val="clear" w:color="auto" w:fill="E7E6E6" w:themeFill="background2"/>
            <w:vAlign w:val="center"/>
          </w:tcPr>
          <w:p>
            <w:pPr>
              <w:widowControl/>
              <w:jc w:val="center"/>
              <w:rPr>
                <w:b/>
                <w:bCs/>
                <w:sz w:val="28"/>
                <w:szCs w:val="28"/>
              </w:rPr>
            </w:pPr>
            <w:r>
              <w:rPr>
                <w:rFonts w:hint="eastAsia"/>
                <w:b/>
                <w:bCs/>
                <w:sz w:val="28"/>
                <w:szCs w:val="28"/>
              </w:rPr>
              <w:t>权重</w:t>
            </w:r>
          </w:p>
        </w:tc>
        <w:tc>
          <w:tcPr>
            <w:tcW w:w="816" w:type="pct"/>
            <w:shd w:val="clear" w:color="auto" w:fill="E7E6E6" w:themeFill="background2"/>
            <w:noWrap/>
            <w:vAlign w:val="center"/>
          </w:tcPr>
          <w:p>
            <w:pPr>
              <w:widowControl/>
              <w:jc w:val="center"/>
              <w:rPr>
                <w:b/>
                <w:bCs/>
                <w:sz w:val="28"/>
                <w:szCs w:val="28"/>
              </w:rPr>
            </w:pPr>
            <w:r>
              <w:rPr>
                <w:rFonts w:hint="eastAsia"/>
                <w:b/>
                <w:bCs/>
                <w:sz w:val="28"/>
                <w:szCs w:val="28"/>
              </w:rPr>
              <w:t>得分</w:t>
            </w:r>
          </w:p>
        </w:tc>
        <w:tc>
          <w:tcPr>
            <w:tcW w:w="928" w:type="pct"/>
            <w:shd w:val="clear" w:color="auto" w:fill="E7E6E6" w:themeFill="background2"/>
            <w:noWrap/>
            <w:vAlign w:val="center"/>
          </w:tcPr>
          <w:p>
            <w:pPr>
              <w:widowControl/>
              <w:jc w:val="center"/>
              <w:rPr>
                <w:b/>
                <w:bCs/>
                <w:sz w:val="28"/>
                <w:szCs w:val="28"/>
              </w:rPr>
            </w:pPr>
            <w:r>
              <w:rPr>
                <w:rFonts w:hint="eastAsia"/>
                <w:b/>
                <w:bCs/>
                <w:sz w:val="28"/>
                <w:szCs w:val="28"/>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vMerge w:val="restart"/>
            <w:shd w:val="clear" w:color="auto" w:fill="auto"/>
            <w:noWrap/>
            <w:vAlign w:val="center"/>
          </w:tcPr>
          <w:p>
            <w:pPr>
              <w:widowControl/>
              <w:jc w:val="center"/>
              <w:rPr>
                <w:sz w:val="24"/>
              </w:rPr>
            </w:pPr>
            <w:r>
              <w:rPr>
                <w:rFonts w:hint="eastAsia"/>
                <w:sz w:val="24"/>
              </w:rPr>
              <w:t>项目决策</w:t>
            </w:r>
          </w:p>
        </w:tc>
        <w:tc>
          <w:tcPr>
            <w:tcW w:w="483" w:type="pct"/>
            <w:vMerge w:val="restart"/>
            <w:shd w:val="clear" w:color="auto" w:fill="auto"/>
            <w:noWrap/>
            <w:vAlign w:val="center"/>
          </w:tcPr>
          <w:p>
            <w:pPr>
              <w:jc w:val="center"/>
              <w:rPr>
                <w:sz w:val="30"/>
                <w:szCs w:val="30"/>
              </w:rPr>
            </w:pPr>
            <w:r>
              <w:rPr>
                <w:rFonts w:hint="eastAsia"/>
                <w:sz w:val="30"/>
                <w:szCs w:val="30"/>
              </w:rPr>
              <w:t>19</w:t>
            </w:r>
          </w:p>
        </w:tc>
        <w:tc>
          <w:tcPr>
            <w:tcW w:w="1168" w:type="pct"/>
            <w:shd w:val="clear" w:color="auto" w:fill="auto"/>
            <w:vAlign w:val="center"/>
          </w:tcPr>
          <w:p>
            <w:pPr>
              <w:widowControl/>
              <w:jc w:val="center"/>
              <w:rPr>
                <w:sz w:val="24"/>
              </w:rPr>
            </w:pPr>
            <w:r>
              <w:rPr>
                <w:rFonts w:hint="eastAsia"/>
                <w:sz w:val="24"/>
              </w:rPr>
              <w:t>项目立项</w:t>
            </w:r>
          </w:p>
        </w:tc>
        <w:tc>
          <w:tcPr>
            <w:tcW w:w="691" w:type="pct"/>
            <w:shd w:val="clear" w:color="auto" w:fill="auto"/>
            <w:vAlign w:val="center"/>
          </w:tcPr>
          <w:p>
            <w:pPr>
              <w:jc w:val="center"/>
              <w:rPr>
                <w:sz w:val="30"/>
                <w:szCs w:val="30"/>
              </w:rPr>
            </w:pPr>
            <w:r>
              <w:rPr>
                <w:rFonts w:hint="eastAsia"/>
                <w:sz w:val="30"/>
                <w:szCs w:val="30"/>
              </w:rPr>
              <w:t>5</w:t>
            </w:r>
          </w:p>
        </w:tc>
        <w:tc>
          <w:tcPr>
            <w:tcW w:w="816" w:type="pct"/>
            <w:shd w:val="clear" w:color="auto" w:fill="auto"/>
            <w:noWrap/>
            <w:vAlign w:val="center"/>
          </w:tcPr>
          <w:p>
            <w:pPr>
              <w:jc w:val="center"/>
              <w:rPr>
                <w:sz w:val="30"/>
                <w:szCs w:val="30"/>
              </w:rPr>
            </w:pPr>
            <w:r>
              <w:rPr>
                <w:rFonts w:hint="eastAsia"/>
                <w:sz w:val="30"/>
                <w:szCs w:val="30"/>
              </w:rPr>
              <w:t>5.00</w:t>
            </w:r>
          </w:p>
        </w:tc>
        <w:tc>
          <w:tcPr>
            <w:tcW w:w="928" w:type="pct"/>
            <w:shd w:val="clear" w:color="auto" w:fill="auto"/>
            <w:noWrap/>
            <w:vAlign w:val="center"/>
          </w:tcPr>
          <w:p>
            <w:pPr>
              <w:jc w:val="center"/>
              <w:rPr>
                <w:sz w:val="30"/>
                <w:szCs w:val="30"/>
              </w:rPr>
            </w:pPr>
            <w:r>
              <w:rPr>
                <w:rFonts w:hint="eastAsia"/>
                <w:sz w:val="30"/>
                <w:szCs w:val="3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vMerge w:val="continue"/>
            <w:shd w:val="clear" w:color="auto" w:fill="auto"/>
            <w:vAlign w:val="center"/>
          </w:tcPr>
          <w:p>
            <w:pPr>
              <w:widowControl/>
              <w:jc w:val="left"/>
              <w:rPr>
                <w:sz w:val="24"/>
              </w:rPr>
            </w:pPr>
          </w:p>
        </w:tc>
        <w:tc>
          <w:tcPr>
            <w:tcW w:w="483" w:type="pct"/>
            <w:vMerge w:val="continue"/>
            <w:shd w:val="clear" w:color="auto" w:fill="auto"/>
            <w:vAlign w:val="center"/>
          </w:tcPr>
          <w:p>
            <w:pPr>
              <w:jc w:val="center"/>
              <w:rPr>
                <w:sz w:val="30"/>
                <w:szCs w:val="30"/>
              </w:rPr>
            </w:pPr>
          </w:p>
        </w:tc>
        <w:tc>
          <w:tcPr>
            <w:tcW w:w="1168" w:type="pct"/>
            <w:shd w:val="clear" w:color="auto" w:fill="auto"/>
            <w:vAlign w:val="center"/>
          </w:tcPr>
          <w:p>
            <w:pPr>
              <w:widowControl/>
              <w:jc w:val="center"/>
              <w:rPr>
                <w:sz w:val="24"/>
              </w:rPr>
            </w:pPr>
            <w:r>
              <w:rPr>
                <w:rFonts w:hint="eastAsia"/>
                <w:sz w:val="24"/>
              </w:rPr>
              <w:t>绩效目标</w:t>
            </w:r>
          </w:p>
        </w:tc>
        <w:tc>
          <w:tcPr>
            <w:tcW w:w="691" w:type="pct"/>
            <w:shd w:val="clear" w:color="auto" w:fill="auto"/>
            <w:vAlign w:val="center"/>
          </w:tcPr>
          <w:p>
            <w:pPr>
              <w:jc w:val="center"/>
              <w:rPr>
                <w:sz w:val="30"/>
                <w:szCs w:val="30"/>
              </w:rPr>
            </w:pPr>
            <w:r>
              <w:rPr>
                <w:rFonts w:hint="eastAsia"/>
                <w:sz w:val="30"/>
                <w:szCs w:val="30"/>
              </w:rPr>
              <w:t>6</w:t>
            </w:r>
          </w:p>
        </w:tc>
        <w:tc>
          <w:tcPr>
            <w:tcW w:w="816" w:type="pct"/>
            <w:shd w:val="clear" w:color="auto" w:fill="auto"/>
            <w:noWrap/>
            <w:vAlign w:val="center"/>
          </w:tcPr>
          <w:p>
            <w:pPr>
              <w:jc w:val="center"/>
              <w:rPr>
                <w:sz w:val="30"/>
                <w:szCs w:val="30"/>
              </w:rPr>
            </w:pPr>
            <w:r>
              <w:rPr>
                <w:rFonts w:hint="eastAsia"/>
                <w:sz w:val="30"/>
                <w:szCs w:val="30"/>
              </w:rPr>
              <w:t>3.90</w:t>
            </w:r>
          </w:p>
        </w:tc>
        <w:tc>
          <w:tcPr>
            <w:tcW w:w="928" w:type="pct"/>
            <w:shd w:val="clear" w:color="auto" w:fill="auto"/>
            <w:noWrap/>
            <w:vAlign w:val="center"/>
          </w:tcPr>
          <w:p>
            <w:pPr>
              <w:jc w:val="center"/>
              <w:rPr>
                <w:sz w:val="30"/>
                <w:szCs w:val="30"/>
              </w:rPr>
            </w:pPr>
            <w:r>
              <w:rPr>
                <w:rFonts w:hint="eastAsia"/>
                <w:sz w:val="30"/>
                <w:szCs w:val="30"/>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vMerge w:val="continue"/>
            <w:shd w:val="clear" w:color="auto" w:fill="auto"/>
            <w:vAlign w:val="center"/>
          </w:tcPr>
          <w:p>
            <w:pPr>
              <w:widowControl/>
              <w:jc w:val="left"/>
              <w:rPr>
                <w:sz w:val="24"/>
              </w:rPr>
            </w:pPr>
          </w:p>
        </w:tc>
        <w:tc>
          <w:tcPr>
            <w:tcW w:w="483" w:type="pct"/>
            <w:vMerge w:val="continue"/>
            <w:shd w:val="clear" w:color="auto" w:fill="auto"/>
            <w:vAlign w:val="center"/>
          </w:tcPr>
          <w:p>
            <w:pPr>
              <w:jc w:val="center"/>
              <w:rPr>
                <w:sz w:val="30"/>
                <w:szCs w:val="30"/>
              </w:rPr>
            </w:pPr>
          </w:p>
        </w:tc>
        <w:tc>
          <w:tcPr>
            <w:tcW w:w="1168" w:type="pct"/>
            <w:shd w:val="clear" w:color="auto" w:fill="auto"/>
            <w:vAlign w:val="center"/>
          </w:tcPr>
          <w:p>
            <w:pPr>
              <w:widowControl/>
              <w:jc w:val="center"/>
              <w:rPr>
                <w:sz w:val="24"/>
              </w:rPr>
            </w:pPr>
            <w:r>
              <w:rPr>
                <w:rFonts w:hint="eastAsia"/>
                <w:sz w:val="24"/>
              </w:rPr>
              <w:t>资金投入</w:t>
            </w:r>
          </w:p>
        </w:tc>
        <w:tc>
          <w:tcPr>
            <w:tcW w:w="691" w:type="pct"/>
            <w:shd w:val="clear" w:color="auto" w:fill="auto"/>
            <w:vAlign w:val="center"/>
          </w:tcPr>
          <w:p>
            <w:pPr>
              <w:jc w:val="center"/>
              <w:rPr>
                <w:sz w:val="30"/>
                <w:szCs w:val="30"/>
              </w:rPr>
            </w:pPr>
            <w:r>
              <w:rPr>
                <w:rFonts w:hint="eastAsia"/>
                <w:sz w:val="30"/>
                <w:szCs w:val="30"/>
              </w:rPr>
              <w:t>8</w:t>
            </w:r>
          </w:p>
        </w:tc>
        <w:tc>
          <w:tcPr>
            <w:tcW w:w="816" w:type="pct"/>
            <w:shd w:val="clear" w:color="auto" w:fill="auto"/>
            <w:noWrap/>
            <w:vAlign w:val="center"/>
          </w:tcPr>
          <w:p>
            <w:pPr>
              <w:jc w:val="center"/>
              <w:rPr>
                <w:sz w:val="30"/>
                <w:szCs w:val="30"/>
              </w:rPr>
            </w:pPr>
            <w:r>
              <w:rPr>
                <w:sz w:val="30"/>
                <w:szCs w:val="30"/>
              </w:rPr>
              <w:t>8</w:t>
            </w:r>
            <w:r>
              <w:rPr>
                <w:rFonts w:hint="eastAsia"/>
                <w:sz w:val="30"/>
                <w:szCs w:val="30"/>
              </w:rPr>
              <w:t>.00</w:t>
            </w:r>
          </w:p>
        </w:tc>
        <w:tc>
          <w:tcPr>
            <w:tcW w:w="928" w:type="pct"/>
            <w:shd w:val="clear" w:color="auto" w:fill="auto"/>
            <w:noWrap/>
            <w:vAlign w:val="center"/>
          </w:tcPr>
          <w:p>
            <w:pPr>
              <w:jc w:val="center"/>
              <w:rPr>
                <w:sz w:val="30"/>
                <w:szCs w:val="30"/>
              </w:rPr>
            </w:pPr>
            <w:r>
              <w:rPr>
                <w:sz w:val="30"/>
                <w:szCs w:val="30"/>
              </w:rPr>
              <w:t>100.00</w:t>
            </w:r>
            <w:r>
              <w:rPr>
                <w:rFonts w:hint="eastAsia"/>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vMerge w:val="restart"/>
            <w:shd w:val="clear" w:color="auto" w:fill="auto"/>
            <w:noWrap/>
            <w:vAlign w:val="center"/>
          </w:tcPr>
          <w:p>
            <w:pPr>
              <w:widowControl/>
              <w:jc w:val="center"/>
              <w:rPr>
                <w:sz w:val="24"/>
              </w:rPr>
            </w:pPr>
            <w:r>
              <w:rPr>
                <w:rFonts w:hint="eastAsia"/>
                <w:sz w:val="24"/>
              </w:rPr>
              <w:t>项目过程</w:t>
            </w:r>
          </w:p>
        </w:tc>
        <w:tc>
          <w:tcPr>
            <w:tcW w:w="483" w:type="pct"/>
            <w:vMerge w:val="restart"/>
            <w:shd w:val="clear" w:color="auto" w:fill="auto"/>
            <w:noWrap/>
            <w:vAlign w:val="center"/>
          </w:tcPr>
          <w:p>
            <w:pPr>
              <w:jc w:val="center"/>
              <w:rPr>
                <w:sz w:val="30"/>
                <w:szCs w:val="30"/>
              </w:rPr>
            </w:pPr>
            <w:r>
              <w:rPr>
                <w:rFonts w:hint="eastAsia"/>
                <w:sz w:val="30"/>
                <w:szCs w:val="30"/>
              </w:rPr>
              <w:t>11</w:t>
            </w:r>
          </w:p>
        </w:tc>
        <w:tc>
          <w:tcPr>
            <w:tcW w:w="1168" w:type="pct"/>
            <w:shd w:val="clear" w:color="auto" w:fill="auto"/>
            <w:vAlign w:val="center"/>
          </w:tcPr>
          <w:p>
            <w:pPr>
              <w:widowControl/>
              <w:jc w:val="center"/>
              <w:rPr>
                <w:sz w:val="24"/>
              </w:rPr>
            </w:pPr>
            <w:r>
              <w:rPr>
                <w:rFonts w:hint="eastAsia"/>
                <w:sz w:val="24"/>
              </w:rPr>
              <w:t>资金管理</w:t>
            </w:r>
          </w:p>
        </w:tc>
        <w:tc>
          <w:tcPr>
            <w:tcW w:w="691" w:type="pct"/>
            <w:shd w:val="clear" w:color="auto" w:fill="auto"/>
            <w:vAlign w:val="center"/>
          </w:tcPr>
          <w:p>
            <w:pPr>
              <w:jc w:val="center"/>
              <w:rPr>
                <w:sz w:val="30"/>
                <w:szCs w:val="30"/>
              </w:rPr>
            </w:pPr>
            <w:r>
              <w:rPr>
                <w:rFonts w:hint="eastAsia"/>
                <w:sz w:val="30"/>
                <w:szCs w:val="30"/>
              </w:rPr>
              <w:t>6</w:t>
            </w:r>
          </w:p>
        </w:tc>
        <w:tc>
          <w:tcPr>
            <w:tcW w:w="816" w:type="pct"/>
            <w:shd w:val="clear" w:color="auto" w:fill="auto"/>
            <w:noWrap/>
            <w:vAlign w:val="center"/>
          </w:tcPr>
          <w:p>
            <w:pPr>
              <w:jc w:val="center"/>
              <w:rPr>
                <w:sz w:val="30"/>
                <w:szCs w:val="30"/>
              </w:rPr>
            </w:pPr>
            <w:r>
              <w:rPr>
                <w:rFonts w:hint="eastAsia"/>
                <w:sz w:val="30"/>
                <w:szCs w:val="30"/>
              </w:rPr>
              <w:t>6.00</w:t>
            </w:r>
          </w:p>
        </w:tc>
        <w:tc>
          <w:tcPr>
            <w:tcW w:w="928" w:type="pct"/>
            <w:shd w:val="clear" w:color="auto" w:fill="auto"/>
            <w:noWrap/>
            <w:vAlign w:val="center"/>
          </w:tcPr>
          <w:p>
            <w:pPr>
              <w:jc w:val="center"/>
              <w:rPr>
                <w:sz w:val="30"/>
                <w:szCs w:val="30"/>
              </w:rPr>
            </w:pPr>
            <w:r>
              <w:rPr>
                <w:rFonts w:hint="eastAsia"/>
                <w:sz w:val="30"/>
                <w:szCs w:val="3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vMerge w:val="continue"/>
            <w:shd w:val="clear" w:color="auto" w:fill="auto"/>
            <w:vAlign w:val="center"/>
          </w:tcPr>
          <w:p>
            <w:pPr>
              <w:widowControl/>
              <w:jc w:val="left"/>
              <w:rPr>
                <w:sz w:val="24"/>
              </w:rPr>
            </w:pPr>
          </w:p>
        </w:tc>
        <w:tc>
          <w:tcPr>
            <w:tcW w:w="483" w:type="pct"/>
            <w:vMerge w:val="continue"/>
            <w:shd w:val="clear" w:color="auto" w:fill="auto"/>
            <w:vAlign w:val="center"/>
          </w:tcPr>
          <w:p>
            <w:pPr>
              <w:jc w:val="center"/>
              <w:rPr>
                <w:sz w:val="30"/>
                <w:szCs w:val="30"/>
              </w:rPr>
            </w:pPr>
          </w:p>
        </w:tc>
        <w:tc>
          <w:tcPr>
            <w:tcW w:w="1168" w:type="pct"/>
            <w:shd w:val="clear" w:color="auto" w:fill="auto"/>
            <w:vAlign w:val="center"/>
          </w:tcPr>
          <w:p>
            <w:pPr>
              <w:widowControl/>
              <w:jc w:val="center"/>
              <w:rPr>
                <w:sz w:val="24"/>
              </w:rPr>
            </w:pPr>
            <w:r>
              <w:rPr>
                <w:rFonts w:hint="eastAsia"/>
                <w:sz w:val="24"/>
              </w:rPr>
              <w:t>组织实施</w:t>
            </w:r>
          </w:p>
        </w:tc>
        <w:tc>
          <w:tcPr>
            <w:tcW w:w="691" w:type="pct"/>
            <w:shd w:val="clear" w:color="auto" w:fill="auto"/>
            <w:vAlign w:val="center"/>
          </w:tcPr>
          <w:p>
            <w:pPr>
              <w:jc w:val="center"/>
              <w:rPr>
                <w:sz w:val="30"/>
                <w:szCs w:val="30"/>
              </w:rPr>
            </w:pPr>
            <w:r>
              <w:rPr>
                <w:rFonts w:hint="eastAsia"/>
                <w:sz w:val="30"/>
                <w:szCs w:val="30"/>
              </w:rPr>
              <w:t>5</w:t>
            </w:r>
          </w:p>
        </w:tc>
        <w:tc>
          <w:tcPr>
            <w:tcW w:w="816" w:type="pct"/>
            <w:shd w:val="clear" w:color="auto" w:fill="auto"/>
            <w:noWrap/>
          </w:tcPr>
          <w:p>
            <w:pPr>
              <w:jc w:val="center"/>
              <w:rPr>
                <w:sz w:val="30"/>
                <w:szCs w:val="30"/>
              </w:rPr>
            </w:pPr>
            <w:r>
              <w:rPr>
                <w:rFonts w:hint="eastAsia"/>
                <w:sz w:val="30"/>
                <w:szCs w:val="30"/>
              </w:rPr>
              <w:t>5</w:t>
            </w:r>
            <w:r>
              <w:rPr>
                <w:sz w:val="30"/>
                <w:szCs w:val="30"/>
              </w:rPr>
              <w:t>.</w:t>
            </w:r>
            <w:r>
              <w:rPr>
                <w:rFonts w:hint="eastAsia"/>
                <w:sz w:val="30"/>
                <w:szCs w:val="30"/>
              </w:rPr>
              <w:t>0</w:t>
            </w:r>
            <w:r>
              <w:rPr>
                <w:sz w:val="30"/>
                <w:szCs w:val="30"/>
              </w:rPr>
              <w:t>0</w:t>
            </w:r>
          </w:p>
        </w:tc>
        <w:tc>
          <w:tcPr>
            <w:tcW w:w="928" w:type="pct"/>
            <w:shd w:val="clear" w:color="auto" w:fill="auto"/>
            <w:noWrap/>
          </w:tcPr>
          <w:p>
            <w:pPr>
              <w:jc w:val="center"/>
              <w:rPr>
                <w:sz w:val="30"/>
                <w:szCs w:val="30"/>
              </w:rPr>
            </w:pPr>
            <w:r>
              <w:rPr>
                <w:rFonts w:hint="eastAsia"/>
                <w:sz w:val="30"/>
                <w:szCs w:val="3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vMerge w:val="restart"/>
            <w:shd w:val="clear" w:color="auto" w:fill="auto"/>
            <w:noWrap/>
            <w:vAlign w:val="center"/>
          </w:tcPr>
          <w:p>
            <w:pPr>
              <w:widowControl/>
              <w:jc w:val="center"/>
              <w:rPr>
                <w:sz w:val="24"/>
              </w:rPr>
            </w:pPr>
            <w:r>
              <w:rPr>
                <w:rFonts w:hint="eastAsia"/>
                <w:sz w:val="24"/>
              </w:rPr>
              <w:t>项目产出</w:t>
            </w:r>
          </w:p>
        </w:tc>
        <w:tc>
          <w:tcPr>
            <w:tcW w:w="483" w:type="pct"/>
            <w:vMerge w:val="restart"/>
            <w:shd w:val="clear" w:color="auto" w:fill="auto"/>
            <w:noWrap/>
            <w:vAlign w:val="center"/>
          </w:tcPr>
          <w:p>
            <w:pPr>
              <w:jc w:val="center"/>
              <w:rPr>
                <w:sz w:val="30"/>
                <w:szCs w:val="30"/>
              </w:rPr>
            </w:pPr>
            <w:r>
              <w:rPr>
                <w:rFonts w:hint="eastAsia"/>
                <w:sz w:val="30"/>
                <w:szCs w:val="30"/>
              </w:rPr>
              <w:t>44</w:t>
            </w:r>
          </w:p>
        </w:tc>
        <w:tc>
          <w:tcPr>
            <w:tcW w:w="1168" w:type="pct"/>
            <w:shd w:val="clear" w:color="auto" w:fill="auto"/>
            <w:vAlign w:val="center"/>
          </w:tcPr>
          <w:p>
            <w:pPr>
              <w:widowControl/>
              <w:jc w:val="center"/>
              <w:rPr>
                <w:sz w:val="24"/>
              </w:rPr>
            </w:pPr>
            <w:r>
              <w:rPr>
                <w:rFonts w:hint="eastAsia"/>
                <w:sz w:val="24"/>
              </w:rPr>
              <w:t>产出数量</w:t>
            </w:r>
          </w:p>
        </w:tc>
        <w:tc>
          <w:tcPr>
            <w:tcW w:w="691" w:type="pct"/>
            <w:shd w:val="clear" w:color="auto" w:fill="auto"/>
            <w:vAlign w:val="center"/>
          </w:tcPr>
          <w:p>
            <w:pPr>
              <w:jc w:val="center"/>
              <w:rPr>
                <w:sz w:val="30"/>
                <w:szCs w:val="30"/>
              </w:rPr>
            </w:pPr>
            <w:r>
              <w:rPr>
                <w:rFonts w:hint="eastAsia"/>
                <w:sz w:val="30"/>
                <w:szCs w:val="30"/>
              </w:rPr>
              <w:t>18</w:t>
            </w:r>
          </w:p>
        </w:tc>
        <w:tc>
          <w:tcPr>
            <w:tcW w:w="816" w:type="pct"/>
            <w:shd w:val="clear" w:color="auto" w:fill="auto"/>
            <w:noWrap/>
            <w:vAlign w:val="center"/>
          </w:tcPr>
          <w:p>
            <w:pPr>
              <w:jc w:val="center"/>
              <w:rPr>
                <w:sz w:val="30"/>
                <w:szCs w:val="30"/>
              </w:rPr>
            </w:pPr>
            <w:r>
              <w:rPr>
                <w:rFonts w:hint="eastAsia"/>
                <w:sz w:val="30"/>
                <w:szCs w:val="30"/>
              </w:rPr>
              <w:t>1</w:t>
            </w:r>
            <w:r>
              <w:rPr>
                <w:sz w:val="30"/>
                <w:szCs w:val="30"/>
              </w:rPr>
              <w:t>7.4</w:t>
            </w:r>
            <w:r>
              <w:rPr>
                <w:rFonts w:hint="eastAsia"/>
                <w:sz w:val="30"/>
                <w:szCs w:val="30"/>
              </w:rPr>
              <w:t>0</w:t>
            </w:r>
          </w:p>
        </w:tc>
        <w:tc>
          <w:tcPr>
            <w:tcW w:w="928" w:type="pct"/>
            <w:shd w:val="clear" w:color="auto" w:fill="auto"/>
            <w:noWrap/>
            <w:vAlign w:val="center"/>
          </w:tcPr>
          <w:p>
            <w:pPr>
              <w:jc w:val="center"/>
              <w:rPr>
                <w:sz w:val="30"/>
                <w:szCs w:val="30"/>
              </w:rPr>
            </w:pPr>
            <w:r>
              <w:rPr>
                <w:sz w:val="30"/>
                <w:szCs w:val="30"/>
              </w:rPr>
              <w:t>96.67</w:t>
            </w:r>
            <w:r>
              <w:rPr>
                <w:rFonts w:hint="eastAsia"/>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vMerge w:val="continue"/>
            <w:shd w:val="clear" w:color="auto" w:fill="auto"/>
            <w:vAlign w:val="center"/>
          </w:tcPr>
          <w:p>
            <w:pPr>
              <w:widowControl/>
              <w:jc w:val="left"/>
              <w:rPr>
                <w:sz w:val="24"/>
              </w:rPr>
            </w:pPr>
          </w:p>
        </w:tc>
        <w:tc>
          <w:tcPr>
            <w:tcW w:w="483" w:type="pct"/>
            <w:vMerge w:val="continue"/>
            <w:shd w:val="clear" w:color="auto" w:fill="auto"/>
            <w:vAlign w:val="center"/>
          </w:tcPr>
          <w:p>
            <w:pPr>
              <w:jc w:val="center"/>
              <w:rPr>
                <w:sz w:val="30"/>
                <w:szCs w:val="30"/>
              </w:rPr>
            </w:pPr>
          </w:p>
        </w:tc>
        <w:tc>
          <w:tcPr>
            <w:tcW w:w="1168" w:type="pct"/>
            <w:shd w:val="clear" w:color="auto" w:fill="auto"/>
            <w:vAlign w:val="center"/>
          </w:tcPr>
          <w:p>
            <w:pPr>
              <w:widowControl/>
              <w:jc w:val="center"/>
              <w:rPr>
                <w:sz w:val="24"/>
              </w:rPr>
            </w:pPr>
            <w:r>
              <w:rPr>
                <w:rFonts w:hint="eastAsia"/>
                <w:sz w:val="24"/>
              </w:rPr>
              <w:t>产出质量</w:t>
            </w:r>
          </w:p>
        </w:tc>
        <w:tc>
          <w:tcPr>
            <w:tcW w:w="691" w:type="pct"/>
            <w:shd w:val="clear" w:color="auto" w:fill="auto"/>
            <w:vAlign w:val="center"/>
          </w:tcPr>
          <w:p>
            <w:pPr>
              <w:jc w:val="center"/>
              <w:rPr>
                <w:sz w:val="30"/>
                <w:szCs w:val="30"/>
              </w:rPr>
            </w:pPr>
            <w:r>
              <w:rPr>
                <w:rFonts w:hint="eastAsia"/>
                <w:sz w:val="30"/>
                <w:szCs w:val="30"/>
              </w:rPr>
              <w:t>6</w:t>
            </w:r>
          </w:p>
        </w:tc>
        <w:tc>
          <w:tcPr>
            <w:tcW w:w="816" w:type="pct"/>
            <w:shd w:val="clear" w:color="auto" w:fill="auto"/>
            <w:noWrap/>
            <w:vAlign w:val="center"/>
          </w:tcPr>
          <w:p>
            <w:pPr>
              <w:jc w:val="center"/>
              <w:rPr>
                <w:sz w:val="30"/>
                <w:szCs w:val="30"/>
              </w:rPr>
            </w:pPr>
            <w:r>
              <w:rPr>
                <w:rFonts w:hint="eastAsia"/>
                <w:sz w:val="30"/>
                <w:szCs w:val="30"/>
              </w:rPr>
              <w:t>6.00</w:t>
            </w:r>
          </w:p>
        </w:tc>
        <w:tc>
          <w:tcPr>
            <w:tcW w:w="928" w:type="pct"/>
            <w:shd w:val="clear" w:color="auto" w:fill="auto"/>
            <w:noWrap/>
            <w:vAlign w:val="center"/>
          </w:tcPr>
          <w:p>
            <w:pPr>
              <w:jc w:val="center"/>
              <w:rPr>
                <w:sz w:val="30"/>
                <w:szCs w:val="30"/>
              </w:rPr>
            </w:pPr>
            <w:r>
              <w:rPr>
                <w:rFonts w:hint="eastAsia"/>
                <w:sz w:val="30"/>
                <w:szCs w:val="3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vMerge w:val="continue"/>
            <w:shd w:val="clear" w:color="auto" w:fill="auto"/>
            <w:vAlign w:val="center"/>
          </w:tcPr>
          <w:p>
            <w:pPr>
              <w:widowControl/>
              <w:jc w:val="left"/>
              <w:rPr>
                <w:sz w:val="24"/>
              </w:rPr>
            </w:pPr>
          </w:p>
        </w:tc>
        <w:tc>
          <w:tcPr>
            <w:tcW w:w="483" w:type="pct"/>
            <w:vMerge w:val="continue"/>
            <w:shd w:val="clear" w:color="auto" w:fill="auto"/>
            <w:vAlign w:val="center"/>
          </w:tcPr>
          <w:p>
            <w:pPr>
              <w:jc w:val="center"/>
              <w:rPr>
                <w:sz w:val="30"/>
                <w:szCs w:val="30"/>
              </w:rPr>
            </w:pPr>
          </w:p>
        </w:tc>
        <w:tc>
          <w:tcPr>
            <w:tcW w:w="1168" w:type="pct"/>
            <w:shd w:val="clear" w:color="auto" w:fill="auto"/>
            <w:vAlign w:val="center"/>
          </w:tcPr>
          <w:p>
            <w:pPr>
              <w:widowControl/>
              <w:jc w:val="center"/>
              <w:rPr>
                <w:sz w:val="24"/>
              </w:rPr>
            </w:pPr>
            <w:r>
              <w:rPr>
                <w:rFonts w:hint="eastAsia"/>
                <w:sz w:val="24"/>
              </w:rPr>
              <w:t>产出时效</w:t>
            </w:r>
          </w:p>
        </w:tc>
        <w:tc>
          <w:tcPr>
            <w:tcW w:w="691" w:type="pct"/>
            <w:shd w:val="clear" w:color="auto" w:fill="auto"/>
            <w:vAlign w:val="center"/>
          </w:tcPr>
          <w:p>
            <w:pPr>
              <w:jc w:val="center"/>
              <w:rPr>
                <w:sz w:val="30"/>
                <w:szCs w:val="30"/>
              </w:rPr>
            </w:pPr>
            <w:r>
              <w:rPr>
                <w:rFonts w:hint="eastAsia"/>
                <w:sz w:val="30"/>
                <w:szCs w:val="30"/>
              </w:rPr>
              <w:t>8</w:t>
            </w:r>
          </w:p>
        </w:tc>
        <w:tc>
          <w:tcPr>
            <w:tcW w:w="816" w:type="pct"/>
            <w:shd w:val="clear" w:color="auto" w:fill="auto"/>
            <w:noWrap/>
            <w:vAlign w:val="center"/>
          </w:tcPr>
          <w:p>
            <w:pPr>
              <w:jc w:val="center"/>
              <w:rPr>
                <w:sz w:val="30"/>
                <w:szCs w:val="30"/>
              </w:rPr>
            </w:pPr>
            <w:r>
              <w:rPr>
                <w:rFonts w:hint="eastAsia"/>
                <w:sz w:val="30"/>
                <w:szCs w:val="30"/>
              </w:rPr>
              <w:t>6.40</w:t>
            </w:r>
          </w:p>
        </w:tc>
        <w:tc>
          <w:tcPr>
            <w:tcW w:w="928" w:type="pct"/>
            <w:shd w:val="clear" w:color="auto" w:fill="auto"/>
            <w:noWrap/>
            <w:vAlign w:val="center"/>
          </w:tcPr>
          <w:p>
            <w:pPr>
              <w:jc w:val="center"/>
              <w:rPr>
                <w:sz w:val="30"/>
                <w:szCs w:val="30"/>
              </w:rPr>
            </w:pPr>
            <w:r>
              <w:rPr>
                <w:rFonts w:hint="eastAsia"/>
                <w:sz w:val="30"/>
                <w:szCs w:val="30"/>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vMerge w:val="continue"/>
            <w:shd w:val="clear" w:color="auto" w:fill="auto"/>
            <w:vAlign w:val="center"/>
          </w:tcPr>
          <w:p>
            <w:pPr>
              <w:widowControl/>
              <w:jc w:val="left"/>
              <w:rPr>
                <w:sz w:val="24"/>
              </w:rPr>
            </w:pPr>
          </w:p>
        </w:tc>
        <w:tc>
          <w:tcPr>
            <w:tcW w:w="483" w:type="pct"/>
            <w:vMerge w:val="continue"/>
            <w:shd w:val="clear" w:color="auto" w:fill="auto"/>
            <w:vAlign w:val="center"/>
          </w:tcPr>
          <w:p>
            <w:pPr>
              <w:jc w:val="center"/>
              <w:rPr>
                <w:sz w:val="30"/>
                <w:szCs w:val="30"/>
              </w:rPr>
            </w:pPr>
          </w:p>
        </w:tc>
        <w:tc>
          <w:tcPr>
            <w:tcW w:w="1168" w:type="pct"/>
            <w:shd w:val="clear" w:color="auto" w:fill="auto"/>
            <w:vAlign w:val="center"/>
          </w:tcPr>
          <w:p>
            <w:pPr>
              <w:widowControl/>
              <w:jc w:val="center"/>
              <w:rPr>
                <w:sz w:val="24"/>
              </w:rPr>
            </w:pPr>
            <w:r>
              <w:rPr>
                <w:rFonts w:hint="eastAsia"/>
                <w:sz w:val="24"/>
              </w:rPr>
              <w:t>产出成本</w:t>
            </w:r>
          </w:p>
        </w:tc>
        <w:tc>
          <w:tcPr>
            <w:tcW w:w="691" w:type="pct"/>
            <w:shd w:val="clear" w:color="auto" w:fill="auto"/>
            <w:vAlign w:val="center"/>
          </w:tcPr>
          <w:p>
            <w:pPr>
              <w:jc w:val="center"/>
              <w:rPr>
                <w:sz w:val="30"/>
                <w:szCs w:val="30"/>
              </w:rPr>
            </w:pPr>
            <w:r>
              <w:rPr>
                <w:rFonts w:hint="eastAsia"/>
                <w:sz w:val="30"/>
                <w:szCs w:val="30"/>
              </w:rPr>
              <w:t>12</w:t>
            </w:r>
          </w:p>
        </w:tc>
        <w:tc>
          <w:tcPr>
            <w:tcW w:w="816" w:type="pct"/>
            <w:shd w:val="clear" w:color="auto" w:fill="auto"/>
            <w:noWrap/>
            <w:vAlign w:val="center"/>
          </w:tcPr>
          <w:p>
            <w:pPr>
              <w:jc w:val="center"/>
              <w:rPr>
                <w:sz w:val="30"/>
                <w:szCs w:val="30"/>
              </w:rPr>
            </w:pPr>
            <w:r>
              <w:rPr>
                <w:sz w:val="30"/>
                <w:szCs w:val="30"/>
              </w:rPr>
              <w:t>11.7</w:t>
            </w:r>
            <w:r>
              <w:rPr>
                <w:rFonts w:hint="eastAsia"/>
                <w:sz w:val="30"/>
                <w:szCs w:val="30"/>
              </w:rPr>
              <w:t>0</w:t>
            </w:r>
          </w:p>
        </w:tc>
        <w:tc>
          <w:tcPr>
            <w:tcW w:w="928" w:type="pct"/>
            <w:shd w:val="clear" w:color="auto" w:fill="auto"/>
            <w:noWrap/>
            <w:vAlign w:val="center"/>
          </w:tcPr>
          <w:p>
            <w:pPr>
              <w:jc w:val="center"/>
              <w:rPr>
                <w:sz w:val="30"/>
                <w:szCs w:val="30"/>
              </w:rPr>
            </w:pPr>
            <w:r>
              <w:rPr>
                <w:sz w:val="30"/>
                <w:szCs w:val="30"/>
              </w:rPr>
              <w:t>97</w:t>
            </w:r>
            <w:r>
              <w:rPr>
                <w:rFonts w:hint="eastAsia"/>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vMerge w:val="restart"/>
            <w:shd w:val="clear" w:color="auto" w:fill="auto"/>
            <w:noWrap/>
            <w:vAlign w:val="center"/>
          </w:tcPr>
          <w:p>
            <w:pPr>
              <w:widowControl/>
              <w:jc w:val="center"/>
              <w:rPr>
                <w:sz w:val="24"/>
              </w:rPr>
            </w:pPr>
            <w:r>
              <w:rPr>
                <w:rFonts w:hint="eastAsia"/>
                <w:sz w:val="24"/>
              </w:rPr>
              <w:t>项目效益</w:t>
            </w:r>
          </w:p>
        </w:tc>
        <w:tc>
          <w:tcPr>
            <w:tcW w:w="483" w:type="pct"/>
            <w:vMerge w:val="restart"/>
            <w:shd w:val="clear" w:color="auto" w:fill="auto"/>
            <w:noWrap/>
            <w:vAlign w:val="center"/>
          </w:tcPr>
          <w:p>
            <w:pPr>
              <w:jc w:val="center"/>
              <w:rPr>
                <w:sz w:val="30"/>
                <w:szCs w:val="30"/>
              </w:rPr>
            </w:pPr>
            <w:r>
              <w:rPr>
                <w:rFonts w:hint="eastAsia"/>
                <w:sz w:val="30"/>
                <w:szCs w:val="30"/>
              </w:rPr>
              <w:t>26</w:t>
            </w:r>
          </w:p>
        </w:tc>
        <w:tc>
          <w:tcPr>
            <w:tcW w:w="1168" w:type="pct"/>
            <w:shd w:val="clear" w:color="auto" w:fill="auto"/>
            <w:vAlign w:val="center"/>
          </w:tcPr>
          <w:p>
            <w:pPr>
              <w:widowControl/>
              <w:jc w:val="center"/>
              <w:rPr>
                <w:sz w:val="24"/>
              </w:rPr>
            </w:pPr>
            <w:r>
              <w:rPr>
                <w:rFonts w:hint="eastAsia"/>
                <w:sz w:val="24"/>
              </w:rPr>
              <w:t>社会效益</w:t>
            </w:r>
          </w:p>
        </w:tc>
        <w:tc>
          <w:tcPr>
            <w:tcW w:w="691" w:type="pct"/>
            <w:shd w:val="clear" w:color="auto" w:fill="auto"/>
            <w:vAlign w:val="center"/>
          </w:tcPr>
          <w:p>
            <w:pPr>
              <w:jc w:val="center"/>
              <w:rPr>
                <w:sz w:val="30"/>
                <w:szCs w:val="30"/>
              </w:rPr>
            </w:pPr>
            <w:r>
              <w:rPr>
                <w:rFonts w:hint="eastAsia"/>
                <w:sz w:val="30"/>
                <w:szCs w:val="30"/>
              </w:rPr>
              <w:t>10</w:t>
            </w:r>
          </w:p>
        </w:tc>
        <w:tc>
          <w:tcPr>
            <w:tcW w:w="816" w:type="pct"/>
            <w:shd w:val="clear" w:color="auto" w:fill="auto"/>
            <w:noWrap/>
            <w:vAlign w:val="center"/>
          </w:tcPr>
          <w:p>
            <w:pPr>
              <w:jc w:val="center"/>
              <w:rPr>
                <w:sz w:val="30"/>
                <w:szCs w:val="30"/>
              </w:rPr>
            </w:pPr>
            <w:r>
              <w:rPr>
                <w:rFonts w:hint="eastAsia"/>
                <w:sz w:val="30"/>
                <w:szCs w:val="30"/>
              </w:rPr>
              <w:t>10.00</w:t>
            </w:r>
          </w:p>
        </w:tc>
        <w:tc>
          <w:tcPr>
            <w:tcW w:w="928" w:type="pct"/>
            <w:shd w:val="clear" w:color="auto" w:fill="auto"/>
            <w:noWrap/>
            <w:vAlign w:val="center"/>
          </w:tcPr>
          <w:p>
            <w:pPr>
              <w:jc w:val="center"/>
              <w:rPr>
                <w:sz w:val="30"/>
                <w:szCs w:val="30"/>
              </w:rPr>
            </w:pPr>
            <w:r>
              <w:rPr>
                <w:rFonts w:hint="eastAsia"/>
                <w:sz w:val="30"/>
                <w:szCs w:val="3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vMerge w:val="continue"/>
            <w:shd w:val="clear" w:color="auto" w:fill="auto"/>
            <w:vAlign w:val="center"/>
          </w:tcPr>
          <w:p>
            <w:pPr>
              <w:widowControl/>
              <w:jc w:val="left"/>
              <w:rPr>
                <w:sz w:val="24"/>
              </w:rPr>
            </w:pPr>
          </w:p>
        </w:tc>
        <w:tc>
          <w:tcPr>
            <w:tcW w:w="483" w:type="pct"/>
            <w:vMerge w:val="continue"/>
            <w:shd w:val="clear" w:color="auto" w:fill="auto"/>
            <w:vAlign w:val="center"/>
          </w:tcPr>
          <w:p>
            <w:pPr>
              <w:jc w:val="center"/>
              <w:rPr>
                <w:sz w:val="30"/>
                <w:szCs w:val="30"/>
              </w:rPr>
            </w:pPr>
          </w:p>
        </w:tc>
        <w:tc>
          <w:tcPr>
            <w:tcW w:w="1168" w:type="pct"/>
            <w:shd w:val="clear" w:color="auto" w:fill="auto"/>
            <w:vAlign w:val="center"/>
          </w:tcPr>
          <w:p>
            <w:pPr>
              <w:widowControl/>
              <w:jc w:val="center"/>
              <w:rPr>
                <w:sz w:val="24"/>
              </w:rPr>
            </w:pPr>
            <w:r>
              <w:rPr>
                <w:rFonts w:hint="eastAsia"/>
                <w:sz w:val="24"/>
              </w:rPr>
              <w:t>可持续影响</w:t>
            </w:r>
          </w:p>
        </w:tc>
        <w:tc>
          <w:tcPr>
            <w:tcW w:w="691" w:type="pct"/>
            <w:shd w:val="clear" w:color="auto" w:fill="auto"/>
            <w:vAlign w:val="center"/>
          </w:tcPr>
          <w:p>
            <w:pPr>
              <w:jc w:val="center"/>
              <w:rPr>
                <w:sz w:val="30"/>
                <w:szCs w:val="30"/>
              </w:rPr>
            </w:pPr>
            <w:r>
              <w:rPr>
                <w:rFonts w:hint="eastAsia"/>
                <w:sz w:val="30"/>
                <w:szCs w:val="30"/>
              </w:rPr>
              <w:t>10</w:t>
            </w:r>
          </w:p>
        </w:tc>
        <w:tc>
          <w:tcPr>
            <w:tcW w:w="816" w:type="pct"/>
            <w:shd w:val="clear" w:color="auto" w:fill="auto"/>
            <w:noWrap/>
            <w:vAlign w:val="center"/>
          </w:tcPr>
          <w:p>
            <w:pPr>
              <w:jc w:val="center"/>
              <w:rPr>
                <w:sz w:val="30"/>
                <w:szCs w:val="30"/>
              </w:rPr>
            </w:pPr>
            <w:r>
              <w:rPr>
                <w:rFonts w:hint="eastAsia"/>
                <w:sz w:val="30"/>
                <w:szCs w:val="30"/>
              </w:rPr>
              <w:t>10.00</w:t>
            </w:r>
          </w:p>
        </w:tc>
        <w:tc>
          <w:tcPr>
            <w:tcW w:w="928" w:type="pct"/>
            <w:shd w:val="clear" w:color="auto" w:fill="auto"/>
            <w:noWrap/>
            <w:vAlign w:val="center"/>
          </w:tcPr>
          <w:p>
            <w:pPr>
              <w:jc w:val="center"/>
              <w:rPr>
                <w:sz w:val="30"/>
                <w:szCs w:val="30"/>
              </w:rPr>
            </w:pPr>
            <w:r>
              <w:rPr>
                <w:rFonts w:hint="eastAsia"/>
                <w:sz w:val="30"/>
                <w:szCs w:val="3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vMerge w:val="continue"/>
            <w:shd w:val="clear" w:color="auto" w:fill="auto"/>
            <w:vAlign w:val="center"/>
          </w:tcPr>
          <w:p>
            <w:pPr>
              <w:widowControl/>
              <w:jc w:val="left"/>
              <w:rPr>
                <w:sz w:val="24"/>
              </w:rPr>
            </w:pPr>
          </w:p>
        </w:tc>
        <w:tc>
          <w:tcPr>
            <w:tcW w:w="483" w:type="pct"/>
            <w:vMerge w:val="continue"/>
            <w:shd w:val="clear" w:color="auto" w:fill="auto"/>
            <w:vAlign w:val="center"/>
          </w:tcPr>
          <w:p>
            <w:pPr>
              <w:jc w:val="center"/>
              <w:rPr>
                <w:sz w:val="30"/>
                <w:szCs w:val="30"/>
              </w:rPr>
            </w:pPr>
          </w:p>
        </w:tc>
        <w:tc>
          <w:tcPr>
            <w:tcW w:w="1168" w:type="pct"/>
            <w:shd w:val="clear" w:color="auto" w:fill="auto"/>
            <w:vAlign w:val="center"/>
          </w:tcPr>
          <w:p>
            <w:pPr>
              <w:widowControl/>
              <w:jc w:val="center"/>
              <w:rPr>
                <w:sz w:val="24"/>
              </w:rPr>
            </w:pPr>
            <w:r>
              <w:rPr>
                <w:rFonts w:hint="eastAsia"/>
                <w:sz w:val="24"/>
              </w:rPr>
              <w:t>满意度</w:t>
            </w:r>
          </w:p>
        </w:tc>
        <w:tc>
          <w:tcPr>
            <w:tcW w:w="691" w:type="pct"/>
            <w:shd w:val="clear" w:color="auto" w:fill="auto"/>
            <w:vAlign w:val="center"/>
          </w:tcPr>
          <w:p>
            <w:pPr>
              <w:jc w:val="center"/>
              <w:rPr>
                <w:sz w:val="30"/>
                <w:szCs w:val="30"/>
              </w:rPr>
            </w:pPr>
            <w:r>
              <w:rPr>
                <w:rFonts w:hint="eastAsia"/>
                <w:sz w:val="30"/>
                <w:szCs w:val="30"/>
              </w:rPr>
              <w:t>6</w:t>
            </w:r>
          </w:p>
        </w:tc>
        <w:tc>
          <w:tcPr>
            <w:tcW w:w="816" w:type="pct"/>
            <w:shd w:val="clear" w:color="auto" w:fill="auto"/>
            <w:noWrap/>
            <w:vAlign w:val="center"/>
          </w:tcPr>
          <w:p>
            <w:pPr>
              <w:jc w:val="center"/>
              <w:rPr>
                <w:sz w:val="30"/>
                <w:szCs w:val="30"/>
              </w:rPr>
            </w:pPr>
            <w:r>
              <w:rPr>
                <w:rFonts w:hint="eastAsia"/>
                <w:sz w:val="30"/>
                <w:szCs w:val="30"/>
              </w:rPr>
              <w:t>6.00</w:t>
            </w:r>
          </w:p>
        </w:tc>
        <w:tc>
          <w:tcPr>
            <w:tcW w:w="928" w:type="pct"/>
            <w:shd w:val="clear" w:color="auto" w:fill="auto"/>
            <w:noWrap/>
            <w:vAlign w:val="center"/>
          </w:tcPr>
          <w:p>
            <w:pPr>
              <w:jc w:val="center"/>
              <w:rPr>
                <w:sz w:val="30"/>
                <w:szCs w:val="30"/>
              </w:rPr>
            </w:pPr>
            <w:r>
              <w:rPr>
                <w:rFonts w:hint="eastAsia"/>
                <w:sz w:val="30"/>
                <w:szCs w:val="3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 w:type="pct"/>
            <w:shd w:val="clear" w:color="auto" w:fill="auto"/>
            <w:noWrap/>
            <w:vAlign w:val="center"/>
          </w:tcPr>
          <w:p>
            <w:pPr>
              <w:widowControl/>
              <w:jc w:val="center"/>
              <w:rPr>
                <w:b/>
                <w:bCs/>
                <w:sz w:val="24"/>
              </w:rPr>
            </w:pPr>
            <w:r>
              <w:rPr>
                <w:rFonts w:hint="eastAsia"/>
                <w:b/>
                <w:bCs/>
                <w:sz w:val="24"/>
              </w:rPr>
              <w:t>合计</w:t>
            </w:r>
          </w:p>
        </w:tc>
        <w:tc>
          <w:tcPr>
            <w:tcW w:w="483" w:type="pct"/>
            <w:shd w:val="clear" w:color="auto" w:fill="auto"/>
            <w:noWrap/>
            <w:vAlign w:val="center"/>
          </w:tcPr>
          <w:p>
            <w:pPr>
              <w:jc w:val="center"/>
              <w:rPr>
                <w:sz w:val="30"/>
                <w:szCs w:val="30"/>
              </w:rPr>
            </w:pPr>
            <w:r>
              <w:rPr>
                <w:rFonts w:hint="eastAsia"/>
                <w:sz w:val="30"/>
                <w:szCs w:val="30"/>
              </w:rPr>
              <w:t>100</w:t>
            </w:r>
          </w:p>
        </w:tc>
        <w:tc>
          <w:tcPr>
            <w:tcW w:w="1168" w:type="pct"/>
            <w:shd w:val="clear" w:color="auto" w:fill="auto"/>
            <w:noWrap/>
            <w:vAlign w:val="center"/>
          </w:tcPr>
          <w:p>
            <w:pPr>
              <w:widowControl/>
              <w:jc w:val="center"/>
              <w:rPr>
                <w:sz w:val="24"/>
              </w:rPr>
            </w:pPr>
            <w:r>
              <w:rPr>
                <w:rFonts w:hint="eastAsia"/>
                <w:sz w:val="24"/>
              </w:rPr>
              <w:t>——</w:t>
            </w:r>
          </w:p>
        </w:tc>
        <w:tc>
          <w:tcPr>
            <w:tcW w:w="691" w:type="pct"/>
            <w:shd w:val="clear" w:color="auto" w:fill="auto"/>
            <w:noWrap/>
            <w:vAlign w:val="center"/>
          </w:tcPr>
          <w:p>
            <w:pPr>
              <w:jc w:val="center"/>
              <w:rPr>
                <w:sz w:val="30"/>
                <w:szCs w:val="30"/>
              </w:rPr>
            </w:pPr>
            <w:r>
              <w:rPr>
                <w:rFonts w:hint="eastAsia"/>
                <w:sz w:val="30"/>
                <w:szCs w:val="30"/>
              </w:rPr>
              <w:t>100</w:t>
            </w:r>
          </w:p>
        </w:tc>
        <w:tc>
          <w:tcPr>
            <w:tcW w:w="816" w:type="pct"/>
            <w:shd w:val="clear" w:color="auto" w:fill="auto"/>
            <w:noWrap/>
          </w:tcPr>
          <w:p>
            <w:pPr>
              <w:jc w:val="center"/>
              <w:rPr>
                <w:sz w:val="30"/>
                <w:szCs w:val="30"/>
              </w:rPr>
            </w:pPr>
            <w:r>
              <w:rPr>
                <w:sz w:val="30"/>
                <w:szCs w:val="30"/>
              </w:rPr>
              <w:t>95.4</w:t>
            </w:r>
            <w:r>
              <w:rPr>
                <w:rFonts w:hint="eastAsia"/>
                <w:sz w:val="30"/>
                <w:szCs w:val="30"/>
              </w:rPr>
              <w:t>0</w:t>
            </w:r>
          </w:p>
        </w:tc>
        <w:tc>
          <w:tcPr>
            <w:tcW w:w="928" w:type="pct"/>
            <w:shd w:val="clear" w:color="auto" w:fill="auto"/>
            <w:noWrap/>
          </w:tcPr>
          <w:p>
            <w:pPr>
              <w:jc w:val="center"/>
              <w:rPr>
                <w:sz w:val="30"/>
                <w:szCs w:val="30"/>
              </w:rPr>
            </w:pPr>
            <w:r>
              <w:rPr>
                <w:sz w:val="30"/>
                <w:szCs w:val="30"/>
              </w:rPr>
              <w:t>95.4</w:t>
            </w:r>
            <w:r>
              <w:rPr>
                <w:rFonts w:hint="eastAsia"/>
                <w:sz w:val="30"/>
                <w:szCs w:val="30"/>
              </w:rPr>
              <w:t>0%</w:t>
            </w:r>
          </w:p>
        </w:tc>
      </w:tr>
    </w:tbl>
    <w:p>
      <w:pPr>
        <w:pStyle w:val="3"/>
        <w:spacing w:line="240" w:lineRule="auto"/>
        <w:jc w:val="left"/>
        <w:rPr>
          <w:b w:val="0"/>
          <w:bCs/>
        </w:rPr>
      </w:pPr>
      <w:bookmarkStart w:id="10" w:name="_Toc142381558"/>
      <w:r>
        <w:rPr>
          <w:rFonts w:hint="eastAsia"/>
          <w:b w:val="0"/>
          <w:bCs/>
        </w:rPr>
        <w:t>四、绩效评价指标分析</w:t>
      </w:r>
      <w:bookmarkEnd w:id="10"/>
    </w:p>
    <w:p>
      <w:pPr>
        <w:pStyle w:val="4"/>
        <w:spacing w:line="240" w:lineRule="auto"/>
        <w:rPr>
          <w:szCs w:val="32"/>
        </w:rPr>
      </w:pPr>
      <w:bookmarkStart w:id="11" w:name="_Toc142381559"/>
      <w:r>
        <w:rPr>
          <w:rFonts w:hint="eastAsia"/>
          <w:szCs w:val="32"/>
        </w:rPr>
        <w:t>（一）项目决策情况</w:t>
      </w:r>
      <w:bookmarkEnd w:id="11"/>
    </w:p>
    <w:p>
      <w:pPr>
        <w:pStyle w:val="18"/>
        <w:spacing w:line="240" w:lineRule="auto"/>
        <w:ind w:firstLine="640"/>
        <w:rPr>
          <w:sz w:val="32"/>
          <w:szCs w:val="32"/>
        </w:rPr>
      </w:pPr>
      <w:r>
        <w:rPr>
          <w:rFonts w:hint="eastAsia"/>
          <w:sz w:val="32"/>
          <w:szCs w:val="32"/>
        </w:rPr>
        <w:t>项目决策类指标共分6个三级指标，权重共19分，实际得分1</w:t>
      </w:r>
      <w:r>
        <w:rPr>
          <w:sz w:val="32"/>
          <w:szCs w:val="32"/>
        </w:rPr>
        <w:t>6</w:t>
      </w:r>
      <w:r>
        <w:rPr>
          <w:rFonts w:hint="eastAsia"/>
          <w:sz w:val="32"/>
          <w:szCs w:val="32"/>
        </w:rPr>
        <w:t>.9分，得分率为</w:t>
      </w:r>
      <w:r>
        <w:rPr>
          <w:sz w:val="32"/>
          <w:szCs w:val="32"/>
        </w:rPr>
        <w:t>88.95</w:t>
      </w:r>
      <w:r>
        <w:rPr>
          <w:rFonts w:hint="eastAsia"/>
          <w:sz w:val="32"/>
          <w:szCs w:val="32"/>
        </w:rPr>
        <w:t>%，各指标得分见表4。</w:t>
      </w:r>
    </w:p>
    <w:p>
      <w:pPr>
        <w:pStyle w:val="18"/>
        <w:spacing w:line="240" w:lineRule="auto"/>
        <w:ind w:firstLine="0" w:firstLineChars="0"/>
        <w:jc w:val="center"/>
        <w:rPr>
          <w:b/>
          <w:bCs/>
        </w:rPr>
      </w:pPr>
      <w:r>
        <w:rPr>
          <w:rFonts w:hint="eastAsia"/>
          <w:b/>
          <w:bCs/>
        </w:rPr>
        <w:t>表4 项目决策类指标得分情况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5"/>
        <w:gridCol w:w="1164"/>
        <w:gridCol w:w="1416"/>
        <w:gridCol w:w="1128"/>
        <w:gridCol w:w="1127"/>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1364" w:type="pct"/>
            <w:shd w:val="clear" w:color="auto" w:fill="E7E6E6" w:themeFill="background2"/>
            <w:vAlign w:val="center"/>
          </w:tcPr>
          <w:p>
            <w:pPr>
              <w:widowControl/>
              <w:jc w:val="center"/>
              <w:rPr>
                <w:b/>
                <w:bCs/>
                <w:color w:val="000000"/>
                <w:kern w:val="0"/>
                <w:sz w:val="28"/>
                <w:szCs w:val="28"/>
              </w:rPr>
            </w:pPr>
            <w:r>
              <w:rPr>
                <w:rFonts w:hint="eastAsia"/>
                <w:b/>
                <w:bCs/>
                <w:color w:val="000000"/>
                <w:kern w:val="0"/>
                <w:sz w:val="28"/>
                <w:szCs w:val="28"/>
              </w:rPr>
              <w:t>三级指标</w:t>
            </w:r>
          </w:p>
        </w:tc>
        <w:tc>
          <w:tcPr>
            <w:tcW w:w="683" w:type="pct"/>
            <w:shd w:val="clear" w:color="auto" w:fill="E7E6E6" w:themeFill="background2"/>
          </w:tcPr>
          <w:p>
            <w:pPr>
              <w:widowControl/>
              <w:jc w:val="center"/>
              <w:rPr>
                <w:b/>
                <w:bCs/>
                <w:color w:val="000000"/>
                <w:kern w:val="0"/>
                <w:sz w:val="28"/>
                <w:szCs w:val="28"/>
              </w:rPr>
            </w:pPr>
            <w:r>
              <w:rPr>
                <w:rFonts w:hint="eastAsia"/>
                <w:b/>
                <w:bCs/>
                <w:sz w:val="28"/>
                <w:szCs w:val="28"/>
              </w:rPr>
              <w:t>目标值</w:t>
            </w:r>
          </w:p>
        </w:tc>
        <w:tc>
          <w:tcPr>
            <w:tcW w:w="831" w:type="pct"/>
            <w:shd w:val="clear" w:color="auto" w:fill="E7E6E6" w:themeFill="background2"/>
          </w:tcPr>
          <w:p>
            <w:pPr>
              <w:widowControl/>
              <w:jc w:val="center"/>
              <w:rPr>
                <w:b/>
                <w:bCs/>
                <w:color w:val="000000"/>
                <w:kern w:val="0"/>
                <w:sz w:val="28"/>
                <w:szCs w:val="28"/>
              </w:rPr>
            </w:pPr>
            <w:r>
              <w:rPr>
                <w:rFonts w:hint="eastAsia"/>
                <w:b/>
                <w:bCs/>
                <w:sz w:val="28"/>
                <w:szCs w:val="28"/>
              </w:rPr>
              <w:t>业绩值</w:t>
            </w:r>
          </w:p>
        </w:tc>
        <w:tc>
          <w:tcPr>
            <w:tcW w:w="662" w:type="pct"/>
            <w:shd w:val="clear" w:color="auto" w:fill="E7E6E6" w:themeFill="background2"/>
          </w:tcPr>
          <w:p>
            <w:pPr>
              <w:widowControl/>
              <w:jc w:val="center"/>
              <w:rPr>
                <w:b/>
                <w:bCs/>
                <w:color w:val="000000"/>
                <w:kern w:val="0"/>
                <w:sz w:val="28"/>
                <w:szCs w:val="28"/>
              </w:rPr>
            </w:pPr>
            <w:r>
              <w:rPr>
                <w:rFonts w:hint="eastAsia"/>
                <w:b/>
                <w:bCs/>
                <w:sz w:val="28"/>
                <w:szCs w:val="28"/>
              </w:rPr>
              <w:t>权重</w:t>
            </w:r>
          </w:p>
        </w:tc>
        <w:tc>
          <w:tcPr>
            <w:tcW w:w="661" w:type="pct"/>
            <w:shd w:val="clear" w:color="auto" w:fill="E7E6E6" w:themeFill="background2"/>
          </w:tcPr>
          <w:p>
            <w:pPr>
              <w:widowControl/>
              <w:jc w:val="center"/>
              <w:rPr>
                <w:b/>
                <w:bCs/>
                <w:color w:val="000000"/>
                <w:kern w:val="0"/>
                <w:sz w:val="28"/>
                <w:szCs w:val="28"/>
              </w:rPr>
            </w:pPr>
            <w:r>
              <w:rPr>
                <w:rFonts w:hint="eastAsia"/>
                <w:b/>
                <w:bCs/>
                <w:sz w:val="28"/>
                <w:szCs w:val="28"/>
              </w:rPr>
              <w:t>得分</w:t>
            </w:r>
          </w:p>
        </w:tc>
        <w:tc>
          <w:tcPr>
            <w:tcW w:w="799" w:type="pct"/>
            <w:shd w:val="clear" w:color="auto" w:fill="E7E6E6" w:themeFill="background2"/>
          </w:tcPr>
          <w:p>
            <w:pPr>
              <w:widowControl/>
              <w:jc w:val="center"/>
              <w:rPr>
                <w:b/>
                <w:bCs/>
                <w:color w:val="000000"/>
                <w:kern w:val="0"/>
                <w:sz w:val="28"/>
                <w:szCs w:val="28"/>
              </w:rPr>
            </w:pPr>
            <w:r>
              <w:rPr>
                <w:rFonts w:hint="eastAsia"/>
                <w:b/>
                <w:bCs/>
                <w:sz w:val="28"/>
                <w:szCs w:val="28"/>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64" w:type="pct"/>
            <w:shd w:val="clear" w:color="auto" w:fill="auto"/>
            <w:vAlign w:val="center"/>
          </w:tcPr>
          <w:p>
            <w:pPr>
              <w:widowControl/>
              <w:jc w:val="center"/>
              <w:rPr>
                <w:color w:val="000000"/>
                <w:kern w:val="0"/>
                <w:sz w:val="24"/>
              </w:rPr>
            </w:pPr>
            <w:r>
              <w:rPr>
                <w:rFonts w:hint="eastAsia"/>
                <w:color w:val="000000"/>
                <w:sz w:val="24"/>
              </w:rPr>
              <w:t>立项依据充分性</w:t>
            </w:r>
          </w:p>
        </w:tc>
        <w:tc>
          <w:tcPr>
            <w:tcW w:w="683" w:type="pct"/>
            <w:shd w:val="clear" w:color="auto" w:fill="auto"/>
            <w:vAlign w:val="center"/>
          </w:tcPr>
          <w:p>
            <w:pPr>
              <w:widowControl/>
              <w:jc w:val="center"/>
              <w:rPr>
                <w:color w:val="000000"/>
                <w:kern w:val="0"/>
                <w:sz w:val="24"/>
              </w:rPr>
            </w:pPr>
            <w:r>
              <w:rPr>
                <w:rFonts w:hint="eastAsia"/>
                <w:color w:val="000000"/>
                <w:sz w:val="24"/>
              </w:rPr>
              <w:t>充分</w:t>
            </w:r>
          </w:p>
        </w:tc>
        <w:tc>
          <w:tcPr>
            <w:tcW w:w="831" w:type="pct"/>
            <w:shd w:val="clear" w:color="auto" w:fill="auto"/>
            <w:vAlign w:val="center"/>
          </w:tcPr>
          <w:p>
            <w:pPr>
              <w:widowControl/>
              <w:jc w:val="center"/>
              <w:rPr>
                <w:color w:val="000000"/>
                <w:kern w:val="0"/>
                <w:sz w:val="24"/>
              </w:rPr>
            </w:pPr>
            <w:r>
              <w:rPr>
                <w:rFonts w:hint="eastAsia"/>
                <w:color w:val="000000"/>
                <w:sz w:val="24"/>
              </w:rPr>
              <w:t>充分</w:t>
            </w:r>
          </w:p>
        </w:tc>
        <w:tc>
          <w:tcPr>
            <w:tcW w:w="662" w:type="pct"/>
            <w:shd w:val="clear" w:color="auto" w:fill="auto"/>
            <w:vAlign w:val="center"/>
          </w:tcPr>
          <w:p>
            <w:pPr>
              <w:jc w:val="center"/>
              <w:rPr>
                <w:sz w:val="24"/>
              </w:rPr>
            </w:pPr>
            <w:r>
              <w:rPr>
                <w:rFonts w:hint="eastAsia"/>
                <w:sz w:val="24"/>
              </w:rPr>
              <w:t>3</w:t>
            </w:r>
          </w:p>
        </w:tc>
        <w:tc>
          <w:tcPr>
            <w:tcW w:w="661" w:type="pct"/>
            <w:shd w:val="clear" w:color="auto" w:fill="auto"/>
            <w:vAlign w:val="center"/>
          </w:tcPr>
          <w:p>
            <w:pPr>
              <w:jc w:val="center"/>
              <w:rPr>
                <w:sz w:val="24"/>
              </w:rPr>
            </w:pPr>
            <w:r>
              <w:rPr>
                <w:rFonts w:hint="eastAsia"/>
                <w:sz w:val="24"/>
              </w:rPr>
              <w:t>3.00</w:t>
            </w:r>
          </w:p>
        </w:tc>
        <w:tc>
          <w:tcPr>
            <w:tcW w:w="799"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64" w:type="pct"/>
            <w:shd w:val="clear" w:color="auto" w:fill="auto"/>
            <w:vAlign w:val="center"/>
          </w:tcPr>
          <w:p>
            <w:pPr>
              <w:widowControl/>
              <w:jc w:val="center"/>
              <w:rPr>
                <w:color w:val="000000"/>
                <w:kern w:val="0"/>
                <w:sz w:val="24"/>
              </w:rPr>
            </w:pPr>
            <w:r>
              <w:rPr>
                <w:rFonts w:hint="eastAsia"/>
                <w:color w:val="000000"/>
                <w:sz w:val="24"/>
              </w:rPr>
              <w:t>立项程序规范性</w:t>
            </w:r>
          </w:p>
        </w:tc>
        <w:tc>
          <w:tcPr>
            <w:tcW w:w="683" w:type="pct"/>
            <w:shd w:val="clear" w:color="auto" w:fill="auto"/>
            <w:vAlign w:val="center"/>
          </w:tcPr>
          <w:p>
            <w:pPr>
              <w:widowControl/>
              <w:jc w:val="center"/>
              <w:rPr>
                <w:color w:val="000000"/>
                <w:kern w:val="0"/>
                <w:sz w:val="24"/>
              </w:rPr>
            </w:pPr>
            <w:r>
              <w:rPr>
                <w:rFonts w:hint="eastAsia"/>
                <w:color w:val="000000"/>
                <w:sz w:val="24"/>
              </w:rPr>
              <w:t>规范</w:t>
            </w:r>
          </w:p>
        </w:tc>
        <w:tc>
          <w:tcPr>
            <w:tcW w:w="831" w:type="pct"/>
            <w:shd w:val="clear" w:color="auto" w:fill="auto"/>
            <w:vAlign w:val="center"/>
          </w:tcPr>
          <w:p>
            <w:pPr>
              <w:widowControl/>
              <w:jc w:val="center"/>
              <w:rPr>
                <w:color w:val="000000"/>
                <w:kern w:val="0"/>
                <w:sz w:val="24"/>
              </w:rPr>
            </w:pPr>
            <w:r>
              <w:rPr>
                <w:rFonts w:hint="eastAsia"/>
                <w:color w:val="000000"/>
                <w:sz w:val="24"/>
              </w:rPr>
              <w:t>规范</w:t>
            </w:r>
          </w:p>
        </w:tc>
        <w:tc>
          <w:tcPr>
            <w:tcW w:w="662" w:type="pct"/>
            <w:shd w:val="clear" w:color="auto" w:fill="auto"/>
            <w:vAlign w:val="center"/>
          </w:tcPr>
          <w:p>
            <w:pPr>
              <w:jc w:val="center"/>
              <w:rPr>
                <w:sz w:val="24"/>
              </w:rPr>
            </w:pPr>
            <w:r>
              <w:rPr>
                <w:rFonts w:hint="eastAsia"/>
                <w:sz w:val="24"/>
              </w:rPr>
              <w:t>2</w:t>
            </w:r>
          </w:p>
        </w:tc>
        <w:tc>
          <w:tcPr>
            <w:tcW w:w="661" w:type="pct"/>
            <w:shd w:val="clear" w:color="auto" w:fill="auto"/>
            <w:vAlign w:val="center"/>
          </w:tcPr>
          <w:p>
            <w:pPr>
              <w:jc w:val="center"/>
              <w:rPr>
                <w:sz w:val="24"/>
              </w:rPr>
            </w:pPr>
            <w:r>
              <w:rPr>
                <w:rFonts w:hint="eastAsia"/>
                <w:sz w:val="24"/>
              </w:rPr>
              <w:t>2.00</w:t>
            </w:r>
          </w:p>
        </w:tc>
        <w:tc>
          <w:tcPr>
            <w:tcW w:w="799"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64" w:type="pct"/>
            <w:shd w:val="clear" w:color="auto" w:fill="auto"/>
            <w:vAlign w:val="center"/>
          </w:tcPr>
          <w:p>
            <w:pPr>
              <w:widowControl/>
              <w:jc w:val="center"/>
              <w:rPr>
                <w:color w:val="000000"/>
                <w:kern w:val="0"/>
                <w:sz w:val="24"/>
              </w:rPr>
            </w:pPr>
            <w:r>
              <w:rPr>
                <w:rFonts w:hint="eastAsia"/>
                <w:color w:val="000000"/>
                <w:sz w:val="24"/>
              </w:rPr>
              <w:t>绩效目标合理性</w:t>
            </w:r>
          </w:p>
        </w:tc>
        <w:tc>
          <w:tcPr>
            <w:tcW w:w="683" w:type="pct"/>
            <w:shd w:val="clear" w:color="auto" w:fill="auto"/>
            <w:vAlign w:val="center"/>
          </w:tcPr>
          <w:p>
            <w:pPr>
              <w:widowControl/>
              <w:jc w:val="center"/>
              <w:rPr>
                <w:color w:val="000000"/>
                <w:kern w:val="0"/>
                <w:sz w:val="24"/>
              </w:rPr>
            </w:pPr>
            <w:r>
              <w:rPr>
                <w:rFonts w:hint="eastAsia"/>
                <w:color w:val="000000"/>
                <w:sz w:val="24"/>
              </w:rPr>
              <w:t>合理</w:t>
            </w:r>
          </w:p>
        </w:tc>
        <w:tc>
          <w:tcPr>
            <w:tcW w:w="831" w:type="pct"/>
            <w:shd w:val="clear" w:color="auto" w:fill="auto"/>
            <w:vAlign w:val="center"/>
          </w:tcPr>
          <w:p>
            <w:pPr>
              <w:widowControl/>
              <w:jc w:val="center"/>
              <w:rPr>
                <w:color w:val="000000"/>
                <w:kern w:val="0"/>
                <w:sz w:val="24"/>
              </w:rPr>
            </w:pPr>
            <w:r>
              <w:rPr>
                <w:rFonts w:hint="eastAsia"/>
                <w:color w:val="000000"/>
                <w:sz w:val="24"/>
              </w:rPr>
              <w:t>较为合理</w:t>
            </w:r>
          </w:p>
        </w:tc>
        <w:tc>
          <w:tcPr>
            <w:tcW w:w="662" w:type="pct"/>
            <w:shd w:val="clear" w:color="auto" w:fill="auto"/>
            <w:vAlign w:val="center"/>
          </w:tcPr>
          <w:p>
            <w:pPr>
              <w:jc w:val="center"/>
              <w:rPr>
                <w:sz w:val="24"/>
              </w:rPr>
            </w:pPr>
            <w:r>
              <w:rPr>
                <w:rFonts w:hint="eastAsia"/>
                <w:sz w:val="24"/>
              </w:rPr>
              <w:t>3</w:t>
            </w:r>
          </w:p>
        </w:tc>
        <w:tc>
          <w:tcPr>
            <w:tcW w:w="661" w:type="pct"/>
            <w:shd w:val="clear" w:color="auto" w:fill="auto"/>
            <w:vAlign w:val="center"/>
          </w:tcPr>
          <w:p>
            <w:pPr>
              <w:jc w:val="center"/>
              <w:rPr>
                <w:sz w:val="24"/>
              </w:rPr>
            </w:pPr>
            <w:r>
              <w:rPr>
                <w:rFonts w:hint="eastAsia"/>
                <w:sz w:val="24"/>
              </w:rPr>
              <w:t>1.80</w:t>
            </w:r>
          </w:p>
        </w:tc>
        <w:tc>
          <w:tcPr>
            <w:tcW w:w="799" w:type="pct"/>
            <w:shd w:val="clear" w:color="auto" w:fill="auto"/>
            <w:noWrap/>
            <w:vAlign w:val="center"/>
          </w:tcPr>
          <w:p>
            <w:pPr>
              <w:jc w:val="center"/>
              <w:rPr>
                <w:sz w:val="24"/>
              </w:rPr>
            </w:pPr>
            <w:r>
              <w:rPr>
                <w:rFonts w:hint="eastAsia"/>
                <w:sz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64" w:type="pct"/>
            <w:shd w:val="clear" w:color="auto" w:fill="auto"/>
            <w:vAlign w:val="center"/>
          </w:tcPr>
          <w:p>
            <w:pPr>
              <w:widowControl/>
              <w:jc w:val="center"/>
              <w:rPr>
                <w:color w:val="000000"/>
                <w:kern w:val="0"/>
                <w:sz w:val="24"/>
              </w:rPr>
            </w:pPr>
            <w:r>
              <w:rPr>
                <w:rFonts w:hint="eastAsia"/>
                <w:color w:val="000000"/>
                <w:sz w:val="24"/>
              </w:rPr>
              <w:t>绩效指标明确性</w:t>
            </w:r>
          </w:p>
        </w:tc>
        <w:tc>
          <w:tcPr>
            <w:tcW w:w="683" w:type="pct"/>
            <w:shd w:val="clear" w:color="auto" w:fill="auto"/>
            <w:vAlign w:val="center"/>
          </w:tcPr>
          <w:p>
            <w:pPr>
              <w:widowControl/>
              <w:jc w:val="center"/>
              <w:rPr>
                <w:color w:val="000000"/>
                <w:kern w:val="0"/>
                <w:sz w:val="24"/>
              </w:rPr>
            </w:pPr>
            <w:r>
              <w:rPr>
                <w:rFonts w:hint="eastAsia"/>
                <w:color w:val="000000"/>
                <w:sz w:val="24"/>
              </w:rPr>
              <w:t>明确</w:t>
            </w:r>
          </w:p>
        </w:tc>
        <w:tc>
          <w:tcPr>
            <w:tcW w:w="831" w:type="pct"/>
            <w:shd w:val="clear" w:color="auto" w:fill="auto"/>
            <w:vAlign w:val="center"/>
          </w:tcPr>
          <w:p>
            <w:pPr>
              <w:widowControl/>
              <w:jc w:val="center"/>
              <w:rPr>
                <w:color w:val="000000"/>
                <w:kern w:val="0"/>
                <w:sz w:val="24"/>
              </w:rPr>
            </w:pPr>
            <w:r>
              <w:rPr>
                <w:rFonts w:hint="eastAsia"/>
                <w:color w:val="000000"/>
                <w:sz w:val="24"/>
              </w:rPr>
              <w:t>较为明确</w:t>
            </w:r>
          </w:p>
        </w:tc>
        <w:tc>
          <w:tcPr>
            <w:tcW w:w="662" w:type="pct"/>
            <w:shd w:val="clear" w:color="auto" w:fill="auto"/>
            <w:vAlign w:val="center"/>
          </w:tcPr>
          <w:p>
            <w:pPr>
              <w:jc w:val="center"/>
              <w:rPr>
                <w:sz w:val="24"/>
              </w:rPr>
            </w:pPr>
            <w:r>
              <w:rPr>
                <w:rFonts w:hint="eastAsia"/>
                <w:sz w:val="24"/>
              </w:rPr>
              <w:t>3</w:t>
            </w:r>
          </w:p>
        </w:tc>
        <w:tc>
          <w:tcPr>
            <w:tcW w:w="661" w:type="pct"/>
            <w:shd w:val="clear" w:color="auto" w:fill="auto"/>
            <w:vAlign w:val="center"/>
          </w:tcPr>
          <w:p>
            <w:pPr>
              <w:jc w:val="center"/>
              <w:rPr>
                <w:sz w:val="24"/>
              </w:rPr>
            </w:pPr>
            <w:r>
              <w:rPr>
                <w:rFonts w:hint="eastAsia"/>
                <w:sz w:val="24"/>
              </w:rPr>
              <w:t>2.10</w:t>
            </w:r>
          </w:p>
        </w:tc>
        <w:tc>
          <w:tcPr>
            <w:tcW w:w="799" w:type="pct"/>
            <w:shd w:val="clear" w:color="auto" w:fill="auto"/>
            <w:noWrap/>
            <w:vAlign w:val="center"/>
          </w:tcPr>
          <w:p>
            <w:pPr>
              <w:jc w:val="center"/>
              <w:rPr>
                <w:sz w:val="24"/>
              </w:rPr>
            </w:pPr>
            <w:r>
              <w:rPr>
                <w:rFonts w:hint="eastAsia"/>
                <w:sz w:val="24"/>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64" w:type="pct"/>
            <w:shd w:val="clear" w:color="auto" w:fill="auto"/>
            <w:vAlign w:val="center"/>
          </w:tcPr>
          <w:p>
            <w:pPr>
              <w:widowControl/>
              <w:jc w:val="center"/>
              <w:rPr>
                <w:color w:val="000000"/>
                <w:kern w:val="0"/>
                <w:sz w:val="24"/>
              </w:rPr>
            </w:pPr>
            <w:r>
              <w:rPr>
                <w:rFonts w:hint="eastAsia"/>
                <w:color w:val="000000"/>
                <w:sz w:val="24"/>
              </w:rPr>
              <w:t>预算编制科学性</w:t>
            </w:r>
          </w:p>
        </w:tc>
        <w:tc>
          <w:tcPr>
            <w:tcW w:w="683" w:type="pct"/>
            <w:shd w:val="clear" w:color="auto" w:fill="auto"/>
            <w:vAlign w:val="center"/>
          </w:tcPr>
          <w:p>
            <w:pPr>
              <w:widowControl/>
              <w:jc w:val="center"/>
              <w:rPr>
                <w:color w:val="000000"/>
                <w:kern w:val="0"/>
                <w:sz w:val="24"/>
              </w:rPr>
            </w:pPr>
            <w:r>
              <w:rPr>
                <w:rFonts w:hint="eastAsia"/>
                <w:color w:val="000000"/>
                <w:sz w:val="24"/>
              </w:rPr>
              <w:t>科学</w:t>
            </w:r>
          </w:p>
        </w:tc>
        <w:tc>
          <w:tcPr>
            <w:tcW w:w="831" w:type="pct"/>
            <w:shd w:val="clear" w:color="auto" w:fill="auto"/>
            <w:vAlign w:val="center"/>
          </w:tcPr>
          <w:p>
            <w:pPr>
              <w:widowControl/>
              <w:jc w:val="center"/>
              <w:rPr>
                <w:color w:val="000000"/>
                <w:kern w:val="0"/>
                <w:sz w:val="24"/>
              </w:rPr>
            </w:pPr>
            <w:r>
              <w:rPr>
                <w:rFonts w:hint="eastAsia"/>
                <w:color w:val="000000"/>
                <w:sz w:val="24"/>
              </w:rPr>
              <w:t>科学</w:t>
            </w:r>
          </w:p>
        </w:tc>
        <w:tc>
          <w:tcPr>
            <w:tcW w:w="662" w:type="pct"/>
            <w:shd w:val="clear" w:color="auto" w:fill="auto"/>
            <w:vAlign w:val="center"/>
          </w:tcPr>
          <w:p>
            <w:pPr>
              <w:jc w:val="center"/>
              <w:rPr>
                <w:sz w:val="24"/>
              </w:rPr>
            </w:pPr>
            <w:r>
              <w:rPr>
                <w:rFonts w:hint="eastAsia"/>
                <w:sz w:val="24"/>
              </w:rPr>
              <w:t>4</w:t>
            </w:r>
          </w:p>
        </w:tc>
        <w:tc>
          <w:tcPr>
            <w:tcW w:w="661" w:type="pct"/>
            <w:shd w:val="clear" w:color="auto" w:fill="auto"/>
            <w:vAlign w:val="center"/>
          </w:tcPr>
          <w:p>
            <w:pPr>
              <w:jc w:val="center"/>
              <w:rPr>
                <w:sz w:val="24"/>
              </w:rPr>
            </w:pPr>
            <w:r>
              <w:rPr>
                <w:sz w:val="24"/>
              </w:rPr>
              <w:t>4</w:t>
            </w:r>
            <w:r>
              <w:rPr>
                <w:rFonts w:hint="eastAsia"/>
                <w:sz w:val="24"/>
              </w:rPr>
              <w:t>.00</w:t>
            </w:r>
          </w:p>
        </w:tc>
        <w:tc>
          <w:tcPr>
            <w:tcW w:w="799"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364" w:type="pct"/>
            <w:shd w:val="clear" w:color="auto" w:fill="auto"/>
            <w:vAlign w:val="center"/>
          </w:tcPr>
          <w:p>
            <w:pPr>
              <w:widowControl/>
              <w:jc w:val="center"/>
              <w:rPr>
                <w:color w:val="000000"/>
                <w:kern w:val="0"/>
                <w:sz w:val="24"/>
              </w:rPr>
            </w:pPr>
            <w:r>
              <w:rPr>
                <w:rFonts w:hint="eastAsia"/>
                <w:color w:val="000000"/>
                <w:sz w:val="24"/>
              </w:rPr>
              <w:t>资金分配合理性</w:t>
            </w:r>
          </w:p>
        </w:tc>
        <w:tc>
          <w:tcPr>
            <w:tcW w:w="683" w:type="pct"/>
            <w:shd w:val="clear" w:color="auto" w:fill="auto"/>
            <w:vAlign w:val="center"/>
          </w:tcPr>
          <w:p>
            <w:pPr>
              <w:widowControl/>
              <w:jc w:val="center"/>
              <w:rPr>
                <w:color w:val="000000"/>
                <w:kern w:val="0"/>
                <w:sz w:val="24"/>
              </w:rPr>
            </w:pPr>
            <w:r>
              <w:rPr>
                <w:rFonts w:hint="eastAsia"/>
                <w:color w:val="000000"/>
                <w:sz w:val="24"/>
              </w:rPr>
              <w:t>合理</w:t>
            </w:r>
          </w:p>
        </w:tc>
        <w:tc>
          <w:tcPr>
            <w:tcW w:w="831" w:type="pct"/>
            <w:shd w:val="clear" w:color="auto" w:fill="auto"/>
            <w:vAlign w:val="center"/>
          </w:tcPr>
          <w:p>
            <w:pPr>
              <w:widowControl/>
              <w:jc w:val="center"/>
              <w:rPr>
                <w:color w:val="000000"/>
                <w:kern w:val="0"/>
                <w:sz w:val="24"/>
              </w:rPr>
            </w:pPr>
            <w:r>
              <w:rPr>
                <w:rFonts w:hint="eastAsia"/>
                <w:color w:val="000000"/>
                <w:sz w:val="24"/>
              </w:rPr>
              <w:t>合理</w:t>
            </w:r>
          </w:p>
        </w:tc>
        <w:tc>
          <w:tcPr>
            <w:tcW w:w="662" w:type="pct"/>
            <w:shd w:val="clear" w:color="auto" w:fill="auto"/>
            <w:vAlign w:val="center"/>
          </w:tcPr>
          <w:p>
            <w:pPr>
              <w:jc w:val="center"/>
              <w:rPr>
                <w:sz w:val="24"/>
              </w:rPr>
            </w:pPr>
            <w:r>
              <w:rPr>
                <w:rFonts w:hint="eastAsia"/>
                <w:sz w:val="24"/>
              </w:rPr>
              <w:t>4</w:t>
            </w:r>
          </w:p>
        </w:tc>
        <w:tc>
          <w:tcPr>
            <w:tcW w:w="661" w:type="pct"/>
            <w:shd w:val="clear" w:color="auto" w:fill="auto"/>
            <w:vAlign w:val="center"/>
          </w:tcPr>
          <w:p>
            <w:pPr>
              <w:jc w:val="center"/>
              <w:rPr>
                <w:sz w:val="24"/>
              </w:rPr>
            </w:pPr>
            <w:r>
              <w:rPr>
                <w:sz w:val="24"/>
              </w:rPr>
              <w:t>4</w:t>
            </w:r>
            <w:r>
              <w:rPr>
                <w:rFonts w:hint="eastAsia"/>
                <w:sz w:val="24"/>
              </w:rPr>
              <w:t>.00</w:t>
            </w:r>
          </w:p>
        </w:tc>
        <w:tc>
          <w:tcPr>
            <w:tcW w:w="799"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78" w:type="pct"/>
            <w:gridSpan w:val="3"/>
            <w:shd w:val="clear" w:color="auto" w:fill="auto"/>
            <w:vAlign w:val="center"/>
          </w:tcPr>
          <w:p>
            <w:pPr>
              <w:widowControl/>
              <w:jc w:val="center"/>
              <w:rPr>
                <w:b/>
                <w:bCs/>
                <w:color w:val="000000"/>
                <w:kern w:val="0"/>
                <w:sz w:val="24"/>
              </w:rPr>
            </w:pPr>
            <w:r>
              <w:rPr>
                <w:rFonts w:hint="eastAsia"/>
                <w:b/>
                <w:bCs/>
                <w:color w:val="000000"/>
                <w:kern w:val="0"/>
                <w:sz w:val="24"/>
              </w:rPr>
              <w:t>合计</w:t>
            </w:r>
          </w:p>
        </w:tc>
        <w:tc>
          <w:tcPr>
            <w:tcW w:w="662" w:type="pct"/>
            <w:shd w:val="clear" w:color="auto" w:fill="auto"/>
            <w:vAlign w:val="center"/>
          </w:tcPr>
          <w:p>
            <w:pPr>
              <w:jc w:val="center"/>
              <w:rPr>
                <w:sz w:val="24"/>
              </w:rPr>
            </w:pPr>
            <w:r>
              <w:rPr>
                <w:rFonts w:hint="eastAsia"/>
                <w:sz w:val="24"/>
              </w:rPr>
              <w:t>19</w:t>
            </w:r>
          </w:p>
        </w:tc>
        <w:tc>
          <w:tcPr>
            <w:tcW w:w="661" w:type="pct"/>
            <w:shd w:val="clear" w:color="auto" w:fill="auto"/>
            <w:vAlign w:val="center"/>
          </w:tcPr>
          <w:p>
            <w:pPr>
              <w:jc w:val="center"/>
              <w:rPr>
                <w:sz w:val="24"/>
              </w:rPr>
            </w:pPr>
            <w:r>
              <w:rPr>
                <w:rFonts w:hint="eastAsia"/>
                <w:sz w:val="24"/>
              </w:rPr>
              <w:t>1</w:t>
            </w:r>
            <w:r>
              <w:rPr>
                <w:sz w:val="24"/>
              </w:rPr>
              <w:t>6</w:t>
            </w:r>
            <w:r>
              <w:rPr>
                <w:rFonts w:hint="eastAsia"/>
                <w:sz w:val="24"/>
              </w:rPr>
              <w:t>.90</w:t>
            </w:r>
          </w:p>
        </w:tc>
        <w:tc>
          <w:tcPr>
            <w:tcW w:w="799" w:type="pct"/>
            <w:shd w:val="clear" w:color="auto" w:fill="auto"/>
            <w:noWrap/>
            <w:vAlign w:val="center"/>
          </w:tcPr>
          <w:p>
            <w:pPr>
              <w:jc w:val="center"/>
              <w:rPr>
                <w:sz w:val="24"/>
              </w:rPr>
            </w:pPr>
            <w:r>
              <w:rPr>
                <w:sz w:val="24"/>
              </w:rPr>
              <w:t>88.95</w:t>
            </w:r>
            <w:r>
              <w:rPr>
                <w:rFonts w:hint="eastAsia"/>
                <w:sz w:val="24"/>
              </w:rPr>
              <w:t>%</w:t>
            </w:r>
          </w:p>
        </w:tc>
      </w:tr>
    </w:tbl>
    <w:p>
      <w:pPr>
        <w:pStyle w:val="18"/>
        <w:spacing w:line="240" w:lineRule="auto"/>
        <w:ind w:firstLineChars="0"/>
        <w:rPr>
          <w:sz w:val="32"/>
          <w:szCs w:val="32"/>
        </w:rPr>
      </w:pPr>
      <w:r>
        <w:rPr>
          <w:rFonts w:hint="eastAsia"/>
          <w:sz w:val="32"/>
          <w:szCs w:val="32"/>
        </w:rPr>
        <w:t>1.项目立项</w:t>
      </w:r>
    </w:p>
    <w:p>
      <w:pPr>
        <w:pStyle w:val="18"/>
        <w:spacing w:line="240" w:lineRule="auto"/>
        <w:ind w:firstLineChars="0"/>
        <w:rPr>
          <w:sz w:val="32"/>
          <w:szCs w:val="32"/>
        </w:rPr>
      </w:pPr>
      <w:r>
        <w:rPr>
          <w:rFonts w:hint="eastAsia"/>
          <w:sz w:val="32"/>
          <w:szCs w:val="32"/>
        </w:rPr>
        <w:t>项目立项指标分值5分，得分5分，得分率1</w:t>
      </w:r>
      <w:r>
        <w:rPr>
          <w:sz w:val="32"/>
          <w:szCs w:val="32"/>
        </w:rPr>
        <w:t>00</w:t>
      </w:r>
      <w:r>
        <w:rPr>
          <w:rFonts w:hint="eastAsia"/>
          <w:sz w:val="32"/>
          <w:szCs w:val="32"/>
        </w:rPr>
        <w:t>%。</w:t>
      </w:r>
    </w:p>
    <w:p>
      <w:pPr>
        <w:pStyle w:val="18"/>
        <w:spacing w:line="240" w:lineRule="auto"/>
        <w:ind w:firstLine="640" w:firstLineChars="0"/>
        <w:rPr>
          <w:sz w:val="32"/>
          <w:szCs w:val="32"/>
        </w:rPr>
      </w:pPr>
      <w:r>
        <w:rPr>
          <w:rFonts w:hint="eastAsia"/>
          <w:sz w:val="32"/>
          <w:szCs w:val="32"/>
        </w:rPr>
        <w:t>（1）立项依据充分性（3分）</w:t>
      </w:r>
    </w:p>
    <w:p>
      <w:pPr>
        <w:pStyle w:val="18"/>
        <w:spacing w:line="240" w:lineRule="auto"/>
        <w:ind w:firstLine="640" w:firstLineChars="0"/>
        <w:rPr>
          <w:sz w:val="32"/>
          <w:szCs w:val="32"/>
        </w:rPr>
      </w:pPr>
      <w:r>
        <w:rPr>
          <w:rFonts w:hint="eastAsia"/>
          <w:sz w:val="32"/>
          <w:szCs w:val="32"/>
        </w:rPr>
        <w:t>根据查阅相关资料、提供的项目相关背景资料，①项目的实施符合国家法律法规和国民经济发展规划，包括《中华人民共和国预算法》、《“十四五”职业技能培训规划》、《职业教育提质培优行动计划（2020-2023年）》等；②项目的实施符合行业发展规划和政策要求，包括《教育部河北省人民政府关于提升区域职业教育发展动能打造品质保定的实施意见》（冀政字〔2021〕61号）、《关于推动现代职业教育高质量发展的意见》、《河北省“十四五”职业技能培训规划》以及《国务院关于加快发展现代职业教育的决定》等；③现代职业教育质量提升项目的设立与教育和体育局职责范围相符，属于部门履职所需；④现代职业教育质量提升项目属于公共财政支持范围，符合中央、地方事权支出责任划分原则；⑤现代职业教育质量提升项目与相关部门同类项目或部门内部相关项目不重复。根据评分规则，该指标得100%权重分。</w:t>
      </w:r>
    </w:p>
    <w:p>
      <w:pPr>
        <w:pStyle w:val="18"/>
        <w:spacing w:line="240" w:lineRule="auto"/>
        <w:ind w:firstLine="640"/>
        <w:rPr>
          <w:sz w:val="32"/>
          <w:szCs w:val="32"/>
        </w:rPr>
      </w:pPr>
      <w:r>
        <w:rPr>
          <w:rFonts w:hint="eastAsia"/>
          <w:sz w:val="32"/>
          <w:szCs w:val="32"/>
        </w:rPr>
        <w:t>（2）立项程序规范性（2分）</w:t>
      </w:r>
    </w:p>
    <w:p>
      <w:pPr>
        <w:pStyle w:val="18"/>
        <w:spacing w:line="240" w:lineRule="auto"/>
        <w:ind w:firstLine="640"/>
        <w:rPr>
          <w:sz w:val="32"/>
          <w:szCs w:val="32"/>
        </w:rPr>
      </w:pPr>
      <w:r>
        <w:rPr>
          <w:rFonts w:hint="eastAsia"/>
          <w:sz w:val="32"/>
          <w:szCs w:val="32"/>
        </w:rPr>
        <w:t>根据获取的项目实施方案等资料，①该项目属于2022年现代职业教育质量提升计划中央补助资金项目，徐水区教育和体育局按照省级、市级文件要求制定具体的实施方案及发展规划，安排有关工作；②根据提供的资料和访谈内容，实施方案的审批文件、材料符合相关要求。根据评分规则，该指标得100%权重分。</w:t>
      </w:r>
    </w:p>
    <w:p>
      <w:pPr>
        <w:pStyle w:val="18"/>
        <w:spacing w:line="240" w:lineRule="auto"/>
        <w:ind w:firstLine="640"/>
        <w:rPr>
          <w:sz w:val="32"/>
          <w:szCs w:val="32"/>
        </w:rPr>
      </w:pPr>
      <w:r>
        <w:rPr>
          <w:rFonts w:hint="eastAsia"/>
          <w:sz w:val="32"/>
          <w:szCs w:val="32"/>
        </w:rPr>
        <w:t>2</w:t>
      </w:r>
      <w:r>
        <w:rPr>
          <w:sz w:val="32"/>
          <w:szCs w:val="32"/>
        </w:rPr>
        <w:t>.</w:t>
      </w:r>
      <w:r>
        <w:rPr>
          <w:rFonts w:hint="eastAsia"/>
          <w:sz w:val="32"/>
          <w:szCs w:val="32"/>
        </w:rPr>
        <w:t>绩效目标</w:t>
      </w:r>
    </w:p>
    <w:p>
      <w:pPr>
        <w:pStyle w:val="18"/>
        <w:spacing w:line="240" w:lineRule="auto"/>
        <w:ind w:firstLine="640"/>
        <w:rPr>
          <w:sz w:val="32"/>
          <w:szCs w:val="32"/>
        </w:rPr>
      </w:pPr>
      <w:r>
        <w:rPr>
          <w:rFonts w:hint="eastAsia"/>
          <w:sz w:val="32"/>
          <w:szCs w:val="32"/>
        </w:rPr>
        <w:t>绩效目标指标分值6分，得分3</w:t>
      </w:r>
      <w:r>
        <w:rPr>
          <w:sz w:val="32"/>
          <w:szCs w:val="32"/>
        </w:rPr>
        <w:t>.9</w:t>
      </w:r>
      <w:r>
        <w:rPr>
          <w:rFonts w:hint="eastAsia"/>
          <w:sz w:val="32"/>
          <w:szCs w:val="32"/>
        </w:rPr>
        <w:t>分，得分率6</w:t>
      </w:r>
      <w:r>
        <w:rPr>
          <w:sz w:val="32"/>
          <w:szCs w:val="32"/>
        </w:rPr>
        <w:t>5</w:t>
      </w:r>
      <w:r>
        <w:rPr>
          <w:rFonts w:hint="eastAsia"/>
          <w:sz w:val="32"/>
          <w:szCs w:val="32"/>
        </w:rPr>
        <w:t>%。</w:t>
      </w:r>
    </w:p>
    <w:p>
      <w:pPr>
        <w:pStyle w:val="18"/>
        <w:spacing w:line="240" w:lineRule="auto"/>
        <w:ind w:firstLine="640"/>
        <w:rPr>
          <w:sz w:val="32"/>
          <w:szCs w:val="32"/>
        </w:rPr>
      </w:pPr>
      <w:r>
        <w:rPr>
          <w:rFonts w:hint="eastAsia"/>
          <w:sz w:val="32"/>
          <w:szCs w:val="32"/>
        </w:rPr>
        <w:t>（1）绩效目标合理性（3分）</w:t>
      </w:r>
    </w:p>
    <w:p>
      <w:pPr>
        <w:pStyle w:val="18"/>
        <w:spacing w:line="240" w:lineRule="auto"/>
        <w:ind w:firstLine="640"/>
        <w:rPr>
          <w:sz w:val="32"/>
          <w:szCs w:val="32"/>
        </w:rPr>
      </w:pPr>
      <w:r>
        <w:rPr>
          <w:rFonts w:hint="eastAsia"/>
          <w:sz w:val="32"/>
          <w:szCs w:val="32"/>
        </w:rPr>
        <w:t>根据项目绩效目标申报表、绩效目标自评表，①教育和体育局职业教育中心为做好质量提升项目的实施工作，根据《河北省现代职业教育发展专项资金管理办法》（冀财教〔2020〕87号）设置并申报了绩效目标表；②项目绩效目标设置了中长期及年度预期目标：通过开展2022年现代职业教育质量提升项目，购置教学仪器设备，顺利完成教育教学活动和其他教学任务，提高办学条件，提升教学质量。为达到目标设置了数量、质量、时效、成本、效益、满意度指标，但未涵盖所有质量提升项目的子项目的绩效指标，绩效目标与实际工作内容较为相关，扣40%权重分；③项目预期产出效益和效果符合正常的业绩水平。根据评分标准，该指标得60%权重分。</w:t>
      </w:r>
    </w:p>
    <w:p>
      <w:pPr>
        <w:pStyle w:val="18"/>
        <w:spacing w:line="240" w:lineRule="auto"/>
        <w:ind w:firstLine="640"/>
        <w:rPr>
          <w:sz w:val="32"/>
          <w:szCs w:val="32"/>
        </w:rPr>
      </w:pPr>
      <w:r>
        <w:rPr>
          <w:rFonts w:hint="eastAsia"/>
          <w:sz w:val="32"/>
          <w:szCs w:val="32"/>
        </w:rPr>
        <w:t>（2）绩效指标明确性（3分）</w:t>
      </w:r>
    </w:p>
    <w:p>
      <w:pPr>
        <w:pStyle w:val="18"/>
        <w:spacing w:line="240" w:lineRule="auto"/>
        <w:ind w:firstLine="640"/>
        <w:rPr>
          <w:sz w:val="32"/>
          <w:szCs w:val="32"/>
        </w:rPr>
      </w:pPr>
      <w:r>
        <w:rPr>
          <w:sz w:val="32"/>
          <w:szCs w:val="32"/>
        </w:rPr>
        <w:t>根据项目绩效目标申报表、绩效目标自评表，</w:t>
      </w:r>
      <w:r>
        <w:rPr>
          <w:rFonts w:hint="eastAsia" w:ascii="宋体" w:hAnsi="宋体" w:eastAsia="宋体" w:cs="宋体"/>
          <w:sz w:val="32"/>
          <w:szCs w:val="32"/>
        </w:rPr>
        <w:t>①</w:t>
      </w:r>
      <w:r>
        <w:rPr>
          <w:sz w:val="32"/>
          <w:szCs w:val="32"/>
        </w:rPr>
        <w:t>项目的绩效目标细化分解为数量、时效、成本、质量、社会效益、满意度指标，但徐水区职业教育中心质量提升项目存在多个子项目，在数量、成本等指标未细化分解为子项目的具体指标，扣30%权重分；</w:t>
      </w:r>
      <w:r>
        <w:rPr>
          <w:rFonts w:hint="eastAsia" w:ascii="宋体" w:hAnsi="宋体" w:eastAsia="宋体" w:cs="宋体"/>
          <w:sz w:val="32"/>
          <w:szCs w:val="32"/>
        </w:rPr>
        <w:t>②</w:t>
      </w:r>
      <w:r>
        <w:rPr>
          <w:sz w:val="32"/>
          <w:szCs w:val="32"/>
        </w:rPr>
        <w:t>项目通过清晰、可衡量的指标值体现绩效目标；</w:t>
      </w:r>
      <w:r>
        <w:rPr>
          <w:rFonts w:hint="eastAsia" w:ascii="宋体" w:hAnsi="宋体" w:eastAsia="宋体" w:cs="宋体"/>
          <w:sz w:val="32"/>
          <w:szCs w:val="32"/>
        </w:rPr>
        <w:t>③</w:t>
      </w:r>
      <w:r>
        <w:rPr>
          <w:sz w:val="32"/>
          <w:szCs w:val="32"/>
        </w:rPr>
        <w:t>与项目目标任务数或计划数相对应。根据评分规则，该指标得70%权重分。</w:t>
      </w:r>
    </w:p>
    <w:p>
      <w:pPr>
        <w:pStyle w:val="18"/>
        <w:spacing w:line="240" w:lineRule="auto"/>
        <w:ind w:firstLine="640"/>
        <w:rPr>
          <w:sz w:val="32"/>
          <w:szCs w:val="32"/>
        </w:rPr>
      </w:pPr>
      <w:r>
        <w:rPr>
          <w:rFonts w:hint="eastAsia"/>
          <w:sz w:val="32"/>
          <w:szCs w:val="32"/>
        </w:rPr>
        <w:t>3</w:t>
      </w:r>
      <w:r>
        <w:rPr>
          <w:sz w:val="32"/>
          <w:szCs w:val="32"/>
        </w:rPr>
        <w:t>.</w:t>
      </w:r>
      <w:r>
        <w:rPr>
          <w:rFonts w:hint="eastAsia"/>
          <w:sz w:val="32"/>
          <w:szCs w:val="32"/>
        </w:rPr>
        <w:t>资金投入</w:t>
      </w:r>
    </w:p>
    <w:p>
      <w:pPr>
        <w:pStyle w:val="18"/>
        <w:spacing w:line="240" w:lineRule="auto"/>
        <w:ind w:firstLine="640"/>
        <w:rPr>
          <w:sz w:val="32"/>
          <w:szCs w:val="32"/>
        </w:rPr>
      </w:pPr>
      <w:r>
        <w:rPr>
          <w:rFonts w:hint="eastAsia"/>
          <w:sz w:val="32"/>
          <w:szCs w:val="32"/>
        </w:rPr>
        <w:t>资金投入指标分值8分，得分</w:t>
      </w:r>
      <w:r>
        <w:rPr>
          <w:sz w:val="32"/>
          <w:szCs w:val="32"/>
        </w:rPr>
        <w:t>8</w:t>
      </w:r>
      <w:r>
        <w:rPr>
          <w:rFonts w:hint="eastAsia"/>
          <w:sz w:val="32"/>
          <w:szCs w:val="32"/>
        </w:rPr>
        <w:t>分，得分率</w:t>
      </w:r>
      <w:r>
        <w:rPr>
          <w:sz w:val="32"/>
          <w:szCs w:val="32"/>
        </w:rPr>
        <w:t>100</w:t>
      </w:r>
      <w:r>
        <w:rPr>
          <w:rFonts w:hint="eastAsia"/>
          <w:sz w:val="32"/>
          <w:szCs w:val="32"/>
        </w:rPr>
        <w:t>%。</w:t>
      </w:r>
    </w:p>
    <w:p>
      <w:pPr>
        <w:pStyle w:val="18"/>
        <w:spacing w:line="240" w:lineRule="auto"/>
        <w:ind w:firstLine="640"/>
        <w:rPr>
          <w:sz w:val="32"/>
          <w:szCs w:val="32"/>
        </w:rPr>
      </w:pPr>
      <w:r>
        <w:rPr>
          <w:rFonts w:hint="eastAsia"/>
          <w:sz w:val="32"/>
          <w:szCs w:val="32"/>
        </w:rPr>
        <w:t>（1）预算编制科学性（4分）</w:t>
      </w:r>
    </w:p>
    <w:p>
      <w:pPr>
        <w:pStyle w:val="18"/>
        <w:spacing w:line="240" w:lineRule="auto"/>
        <w:ind w:firstLine="640"/>
        <w:rPr>
          <w:sz w:val="32"/>
          <w:szCs w:val="32"/>
        </w:rPr>
      </w:pPr>
      <w:r>
        <w:rPr>
          <w:rFonts w:hint="eastAsia"/>
          <w:sz w:val="32"/>
          <w:szCs w:val="32"/>
        </w:rPr>
        <w:t>根据《河北省现代职业教育发展专项资金管理办法》（冀财教〔2020〕87号）及资金下达文件，徐水区职业教育中心质量提升项目资金为市级财政对区县直接下达的预算资金，采用因素法、项目法分配预算资金，①预算编制经过科学论证；②预算内容与项目内容匹配；③预算额度测算依据充分，按照标准编制；④根据项目的支出计划、采购合同及验收报告，预算资金量与实际工作任务相匹配。根据评分规则，该指标得100%权重分。</w:t>
      </w:r>
    </w:p>
    <w:p>
      <w:pPr>
        <w:pStyle w:val="18"/>
        <w:spacing w:line="240" w:lineRule="auto"/>
        <w:ind w:firstLine="640"/>
        <w:rPr>
          <w:sz w:val="32"/>
          <w:szCs w:val="32"/>
        </w:rPr>
      </w:pPr>
      <w:r>
        <w:rPr>
          <w:rFonts w:hint="eastAsia"/>
          <w:sz w:val="32"/>
          <w:szCs w:val="32"/>
        </w:rPr>
        <w:t>（2）资金分配合理性（4分）</w:t>
      </w:r>
    </w:p>
    <w:p>
      <w:pPr>
        <w:pStyle w:val="18"/>
        <w:spacing w:line="240" w:lineRule="auto"/>
        <w:ind w:firstLine="640"/>
        <w:rPr>
          <w:sz w:val="32"/>
          <w:szCs w:val="32"/>
        </w:rPr>
      </w:pPr>
      <w:r>
        <w:rPr>
          <w:rFonts w:hint="eastAsia"/>
          <w:sz w:val="32"/>
          <w:szCs w:val="32"/>
        </w:rPr>
        <w:t>根据《河北省现代职业教育发展专项资金管理办法》（冀财教〔2020〕87号）、资金分配因素文件以及访谈了解，①根据支出计划等资料，预算资金按照审批程序和权限分配，实施科学决策、集体研究，分配依据充分；②根据资金分配因素文件，资金分配额度与项目单位或地方实际相适应。根据评分规则，该指标得100%权重分。</w:t>
      </w:r>
    </w:p>
    <w:p>
      <w:pPr>
        <w:pStyle w:val="4"/>
        <w:spacing w:line="240" w:lineRule="auto"/>
        <w:rPr>
          <w:szCs w:val="32"/>
        </w:rPr>
      </w:pPr>
      <w:bookmarkStart w:id="12" w:name="_Toc142381560"/>
      <w:r>
        <w:rPr>
          <w:rFonts w:hint="eastAsia"/>
          <w:szCs w:val="32"/>
        </w:rPr>
        <w:t>（二）项目过程情况</w:t>
      </w:r>
      <w:bookmarkEnd w:id="12"/>
    </w:p>
    <w:p>
      <w:pPr>
        <w:pStyle w:val="18"/>
        <w:spacing w:line="240" w:lineRule="auto"/>
        <w:ind w:firstLine="640"/>
        <w:rPr>
          <w:sz w:val="32"/>
          <w:szCs w:val="32"/>
        </w:rPr>
      </w:pPr>
      <w:r>
        <w:rPr>
          <w:rFonts w:hint="eastAsia"/>
          <w:sz w:val="32"/>
          <w:szCs w:val="32"/>
        </w:rPr>
        <w:t>项目过程类指标共分5个三级指标，权重共11分，实际得分11.00分，得分率为100.00%，各指标得分见表5。</w:t>
      </w:r>
    </w:p>
    <w:p>
      <w:pPr>
        <w:pStyle w:val="18"/>
        <w:spacing w:line="240" w:lineRule="auto"/>
        <w:ind w:firstLine="0" w:firstLineChars="0"/>
        <w:jc w:val="center"/>
        <w:rPr>
          <w:b/>
          <w:bCs/>
        </w:rPr>
      </w:pPr>
      <w:r>
        <w:rPr>
          <w:rFonts w:hint="eastAsia"/>
          <w:b/>
          <w:bCs/>
        </w:rPr>
        <w:t>表5 项目过程类指标得分情况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2"/>
        <w:gridCol w:w="1558"/>
        <w:gridCol w:w="1509"/>
        <w:gridCol w:w="1091"/>
        <w:gridCol w:w="1088"/>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1145" w:type="pct"/>
            <w:shd w:val="clear" w:color="auto" w:fill="E7E6E6" w:themeFill="background2"/>
            <w:vAlign w:val="center"/>
          </w:tcPr>
          <w:p>
            <w:pPr>
              <w:widowControl/>
              <w:jc w:val="center"/>
              <w:rPr>
                <w:b/>
                <w:bCs/>
                <w:color w:val="000000"/>
                <w:kern w:val="0"/>
                <w:sz w:val="28"/>
                <w:szCs w:val="28"/>
              </w:rPr>
            </w:pPr>
            <w:r>
              <w:rPr>
                <w:rFonts w:hint="eastAsia"/>
                <w:b/>
                <w:bCs/>
                <w:color w:val="000000"/>
                <w:kern w:val="0"/>
                <w:sz w:val="28"/>
                <w:szCs w:val="28"/>
              </w:rPr>
              <w:t>三级指标</w:t>
            </w:r>
          </w:p>
        </w:tc>
        <w:tc>
          <w:tcPr>
            <w:tcW w:w="914" w:type="pct"/>
            <w:shd w:val="clear" w:color="auto" w:fill="E7E6E6" w:themeFill="background2"/>
          </w:tcPr>
          <w:p>
            <w:pPr>
              <w:widowControl/>
              <w:jc w:val="center"/>
              <w:rPr>
                <w:b/>
                <w:bCs/>
                <w:color w:val="000000"/>
                <w:kern w:val="0"/>
                <w:sz w:val="28"/>
                <w:szCs w:val="28"/>
              </w:rPr>
            </w:pPr>
            <w:r>
              <w:rPr>
                <w:rFonts w:hint="eastAsia"/>
                <w:b/>
                <w:bCs/>
                <w:sz w:val="28"/>
                <w:szCs w:val="28"/>
              </w:rPr>
              <w:t>目标值</w:t>
            </w:r>
          </w:p>
        </w:tc>
        <w:tc>
          <w:tcPr>
            <w:tcW w:w="885" w:type="pct"/>
            <w:shd w:val="clear" w:color="auto" w:fill="E7E6E6" w:themeFill="background2"/>
          </w:tcPr>
          <w:p>
            <w:pPr>
              <w:widowControl/>
              <w:jc w:val="center"/>
              <w:rPr>
                <w:b/>
                <w:bCs/>
                <w:color w:val="000000"/>
                <w:kern w:val="0"/>
                <w:sz w:val="28"/>
                <w:szCs w:val="28"/>
              </w:rPr>
            </w:pPr>
            <w:r>
              <w:rPr>
                <w:rFonts w:hint="eastAsia"/>
                <w:b/>
                <w:bCs/>
                <w:sz w:val="28"/>
                <w:szCs w:val="28"/>
              </w:rPr>
              <w:t>业绩值</w:t>
            </w:r>
          </w:p>
        </w:tc>
        <w:tc>
          <w:tcPr>
            <w:tcW w:w="640" w:type="pct"/>
            <w:shd w:val="clear" w:color="auto" w:fill="E7E6E6" w:themeFill="background2"/>
          </w:tcPr>
          <w:p>
            <w:pPr>
              <w:widowControl/>
              <w:jc w:val="center"/>
              <w:rPr>
                <w:b/>
                <w:bCs/>
                <w:color w:val="000000"/>
                <w:kern w:val="0"/>
                <w:sz w:val="28"/>
                <w:szCs w:val="28"/>
              </w:rPr>
            </w:pPr>
            <w:r>
              <w:rPr>
                <w:rFonts w:hint="eastAsia"/>
                <w:b/>
                <w:bCs/>
                <w:sz w:val="28"/>
                <w:szCs w:val="28"/>
              </w:rPr>
              <w:t>权重</w:t>
            </w:r>
          </w:p>
        </w:tc>
        <w:tc>
          <w:tcPr>
            <w:tcW w:w="638" w:type="pct"/>
            <w:shd w:val="clear" w:color="auto" w:fill="E7E6E6" w:themeFill="background2"/>
          </w:tcPr>
          <w:p>
            <w:pPr>
              <w:widowControl/>
              <w:jc w:val="center"/>
              <w:rPr>
                <w:b/>
                <w:bCs/>
                <w:color w:val="000000"/>
                <w:kern w:val="0"/>
                <w:sz w:val="28"/>
                <w:szCs w:val="28"/>
              </w:rPr>
            </w:pPr>
            <w:r>
              <w:rPr>
                <w:rFonts w:hint="eastAsia"/>
                <w:b/>
                <w:bCs/>
                <w:sz w:val="28"/>
                <w:szCs w:val="28"/>
              </w:rPr>
              <w:t>得分</w:t>
            </w:r>
          </w:p>
        </w:tc>
        <w:tc>
          <w:tcPr>
            <w:tcW w:w="776" w:type="pct"/>
            <w:shd w:val="clear" w:color="auto" w:fill="E7E6E6" w:themeFill="background2"/>
          </w:tcPr>
          <w:p>
            <w:pPr>
              <w:widowControl/>
              <w:jc w:val="center"/>
              <w:rPr>
                <w:b/>
                <w:bCs/>
                <w:color w:val="000000"/>
                <w:kern w:val="0"/>
                <w:sz w:val="28"/>
                <w:szCs w:val="28"/>
              </w:rPr>
            </w:pPr>
            <w:r>
              <w:rPr>
                <w:rFonts w:hint="eastAsia"/>
                <w:b/>
                <w:bCs/>
                <w:sz w:val="28"/>
                <w:szCs w:val="28"/>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45" w:type="pct"/>
            <w:shd w:val="clear" w:color="auto" w:fill="auto"/>
            <w:vAlign w:val="center"/>
          </w:tcPr>
          <w:p>
            <w:pPr>
              <w:widowControl/>
              <w:jc w:val="center"/>
              <w:rPr>
                <w:color w:val="000000"/>
                <w:kern w:val="0"/>
                <w:sz w:val="24"/>
              </w:rPr>
            </w:pPr>
            <w:r>
              <w:rPr>
                <w:rFonts w:hint="eastAsia"/>
                <w:color w:val="000000"/>
                <w:sz w:val="24"/>
              </w:rPr>
              <w:t>资金到位率</w:t>
            </w:r>
          </w:p>
        </w:tc>
        <w:tc>
          <w:tcPr>
            <w:tcW w:w="914" w:type="pct"/>
            <w:shd w:val="clear" w:color="auto" w:fill="auto"/>
            <w:vAlign w:val="center"/>
          </w:tcPr>
          <w:p>
            <w:pPr>
              <w:jc w:val="center"/>
              <w:rPr>
                <w:sz w:val="24"/>
              </w:rPr>
            </w:pPr>
            <w:r>
              <w:rPr>
                <w:rFonts w:hint="eastAsia"/>
                <w:sz w:val="24"/>
              </w:rPr>
              <w:t>100%</w:t>
            </w:r>
          </w:p>
        </w:tc>
        <w:tc>
          <w:tcPr>
            <w:tcW w:w="885" w:type="pct"/>
            <w:shd w:val="clear" w:color="auto" w:fill="auto"/>
            <w:vAlign w:val="center"/>
          </w:tcPr>
          <w:p>
            <w:pPr>
              <w:jc w:val="center"/>
              <w:rPr>
                <w:sz w:val="24"/>
              </w:rPr>
            </w:pPr>
            <w:r>
              <w:rPr>
                <w:rFonts w:hint="eastAsia"/>
                <w:sz w:val="24"/>
              </w:rPr>
              <w:t>100%</w:t>
            </w:r>
          </w:p>
        </w:tc>
        <w:tc>
          <w:tcPr>
            <w:tcW w:w="640" w:type="pct"/>
            <w:shd w:val="clear" w:color="auto" w:fill="auto"/>
            <w:vAlign w:val="center"/>
          </w:tcPr>
          <w:p>
            <w:pPr>
              <w:jc w:val="center"/>
              <w:rPr>
                <w:sz w:val="24"/>
              </w:rPr>
            </w:pPr>
            <w:r>
              <w:rPr>
                <w:rFonts w:hint="eastAsia"/>
                <w:sz w:val="24"/>
              </w:rPr>
              <w:t>2</w:t>
            </w:r>
          </w:p>
        </w:tc>
        <w:tc>
          <w:tcPr>
            <w:tcW w:w="638" w:type="pct"/>
            <w:shd w:val="clear" w:color="auto" w:fill="auto"/>
            <w:vAlign w:val="center"/>
          </w:tcPr>
          <w:p>
            <w:pPr>
              <w:jc w:val="center"/>
              <w:rPr>
                <w:sz w:val="24"/>
              </w:rPr>
            </w:pPr>
            <w:r>
              <w:rPr>
                <w:rFonts w:hint="eastAsia"/>
                <w:sz w:val="24"/>
              </w:rPr>
              <w:t>2.00</w:t>
            </w:r>
          </w:p>
        </w:tc>
        <w:tc>
          <w:tcPr>
            <w:tcW w:w="776"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45" w:type="pct"/>
            <w:shd w:val="clear" w:color="auto" w:fill="auto"/>
            <w:vAlign w:val="center"/>
          </w:tcPr>
          <w:p>
            <w:pPr>
              <w:widowControl/>
              <w:jc w:val="center"/>
              <w:rPr>
                <w:color w:val="000000"/>
                <w:kern w:val="0"/>
                <w:sz w:val="24"/>
              </w:rPr>
            </w:pPr>
            <w:r>
              <w:rPr>
                <w:rFonts w:hint="eastAsia"/>
                <w:color w:val="000000"/>
                <w:sz w:val="24"/>
              </w:rPr>
              <w:t>预算执行率</w:t>
            </w:r>
          </w:p>
        </w:tc>
        <w:tc>
          <w:tcPr>
            <w:tcW w:w="914" w:type="pct"/>
            <w:shd w:val="clear" w:color="auto" w:fill="auto"/>
            <w:vAlign w:val="center"/>
          </w:tcPr>
          <w:p>
            <w:pPr>
              <w:jc w:val="center"/>
              <w:rPr>
                <w:sz w:val="24"/>
              </w:rPr>
            </w:pPr>
            <w:r>
              <w:rPr>
                <w:rFonts w:hint="eastAsia"/>
                <w:sz w:val="24"/>
              </w:rPr>
              <w:t>100%</w:t>
            </w:r>
          </w:p>
        </w:tc>
        <w:tc>
          <w:tcPr>
            <w:tcW w:w="885" w:type="pct"/>
            <w:shd w:val="clear" w:color="auto" w:fill="auto"/>
            <w:vAlign w:val="center"/>
          </w:tcPr>
          <w:p>
            <w:pPr>
              <w:jc w:val="center"/>
              <w:rPr>
                <w:sz w:val="24"/>
              </w:rPr>
            </w:pPr>
            <w:r>
              <w:rPr>
                <w:rFonts w:hint="eastAsia"/>
                <w:sz w:val="24"/>
              </w:rPr>
              <w:t>100%</w:t>
            </w:r>
          </w:p>
        </w:tc>
        <w:tc>
          <w:tcPr>
            <w:tcW w:w="640" w:type="pct"/>
            <w:shd w:val="clear" w:color="auto" w:fill="auto"/>
            <w:vAlign w:val="center"/>
          </w:tcPr>
          <w:p>
            <w:pPr>
              <w:jc w:val="center"/>
              <w:rPr>
                <w:sz w:val="24"/>
              </w:rPr>
            </w:pPr>
            <w:r>
              <w:rPr>
                <w:rFonts w:hint="eastAsia"/>
                <w:sz w:val="24"/>
              </w:rPr>
              <w:t>2</w:t>
            </w:r>
          </w:p>
        </w:tc>
        <w:tc>
          <w:tcPr>
            <w:tcW w:w="638" w:type="pct"/>
            <w:shd w:val="clear" w:color="auto" w:fill="auto"/>
            <w:vAlign w:val="center"/>
          </w:tcPr>
          <w:p>
            <w:pPr>
              <w:jc w:val="center"/>
              <w:rPr>
                <w:sz w:val="24"/>
              </w:rPr>
            </w:pPr>
            <w:r>
              <w:rPr>
                <w:rFonts w:hint="eastAsia"/>
                <w:sz w:val="24"/>
              </w:rPr>
              <w:t>2.40</w:t>
            </w:r>
          </w:p>
        </w:tc>
        <w:tc>
          <w:tcPr>
            <w:tcW w:w="776"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45" w:type="pct"/>
            <w:shd w:val="clear" w:color="auto" w:fill="auto"/>
            <w:vAlign w:val="center"/>
          </w:tcPr>
          <w:p>
            <w:pPr>
              <w:widowControl/>
              <w:jc w:val="center"/>
              <w:rPr>
                <w:color w:val="000000"/>
                <w:kern w:val="0"/>
                <w:sz w:val="24"/>
              </w:rPr>
            </w:pPr>
            <w:r>
              <w:rPr>
                <w:rFonts w:hint="eastAsia"/>
                <w:color w:val="000000"/>
                <w:sz w:val="24"/>
              </w:rPr>
              <w:t>资金使用合规性</w:t>
            </w:r>
          </w:p>
        </w:tc>
        <w:tc>
          <w:tcPr>
            <w:tcW w:w="914" w:type="pct"/>
            <w:shd w:val="clear" w:color="auto" w:fill="auto"/>
            <w:vAlign w:val="center"/>
          </w:tcPr>
          <w:p>
            <w:pPr>
              <w:widowControl/>
              <w:jc w:val="center"/>
              <w:rPr>
                <w:color w:val="000000"/>
                <w:kern w:val="0"/>
                <w:sz w:val="24"/>
              </w:rPr>
            </w:pPr>
            <w:r>
              <w:rPr>
                <w:rFonts w:hint="eastAsia"/>
                <w:color w:val="000000"/>
                <w:sz w:val="24"/>
              </w:rPr>
              <w:t>合规</w:t>
            </w:r>
          </w:p>
        </w:tc>
        <w:tc>
          <w:tcPr>
            <w:tcW w:w="885" w:type="pct"/>
            <w:shd w:val="clear" w:color="auto" w:fill="auto"/>
            <w:vAlign w:val="center"/>
          </w:tcPr>
          <w:p>
            <w:pPr>
              <w:widowControl/>
              <w:jc w:val="center"/>
              <w:rPr>
                <w:color w:val="000000"/>
                <w:kern w:val="0"/>
                <w:sz w:val="24"/>
              </w:rPr>
            </w:pPr>
            <w:r>
              <w:rPr>
                <w:rFonts w:hint="eastAsia"/>
                <w:color w:val="000000"/>
                <w:sz w:val="24"/>
              </w:rPr>
              <w:t>合规</w:t>
            </w:r>
          </w:p>
        </w:tc>
        <w:tc>
          <w:tcPr>
            <w:tcW w:w="640" w:type="pct"/>
            <w:shd w:val="clear" w:color="auto" w:fill="auto"/>
            <w:vAlign w:val="center"/>
          </w:tcPr>
          <w:p>
            <w:pPr>
              <w:jc w:val="center"/>
              <w:rPr>
                <w:sz w:val="24"/>
              </w:rPr>
            </w:pPr>
            <w:r>
              <w:rPr>
                <w:rFonts w:hint="eastAsia"/>
                <w:sz w:val="24"/>
              </w:rPr>
              <w:t>2</w:t>
            </w:r>
          </w:p>
        </w:tc>
        <w:tc>
          <w:tcPr>
            <w:tcW w:w="638" w:type="pct"/>
            <w:shd w:val="clear" w:color="auto" w:fill="auto"/>
            <w:vAlign w:val="center"/>
          </w:tcPr>
          <w:p>
            <w:pPr>
              <w:jc w:val="center"/>
              <w:rPr>
                <w:sz w:val="24"/>
              </w:rPr>
            </w:pPr>
            <w:r>
              <w:rPr>
                <w:rFonts w:hint="eastAsia"/>
                <w:sz w:val="24"/>
              </w:rPr>
              <w:t>2.00</w:t>
            </w:r>
          </w:p>
        </w:tc>
        <w:tc>
          <w:tcPr>
            <w:tcW w:w="776"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45" w:type="pct"/>
            <w:shd w:val="clear" w:color="auto" w:fill="auto"/>
            <w:vAlign w:val="center"/>
          </w:tcPr>
          <w:p>
            <w:pPr>
              <w:widowControl/>
              <w:jc w:val="center"/>
              <w:rPr>
                <w:color w:val="000000"/>
                <w:kern w:val="0"/>
                <w:sz w:val="24"/>
              </w:rPr>
            </w:pPr>
            <w:r>
              <w:rPr>
                <w:rFonts w:hint="eastAsia"/>
                <w:color w:val="000000"/>
                <w:sz w:val="24"/>
              </w:rPr>
              <w:t>管理制度健全性</w:t>
            </w:r>
          </w:p>
        </w:tc>
        <w:tc>
          <w:tcPr>
            <w:tcW w:w="914" w:type="pct"/>
            <w:shd w:val="clear" w:color="auto" w:fill="auto"/>
            <w:vAlign w:val="center"/>
          </w:tcPr>
          <w:p>
            <w:pPr>
              <w:widowControl/>
              <w:jc w:val="center"/>
              <w:rPr>
                <w:color w:val="000000"/>
                <w:kern w:val="0"/>
                <w:sz w:val="24"/>
              </w:rPr>
            </w:pPr>
            <w:r>
              <w:rPr>
                <w:rFonts w:hint="eastAsia"/>
                <w:color w:val="000000"/>
                <w:sz w:val="24"/>
              </w:rPr>
              <w:t>健全</w:t>
            </w:r>
          </w:p>
        </w:tc>
        <w:tc>
          <w:tcPr>
            <w:tcW w:w="885" w:type="pct"/>
            <w:shd w:val="clear" w:color="auto" w:fill="auto"/>
            <w:vAlign w:val="center"/>
          </w:tcPr>
          <w:p>
            <w:pPr>
              <w:widowControl/>
              <w:jc w:val="center"/>
              <w:rPr>
                <w:color w:val="000000"/>
                <w:kern w:val="0"/>
                <w:sz w:val="24"/>
              </w:rPr>
            </w:pPr>
            <w:r>
              <w:rPr>
                <w:rFonts w:hint="eastAsia"/>
                <w:color w:val="000000"/>
                <w:sz w:val="24"/>
              </w:rPr>
              <w:t>健全</w:t>
            </w:r>
          </w:p>
        </w:tc>
        <w:tc>
          <w:tcPr>
            <w:tcW w:w="640" w:type="pct"/>
            <w:shd w:val="clear" w:color="auto" w:fill="auto"/>
            <w:vAlign w:val="center"/>
          </w:tcPr>
          <w:p>
            <w:pPr>
              <w:jc w:val="center"/>
              <w:rPr>
                <w:sz w:val="24"/>
              </w:rPr>
            </w:pPr>
            <w:r>
              <w:rPr>
                <w:rFonts w:hint="eastAsia"/>
                <w:sz w:val="24"/>
              </w:rPr>
              <w:t>2</w:t>
            </w:r>
          </w:p>
        </w:tc>
        <w:tc>
          <w:tcPr>
            <w:tcW w:w="638" w:type="pct"/>
            <w:shd w:val="clear" w:color="auto" w:fill="auto"/>
            <w:vAlign w:val="center"/>
          </w:tcPr>
          <w:p>
            <w:pPr>
              <w:jc w:val="center"/>
              <w:rPr>
                <w:sz w:val="24"/>
              </w:rPr>
            </w:pPr>
            <w:r>
              <w:rPr>
                <w:rFonts w:hint="eastAsia"/>
                <w:sz w:val="24"/>
              </w:rPr>
              <w:t>2.00</w:t>
            </w:r>
          </w:p>
        </w:tc>
        <w:tc>
          <w:tcPr>
            <w:tcW w:w="776"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145" w:type="pct"/>
            <w:shd w:val="clear" w:color="auto" w:fill="auto"/>
            <w:vAlign w:val="center"/>
          </w:tcPr>
          <w:p>
            <w:pPr>
              <w:widowControl/>
              <w:jc w:val="center"/>
              <w:rPr>
                <w:color w:val="000000"/>
                <w:kern w:val="0"/>
                <w:sz w:val="24"/>
              </w:rPr>
            </w:pPr>
            <w:r>
              <w:rPr>
                <w:rFonts w:hint="eastAsia"/>
                <w:color w:val="000000"/>
                <w:sz w:val="24"/>
              </w:rPr>
              <w:t>制度执行有效性</w:t>
            </w:r>
          </w:p>
        </w:tc>
        <w:tc>
          <w:tcPr>
            <w:tcW w:w="914" w:type="pct"/>
            <w:shd w:val="clear" w:color="auto" w:fill="auto"/>
            <w:vAlign w:val="center"/>
          </w:tcPr>
          <w:p>
            <w:pPr>
              <w:widowControl/>
              <w:jc w:val="center"/>
              <w:rPr>
                <w:color w:val="000000"/>
                <w:kern w:val="0"/>
                <w:sz w:val="24"/>
              </w:rPr>
            </w:pPr>
            <w:r>
              <w:rPr>
                <w:rFonts w:hint="eastAsia"/>
                <w:color w:val="000000"/>
                <w:sz w:val="24"/>
              </w:rPr>
              <w:t>有效</w:t>
            </w:r>
          </w:p>
        </w:tc>
        <w:tc>
          <w:tcPr>
            <w:tcW w:w="885" w:type="pct"/>
            <w:shd w:val="clear" w:color="auto" w:fill="auto"/>
            <w:vAlign w:val="center"/>
          </w:tcPr>
          <w:p>
            <w:pPr>
              <w:widowControl/>
              <w:jc w:val="center"/>
              <w:rPr>
                <w:color w:val="000000"/>
                <w:kern w:val="0"/>
                <w:sz w:val="24"/>
              </w:rPr>
            </w:pPr>
            <w:r>
              <w:rPr>
                <w:rFonts w:hint="eastAsia"/>
                <w:color w:val="000000"/>
                <w:sz w:val="24"/>
              </w:rPr>
              <w:t>有效</w:t>
            </w:r>
          </w:p>
        </w:tc>
        <w:tc>
          <w:tcPr>
            <w:tcW w:w="640" w:type="pct"/>
            <w:shd w:val="clear" w:color="auto" w:fill="auto"/>
            <w:vAlign w:val="center"/>
          </w:tcPr>
          <w:p>
            <w:pPr>
              <w:jc w:val="center"/>
              <w:rPr>
                <w:sz w:val="24"/>
              </w:rPr>
            </w:pPr>
            <w:r>
              <w:rPr>
                <w:rFonts w:hint="eastAsia"/>
                <w:sz w:val="24"/>
              </w:rPr>
              <w:t>3</w:t>
            </w:r>
          </w:p>
        </w:tc>
        <w:tc>
          <w:tcPr>
            <w:tcW w:w="638" w:type="pct"/>
            <w:shd w:val="clear" w:color="auto" w:fill="auto"/>
            <w:vAlign w:val="center"/>
          </w:tcPr>
          <w:p>
            <w:pPr>
              <w:jc w:val="center"/>
              <w:rPr>
                <w:sz w:val="24"/>
              </w:rPr>
            </w:pPr>
            <w:r>
              <w:rPr>
                <w:rFonts w:hint="eastAsia"/>
                <w:sz w:val="24"/>
              </w:rPr>
              <w:t>3.00</w:t>
            </w:r>
          </w:p>
        </w:tc>
        <w:tc>
          <w:tcPr>
            <w:tcW w:w="776"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944" w:type="pct"/>
            <w:gridSpan w:val="3"/>
            <w:shd w:val="clear" w:color="auto" w:fill="auto"/>
          </w:tcPr>
          <w:p>
            <w:pPr>
              <w:widowControl/>
              <w:jc w:val="center"/>
              <w:rPr>
                <w:b/>
                <w:bCs/>
                <w:color w:val="000000"/>
                <w:kern w:val="0"/>
                <w:sz w:val="24"/>
              </w:rPr>
            </w:pPr>
            <w:r>
              <w:rPr>
                <w:rFonts w:hint="eastAsia"/>
                <w:b/>
                <w:bCs/>
                <w:sz w:val="24"/>
              </w:rPr>
              <w:t>合计</w:t>
            </w:r>
          </w:p>
        </w:tc>
        <w:tc>
          <w:tcPr>
            <w:tcW w:w="640" w:type="pct"/>
            <w:shd w:val="clear" w:color="auto" w:fill="auto"/>
            <w:vAlign w:val="center"/>
          </w:tcPr>
          <w:p>
            <w:pPr>
              <w:jc w:val="center"/>
              <w:rPr>
                <w:sz w:val="24"/>
              </w:rPr>
            </w:pPr>
            <w:r>
              <w:rPr>
                <w:rFonts w:hint="eastAsia"/>
                <w:sz w:val="24"/>
              </w:rPr>
              <w:t>11</w:t>
            </w:r>
          </w:p>
        </w:tc>
        <w:tc>
          <w:tcPr>
            <w:tcW w:w="638" w:type="pct"/>
            <w:shd w:val="clear" w:color="auto" w:fill="auto"/>
            <w:vAlign w:val="center"/>
          </w:tcPr>
          <w:p>
            <w:pPr>
              <w:jc w:val="center"/>
              <w:rPr>
                <w:sz w:val="24"/>
              </w:rPr>
            </w:pPr>
            <w:r>
              <w:rPr>
                <w:rFonts w:hint="eastAsia"/>
                <w:sz w:val="24"/>
              </w:rPr>
              <w:t>11.00</w:t>
            </w:r>
          </w:p>
        </w:tc>
        <w:tc>
          <w:tcPr>
            <w:tcW w:w="776" w:type="pct"/>
            <w:shd w:val="clear" w:color="auto" w:fill="auto"/>
            <w:noWrap/>
            <w:vAlign w:val="center"/>
          </w:tcPr>
          <w:p>
            <w:pPr>
              <w:jc w:val="center"/>
              <w:rPr>
                <w:sz w:val="24"/>
              </w:rPr>
            </w:pPr>
            <w:r>
              <w:rPr>
                <w:rFonts w:hint="eastAsia"/>
                <w:sz w:val="24"/>
              </w:rPr>
              <w:t>100.00%</w:t>
            </w:r>
          </w:p>
        </w:tc>
      </w:tr>
    </w:tbl>
    <w:p>
      <w:pPr>
        <w:pStyle w:val="18"/>
        <w:spacing w:line="240" w:lineRule="auto"/>
        <w:ind w:firstLine="640"/>
        <w:rPr>
          <w:sz w:val="32"/>
          <w:szCs w:val="32"/>
        </w:rPr>
      </w:pPr>
      <w:r>
        <w:rPr>
          <w:rFonts w:hint="eastAsia"/>
          <w:sz w:val="32"/>
          <w:szCs w:val="32"/>
        </w:rPr>
        <w:t>1</w:t>
      </w:r>
      <w:r>
        <w:rPr>
          <w:sz w:val="32"/>
          <w:szCs w:val="32"/>
        </w:rPr>
        <w:t>.</w:t>
      </w:r>
      <w:r>
        <w:rPr>
          <w:rFonts w:hint="eastAsia"/>
          <w:sz w:val="32"/>
          <w:szCs w:val="32"/>
        </w:rPr>
        <w:t>资金管理</w:t>
      </w:r>
    </w:p>
    <w:p>
      <w:pPr>
        <w:pStyle w:val="18"/>
        <w:spacing w:line="240" w:lineRule="auto"/>
        <w:ind w:firstLine="640"/>
        <w:rPr>
          <w:sz w:val="32"/>
          <w:szCs w:val="32"/>
        </w:rPr>
      </w:pPr>
      <w:r>
        <w:rPr>
          <w:rFonts w:hint="eastAsia"/>
          <w:sz w:val="32"/>
          <w:szCs w:val="32"/>
        </w:rPr>
        <w:t>资金管理指标分值6分，得分6分，得分率1</w:t>
      </w:r>
      <w:r>
        <w:rPr>
          <w:sz w:val="32"/>
          <w:szCs w:val="32"/>
        </w:rPr>
        <w:t>00</w:t>
      </w:r>
      <w:r>
        <w:rPr>
          <w:rFonts w:hint="eastAsia"/>
          <w:sz w:val="32"/>
          <w:szCs w:val="32"/>
        </w:rPr>
        <w:t>%。</w:t>
      </w:r>
    </w:p>
    <w:p>
      <w:pPr>
        <w:pStyle w:val="18"/>
        <w:spacing w:line="240" w:lineRule="auto"/>
        <w:ind w:firstLine="640"/>
        <w:rPr>
          <w:sz w:val="32"/>
          <w:szCs w:val="32"/>
        </w:rPr>
      </w:pPr>
      <w:r>
        <w:rPr>
          <w:rFonts w:hint="eastAsia"/>
          <w:sz w:val="32"/>
          <w:szCs w:val="32"/>
        </w:rPr>
        <w:t>（1）资金到位率（2分）</w:t>
      </w:r>
    </w:p>
    <w:p>
      <w:pPr>
        <w:pStyle w:val="18"/>
        <w:spacing w:line="240" w:lineRule="auto"/>
        <w:ind w:firstLine="640"/>
        <w:rPr>
          <w:sz w:val="32"/>
          <w:szCs w:val="32"/>
        </w:rPr>
      </w:pPr>
      <w:r>
        <w:rPr>
          <w:rFonts w:hint="eastAsia"/>
          <w:sz w:val="32"/>
          <w:szCs w:val="32"/>
        </w:rPr>
        <w:t>根据《关于提前下达2022年现代职业教育质量提升计划资金预算的通知》（保财教〔2021〕49号）及其批复文件、《关于下达2022年中央现代职业教育质量提升计划补助资金预算的通知》（保财教〔2022〕53号）及其批复文件，预算资金2</w:t>
      </w:r>
      <w:r>
        <w:rPr>
          <w:sz w:val="32"/>
          <w:szCs w:val="32"/>
        </w:rPr>
        <w:t>,</w:t>
      </w:r>
      <w:r>
        <w:rPr>
          <w:rFonts w:hint="eastAsia"/>
          <w:sz w:val="32"/>
          <w:szCs w:val="32"/>
        </w:rPr>
        <w:t>700</w:t>
      </w:r>
      <w:r>
        <w:rPr>
          <w:sz w:val="32"/>
          <w:szCs w:val="32"/>
        </w:rPr>
        <w:t>,</w:t>
      </w:r>
      <w:r>
        <w:rPr>
          <w:rFonts w:hint="eastAsia"/>
          <w:sz w:val="32"/>
          <w:szCs w:val="32"/>
        </w:rPr>
        <w:t>000元，实际到位资金2</w:t>
      </w:r>
      <w:r>
        <w:rPr>
          <w:sz w:val="32"/>
          <w:szCs w:val="32"/>
        </w:rPr>
        <w:t>,</w:t>
      </w:r>
      <w:r>
        <w:rPr>
          <w:rFonts w:hint="eastAsia"/>
          <w:sz w:val="32"/>
          <w:szCs w:val="32"/>
        </w:rPr>
        <w:t>700</w:t>
      </w:r>
      <w:r>
        <w:rPr>
          <w:sz w:val="32"/>
          <w:szCs w:val="32"/>
        </w:rPr>
        <w:t>,</w:t>
      </w:r>
      <w:r>
        <w:rPr>
          <w:rFonts w:hint="eastAsia"/>
          <w:sz w:val="32"/>
          <w:szCs w:val="32"/>
        </w:rPr>
        <w:t>000元，资金到位率100%。根据评分规则，该指标得100%权重分。</w:t>
      </w:r>
    </w:p>
    <w:p>
      <w:pPr>
        <w:pStyle w:val="18"/>
        <w:spacing w:line="240" w:lineRule="auto"/>
        <w:ind w:firstLine="640"/>
        <w:rPr>
          <w:sz w:val="32"/>
          <w:szCs w:val="32"/>
        </w:rPr>
      </w:pPr>
      <w:r>
        <w:rPr>
          <w:rFonts w:hint="eastAsia"/>
          <w:sz w:val="32"/>
          <w:szCs w:val="32"/>
        </w:rPr>
        <w:t>（2）预算执行率（2分）</w:t>
      </w:r>
    </w:p>
    <w:p>
      <w:pPr>
        <w:pStyle w:val="18"/>
        <w:spacing w:line="240" w:lineRule="auto"/>
        <w:ind w:firstLine="640"/>
        <w:rPr>
          <w:sz w:val="32"/>
          <w:szCs w:val="32"/>
        </w:rPr>
      </w:pPr>
      <w:r>
        <w:rPr>
          <w:rFonts w:hint="eastAsia"/>
          <w:sz w:val="32"/>
          <w:szCs w:val="32"/>
        </w:rPr>
        <w:t>根据项目明细账以及资金执行状况，本项目预算执行金额270万元，预算执行率100%。各子项目预算执行情况如下：①质量提升项目A包拨付1,985,500元；②质量提升项目B包拨付14,500元；③图书采购项目拨付280,800元；④图书馆配套设备购置项目拨付119,200元；⑤幼儿保育卫生保健实训室建设项目拨付217,866元；⑥幼儿保育舞蹈实训室建设项目拨付82,134元。根据评分规则，该指标得100%权重分。</w:t>
      </w:r>
    </w:p>
    <w:p>
      <w:pPr>
        <w:pStyle w:val="18"/>
        <w:spacing w:line="240" w:lineRule="auto"/>
        <w:ind w:firstLine="640"/>
        <w:rPr>
          <w:sz w:val="32"/>
          <w:szCs w:val="32"/>
        </w:rPr>
      </w:pPr>
      <w:r>
        <w:rPr>
          <w:rFonts w:hint="eastAsia"/>
          <w:sz w:val="32"/>
          <w:szCs w:val="32"/>
        </w:rPr>
        <w:t>（3）资金使用合规性（2分）</w:t>
      </w:r>
    </w:p>
    <w:p>
      <w:pPr>
        <w:pStyle w:val="18"/>
        <w:spacing w:line="240" w:lineRule="auto"/>
        <w:ind w:firstLine="640"/>
        <w:rPr>
          <w:sz w:val="32"/>
          <w:szCs w:val="32"/>
        </w:rPr>
      </w:pPr>
      <w:r>
        <w:rPr>
          <w:rFonts w:hint="eastAsia"/>
          <w:sz w:val="32"/>
          <w:szCs w:val="32"/>
        </w:rPr>
        <w:t>根据相关资料，教育和体育局提供的，①项目符合国家财经法规和财务管理制度以及《保定市徐水区教育和体育局关于进一步规范中小学校幼儿园资金使用管理办法（试行）》（徐教财〔2022〕4号）和徐水区职业教育中心专项资金管理制度；②根据资金拨付申请表及请示文件，资金的拨付有完整的审批程序和手续；③符合项目预算批复或合同规定的用途；④根据资金</w:t>
      </w:r>
      <w:r>
        <w:rPr>
          <w:rFonts w:hint="eastAsia"/>
          <w:sz w:val="32"/>
          <w:szCs w:val="32"/>
          <w:lang w:eastAsia="zh-CN"/>
        </w:rPr>
        <w:t>明细账</w:t>
      </w:r>
      <w:r>
        <w:rPr>
          <w:rFonts w:hint="eastAsia"/>
          <w:sz w:val="32"/>
          <w:szCs w:val="32"/>
        </w:rPr>
        <w:t>、记账凭证、支付凭证等资料，不存在截留、挤占、挪用、虚列支出等情况。根据评分规则，该指标得100%权重分。</w:t>
      </w:r>
    </w:p>
    <w:p>
      <w:pPr>
        <w:pStyle w:val="18"/>
        <w:spacing w:line="240" w:lineRule="auto"/>
        <w:ind w:firstLine="640"/>
        <w:rPr>
          <w:sz w:val="32"/>
          <w:szCs w:val="32"/>
        </w:rPr>
      </w:pPr>
      <w:r>
        <w:rPr>
          <w:rFonts w:hint="eastAsia"/>
          <w:sz w:val="32"/>
          <w:szCs w:val="32"/>
        </w:rPr>
        <w:t>2</w:t>
      </w:r>
      <w:r>
        <w:rPr>
          <w:sz w:val="32"/>
          <w:szCs w:val="32"/>
        </w:rPr>
        <w:t>.</w:t>
      </w:r>
      <w:r>
        <w:rPr>
          <w:rFonts w:hint="eastAsia"/>
          <w:sz w:val="32"/>
          <w:szCs w:val="32"/>
        </w:rPr>
        <w:t>组织实施</w:t>
      </w:r>
    </w:p>
    <w:p>
      <w:pPr>
        <w:pStyle w:val="18"/>
        <w:spacing w:line="240" w:lineRule="auto"/>
        <w:ind w:firstLine="640"/>
        <w:rPr>
          <w:sz w:val="32"/>
          <w:szCs w:val="32"/>
        </w:rPr>
      </w:pPr>
      <w:r>
        <w:rPr>
          <w:rFonts w:hint="eastAsia"/>
          <w:sz w:val="32"/>
          <w:szCs w:val="32"/>
        </w:rPr>
        <w:t>组织实施指标分值5分，得分5分，得分率1</w:t>
      </w:r>
      <w:r>
        <w:rPr>
          <w:sz w:val="32"/>
          <w:szCs w:val="32"/>
        </w:rPr>
        <w:t>00</w:t>
      </w:r>
      <w:r>
        <w:rPr>
          <w:rFonts w:hint="eastAsia"/>
          <w:sz w:val="32"/>
          <w:szCs w:val="32"/>
        </w:rPr>
        <w:t>%。</w:t>
      </w:r>
    </w:p>
    <w:p>
      <w:pPr>
        <w:pStyle w:val="18"/>
        <w:spacing w:line="240" w:lineRule="auto"/>
        <w:ind w:firstLine="640"/>
        <w:rPr>
          <w:sz w:val="32"/>
          <w:szCs w:val="32"/>
        </w:rPr>
      </w:pPr>
      <w:r>
        <w:rPr>
          <w:rFonts w:hint="eastAsia"/>
          <w:sz w:val="32"/>
          <w:szCs w:val="32"/>
        </w:rPr>
        <w:t>（1）管理制度健全性（2分）</w:t>
      </w:r>
    </w:p>
    <w:p>
      <w:pPr>
        <w:pStyle w:val="18"/>
        <w:spacing w:line="240" w:lineRule="auto"/>
        <w:ind w:firstLine="640"/>
        <w:rPr>
          <w:sz w:val="32"/>
          <w:szCs w:val="32"/>
        </w:rPr>
      </w:pPr>
      <w:r>
        <w:rPr>
          <w:rFonts w:hint="eastAsia"/>
          <w:sz w:val="32"/>
          <w:szCs w:val="32"/>
        </w:rPr>
        <w:t>根据提供的资料，①保定市徐水区职业教育中心制定了专项资金管理制度、采购管理制度以及固定资产管理制度，且其管理制度符合《保定市徐水区教育和体育局关于进一步规范中小学校幼儿园资金使用管理办法（试行）》（徐教财〔2022〕4号）；②徐水区职业教育中心专项资金管理制度、采购管理制度、固定资产管理制度合法、合规、完整。根据评分规则，该指标得100%权重分。</w:t>
      </w:r>
    </w:p>
    <w:p>
      <w:pPr>
        <w:pStyle w:val="18"/>
        <w:spacing w:line="240" w:lineRule="auto"/>
        <w:ind w:firstLine="640"/>
        <w:rPr>
          <w:sz w:val="32"/>
          <w:szCs w:val="32"/>
        </w:rPr>
      </w:pPr>
      <w:r>
        <w:rPr>
          <w:rFonts w:hint="eastAsia"/>
          <w:sz w:val="32"/>
          <w:szCs w:val="32"/>
        </w:rPr>
        <w:t>（2）制度执行有效性（3分）</w:t>
      </w:r>
    </w:p>
    <w:p>
      <w:pPr>
        <w:pStyle w:val="18"/>
        <w:spacing w:line="240" w:lineRule="auto"/>
        <w:ind w:firstLine="640"/>
        <w:rPr>
          <w:sz w:val="32"/>
          <w:szCs w:val="32"/>
        </w:rPr>
      </w:pPr>
      <w:r>
        <w:rPr>
          <w:sz w:val="32"/>
          <w:szCs w:val="32"/>
        </w:rPr>
        <w:t>根据项目资料的结果</w:t>
      </w:r>
      <w:r>
        <w:rPr>
          <w:rFonts w:hint="eastAsia"/>
          <w:sz w:val="32"/>
          <w:szCs w:val="32"/>
        </w:rPr>
        <w:t>，</w:t>
      </w:r>
      <w:r>
        <w:rPr>
          <w:rFonts w:hint="eastAsia" w:ascii="宋体" w:hAnsi="宋体" w:eastAsia="宋体" w:cs="宋体"/>
          <w:sz w:val="32"/>
          <w:szCs w:val="32"/>
        </w:rPr>
        <w:t>①</w:t>
      </w:r>
      <w:r>
        <w:rPr>
          <w:sz w:val="32"/>
          <w:szCs w:val="32"/>
        </w:rPr>
        <w:t>项目遵守相关法律法规和业务管理规定；</w:t>
      </w:r>
      <w:r>
        <w:rPr>
          <w:rFonts w:hint="eastAsia" w:ascii="宋体" w:hAnsi="宋体" w:eastAsia="宋体" w:cs="宋体"/>
          <w:sz w:val="32"/>
          <w:szCs w:val="32"/>
        </w:rPr>
        <w:t>②</w:t>
      </w:r>
      <w:r>
        <w:rPr>
          <w:sz w:val="32"/>
          <w:szCs w:val="32"/>
        </w:rPr>
        <w:t>根据项目的政府采购申请、招标文件，项目按核准的采购程序进行采购；</w:t>
      </w:r>
      <w:r>
        <w:rPr>
          <w:rFonts w:hint="eastAsia" w:ascii="宋体" w:hAnsi="宋体" w:eastAsia="宋体" w:cs="宋体"/>
          <w:sz w:val="32"/>
          <w:szCs w:val="32"/>
        </w:rPr>
        <w:t>③</w:t>
      </w:r>
      <w:r>
        <w:rPr>
          <w:sz w:val="32"/>
          <w:szCs w:val="32"/>
        </w:rPr>
        <w:t>根据子项目的采购合同及验收报告，项目合同书、验收报告等资料齐全并及时归档。根据评分规则，该指标得100%权重分。</w:t>
      </w:r>
    </w:p>
    <w:p>
      <w:pPr>
        <w:pStyle w:val="4"/>
        <w:spacing w:line="240" w:lineRule="auto"/>
        <w:rPr>
          <w:szCs w:val="32"/>
        </w:rPr>
      </w:pPr>
      <w:bookmarkStart w:id="13" w:name="_Toc142381561"/>
      <w:r>
        <w:rPr>
          <w:rFonts w:hint="eastAsia"/>
          <w:szCs w:val="32"/>
        </w:rPr>
        <w:t>（三）项目产出情况</w:t>
      </w:r>
      <w:bookmarkEnd w:id="13"/>
    </w:p>
    <w:p>
      <w:pPr>
        <w:pStyle w:val="18"/>
        <w:spacing w:line="240" w:lineRule="auto"/>
        <w:ind w:firstLine="640"/>
        <w:rPr>
          <w:sz w:val="32"/>
          <w:szCs w:val="32"/>
        </w:rPr>
      </w:pPr>
      <w:r>
        <w:rPr>
          <w:rFonts w:hint="eastAsia"/>
          <w:sz w:val="32"/>
          <w:szCs w:val="32"/>
        </w:rPr>
        <w:t>项目产出类指标共分15个三级指标，权重共44分，实际得分</w:t>
      </w:r>
      <w:r>
        <w:rPr>
          <w:sz w:val="32"/>
          <w:szCs w:val="32"/>
        </w:rPr>
        <w:t>41.5</w:t>
      </w:r>
      <w:r>
        <w:rPr>
          <w:rFonts w:hint="eastAsia"/>
          <w:sz w:val="32"/>
          <w:szCs w:val="32"/>
        </w:rPr>
        <w:t>0分，得分率为</w:t>
      </w:r>
      <w:r>
        <w:rPr>
          <w:sz w:val="32"/>
          <w:szCs w:val="32"/>
        </w:rPr>
        <w:t>94.32</w:t>
      </w:r>
      <w:r>
        <w:rPr>
          <w:rFonts w:hint="eastAsia"/>
          <w:sz w:val="32"/>
          <w:szCs w:val="32"/>
        </w:rPr>
        <w:t>%，各指标得分见表6。</w:t>
      </w:r>
    </w:p>
    <w:p>
      <w:pPr>
        <w:pStyle w:val="18"/>
        <w:spacing w:line="240" w:lineRule="auto"/>
        <w:ind w:firstLine="0" w:firstLineChars="0"/>
        <w:jc w:val="center"/>
        <w:rPr>
          <w:b/>
          <w:bCs/>
        </w:rPr>
      </w:pPr>
      <w:r>
        <w:rPr>
          <w:rFonts w:hint="eastAsia"/>
          <w:b/>
          <w:bCs/>
        </w:rPr>
        <w:t>表6 项目产出类指标得分情况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8"/>
        <w:gridCol w:w="1309"/>
        <w:gridCol w:w="1457"/>
        <w:gridCol w:w="873"/>
        <w:gridCol w:w="869"/>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blHeader/>
        </w:trPr>
        <w:tc>
          <w:tcPr>
            <w:tcW w:w="1706" w:type="pct"/>
            <w:shd w:val="clear" w:color="auto" w:fill="E7E6E6" w:themeFill="background2"/>
            <w:vAlign w:val="center"/>
          </w:tcPr>
          <w:p>
            <w:pPr>
              <w:widowControl/>
              <w:jc w:val="center"/>
              <w:rPr>
                <w:b/>
                <w:bCs/>
                <w:color w:val="000000"/>
                <w:kern w:val="0"/>
                <w:sz w:val="28"/>
                <w:szCs w:val="28"/>
              </w:rPr>
            </w:pPr>
            <w:r>
              <w:rPr>
                <w:rFonts w:hint="eastAsia"/>
                <w:b/>
                <w:bCs/>
                <w:color w:val="000000"/>
                <w:kern w:val="0"/>
                <w:sz w:val="28"/>
                <w:szCs w:val="28"/>
              </w:rPr>
              <w:t>三级指标</w:t>
            </w:r>
          </w:p>
        </w:tc>
        <w:tc>
          <w:tcPr>
            <w:tcW w:w="768" w:type="pct"/>
            <w:shd w:val="clear" w:color="auto" w:fill="E7E6E6" w:themeFill="background2"/>
            <w:vAlign w:val="center"/>
          </w:tcPr>
          <w:p>
            <w:pPr>
              <w:widowControl/>
              <w:jc w:val="center"/>
              <w:rPr>
                <w:b/>
                <w:bCs/>
                <w:color w:val="000000"/>
                <w:kern w:val="0"/>
                <w:sz w:val="28"/>
                <w:szCs w:val="28"/>
              </w:rPr>
            </w:pPr>
            <w:r>
              <w:rPr>
                <w:rFonts w:hint="eastAsia"/>
                <w:b/>
                <w:bCs/>
                <w:sz w:val="28"/>
                <w:szCs w:val="28"/>
              </w:rPr>
              <w:t>目标值</w:t>
            </w:r>
          </w:p>
        </w:tc>
        <w:tc>
          <w:tcPr>
            <w:tcW w:w="855" w:type="pct"/>
            <w:shd w:val="clear" w:color="auto" w:fill="E7E6E6" w:themeFill="background2"/>
            <w:vAlign w:val="center"/>
          </w:tcPr>
          <w:p>
            <w:pPr>
              <w:widowControl/>
              <w:jc w:val="center"/>
              <w:rPr>
                <w:b/>
                <w:bCs/>
                <w:color w:val="000000"/>
                <w:kern w:val="0"/>
                <w:sz w:val="28"/>
                <w:szCs w:val="28"/>
              </w:rPr>
            </w:pPr>
            <w:r>
              <w:rPr>
                <w:rFonts w:hint="eastAsia"/>
                <w:b/>
                <w:bCs/>
                <w:sz w:val="28"/>
                <w:szCs w:val="28"/>
              </w:rPr>
              <w:t>业绩值</w:t>
            </w:r>
          </w:p>
        </w:tc>
        <w:tc>
          <w:tcPr>
            <w:tcW w:w="512" w:type="pct"/>
            <w:shd w:val="clear" w:color="auto" w:fill="E7E6E6" w:themeFill="background2"/>
            <w:vAlign w:val="center"/>
          </w:tcPr>
          <w:p>
            <w:pPr>
              <w:widowControl/>
              <w:jc w:val="center"/>
              <w:rPr>
                <w:b/>
                <w:bCs/>
                <w:color w:val="000000"/>
                <w:kern w:val="0"/>
                <w:sz w:val="28"/>
                <w:szCs w:val="28"/>
              </w:rPr>
            </w:pPr>
            <w:r>
              <w:rPr>
                <w:rFonts w:hint="eastAsia"/>
                <w:b/>
                <w:bCs/>
                <w:sz w:val="28"/>
                <w:szCs w:val="28"/>
              </w:rPr>
              <w:t>权重</w:t>
            </w:r>
          </w:p>
        </w:tc>
        <w:tc>
          <w:tcPr>
            <w:tcW w:w="510" w:type="pct"/>
            <w:shd w:val="clear" w:color="auto" w:fill="E7E6E6" w:themeFill="background2"/>
            <w:vAlign w:val="center"/>
          </w:tcPr>
          <w:p>
            <w:pPr>
              <w:widowControl/>
              <w:jc w:val="center"/>
              <w:rPr>
                <w:b/>
                <w:bCs/>
                <w:color w:val="000000"/>
                <w:kern w:val="0"/>
                <w:sz w:val="28"/>
                <w:szCs w:val="28"/>
              </w:rPr>
            </w:pPr>
            <w:r>
              <w:rPr>
                <w:rFonts w:hint="eastAsia"/>
                <w:b/>
                <w:bCs/>
                <w:sz w:val="28"/>
                <w:szCs w:val="28"/>
              </w:rPr>
              <w:t>得分</w:t>
            </w:r>
          </w:p>
        </w:tc>
        <w:tc>
          <w:tcPr>
            <w:tcW w:w="649" w:type="pct"/>
            <w:shd w:val="clear" w:color="auto" w:fill="E7E6E6" w:themeFill="background2"/>
            <w:vAlign w:val="center"/>
          </w:tcPr>
          <w:p>
            <w:pPr>
              <w:widowControl/>
              <w:jc w:val="center"/>
              <w:rPr>
                <w:b/>
                <w:bCs/>
                <w:color w:val="000000"/>
                <w:kern w:val="0"/>
                <w:sz w:val="28"/>
                <w:szCs w:val="28"/>
              </w:rPr>
            </w:pPr>
            <w:r>
              <w:rPr>
                <w:rFonts w:hint="eastAsia"/>
                <w:b/>
                <w:bCs/>
                <w:sz w:val="28"/>
                <w:szCs w:val="28"/>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1706" w:type="pct"/>
            <w:shd w:val="clear" w:color="auto" w:fill="auto"/>
            <w:vAlign w:val="center"/>
          </w:tcPr>
          <w:p>
            <w:pPr>
              <w:widowControl/>
              <w:jc w:val="center"/>
              <w:rPr>
                <w:sz w:val="24"/>
              </w:rPr>
            </w:pPr>
            <w:r>
              <w:rPr>
                <w:rFonts w:hint="eastAsia"/>
                <w:sz w:val="24"/>
              </w:rPr>
              <w:t>教学质量提升设备购置数量完成率</w:t>
            </w:r>
          </w:p>
        </w:tc>
        <w:tc>
          <w:tcPr>
            <w:tcW w:w="768" w:type="pct"/>
            <w:shd w:val="clear" w:color="auto" w:fill="auto"/>
            <w:vAlign w:val="center"/>
          </w:tcPr>
          <w:p>
            <w:pPr>
              <w:jc w:val="center"/>
              <w:rPr>
                <w:sz w:val="24"/>
              </w:rPr>
            </w:pPr>
            <w:r>
              <w:rPr>
                <w:rFonts w:hint="eastAsia"/>
                <w:sz w:val="24"/>
              </w:rPr>
              <w:t>100%</w:t>
            </w:r>
          </w:p>
        </w:tc>
        <w:tc>
          <w:tcPr>
            <w:tcW w:w="855" w:type="pct"/>
            <w:shd w:val="clear" w:color="auto" w:fill="auto"/>
            <w:vAlign w:val="center"/>
          </w:tcPr>
          <w:p>
            <w:pPr>
              <w:jc w:val="center"/>
              <w:rPr>
                <w:sz w:val="24"/>
              </w:rPr>
            </w:pPr>
            <w:r>
              <w:rPr>
                <w:rFonts w:hint="eastAsia"/>
                <w:sz w:val="24"/>
              </w:rPr>
              <w:t>120.60%</w:t>
            </w:r>
          </w:p>
        </w:tc>
        <w:tc>
          <w:tcPr>
            <w:tcW w:w="512" w:type="pct"/>
            <w:shd w:val="clear" w:color="auto" w:fill="auto"/>
            <w:vAlign w:val="center"/>
          </w:tcPr>
          <w:p>
            <w:pPr>
              <w:jc w:val="center"/>
              <w:rPr>
                <w:sz w:val="24"/>
              </w:rPr>
            </w:pPr>
            <w:r>
              <w:rPr>
                <w:rFonts w:hint="eastAsia"/>
                <w:sz w:val="24"/>
              </w:rPr>
              <w:t>3</w:t>
            </w:r>
          </w:p>
        </w:tc>
        <w:tc>
          <w:tcPr>
            <w:tcW w:w="510" w:type="pct"/>
            <w:shd w:val="clear" w:color="auto" w:fill="auto"/>
            <w:vAlign w:val="center"/>
          </w:tcPr>
          <w:p>
            <w:pPr>
              <w:jc w:val="center"/>
              <w:rPr>
                <w:sz w:val="24"/>
              </w:rPr>
            </w:pPr>
            <w:r>
              <w:rPr>
                <w:rFonts w:hint="eastAsia"/>
                <w:sz w:val="24"/>
              </w:rPr>
              <w:t>3.00</w:t>
            </w:r>
          </w:p>
        </w:tc>
        <w:tc>
          <w:tcPr>
            <w:tcW w:w="649"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06" w:type="pct"/>
            <w:shd w:val="clear" w:color="auto" w:fill="auto"/>
            <w:vAlign w:val="center"/>
          </w:tcPr>
          <w:p>
            <w:pPr>
              <w:widowControl/>
              <w:jc w:val="center"/>
              <w:rPr>
                <w:sz w:val="24"/>
              </w:rPr>
            </w:pPr>
            <w:r>
              <w:rPr>
                <w:rFonts w:hint="eastAsia"/>
                <w:sz w:val="24"/>
              </w:rPr>
              <w:t>图书购置数量完成率</w:t>
            </w:r>
          </w:p>
        </w:tc>
        <w:tc>
          <w:tcPr>
            <w:tcW w:w="768" w:type="pct"/>
            <w:shd w:val="clear" w:color="auto" w:fill="auto"/>
            <w:vAlign w:val="center"/>
          </w:tcPr>
          <w:p>
            <w:pPr>
              <w:jc w:val="center"/>
              <w:rPr>
                <w:sz w:val="24"/>
              </w:rPr>
            </w:pPr>
            <w:r>
              <w:rPr>
                <w:rFonts w:hint="eastAsia"/>
                <w:sz w:val="24"/>
              </w:rPr>
              <w:t>100%</w:t>
            </w:r>
          </w:p>
        </w:tc>
        <w:tc>
          <w:tcPr>
            <w:tcW w:w="855" w:type="pct"/>
            <w:shd w:val="clear" w:color="auto" w:fill="auto"/>
            <w:vAlign w:val="center"/>
          </w:tcPr>
          <w:p>
            <w:pPr>
              <w:jc w:val="center"/>
              <w:rPr>
                <w:sz w:val="24"/>
              </w:rPr>
            </w:pPr>
            <w:r>
              <w:rPr>
                <w:rFonts w:hint="eastAsia"/>
                <w:sz w:val="24"/>
              </w:rPr>
              <w:t>100.00%</w:t>
            </w:r>
          </w:p>
        </w:tc>
        <w:tc>
          <w:tcPr>
            <w:tcW w:w="512" w:type="pct"/>
            <w:shd w:val="clear" w:color="auto" w:fill="auto"/>
            <w:vAlign w:val="center"/>
          </w:tcPr>
          <w:p>
            <w:pPr>
              <w:jc w:val="center"/>
              <w:rPr>
                <w:sz w:val="24"/>
              </w:rPr>
            </w:pPr>
            <w:r>
              <w:rPr>
                <w:rFonts w:hint="eastAsia"/>
                <w:sz w:val="24"/>
              </w:rPr>
              <w:t>3</w:t>
            </w:r>
          </w:p>
        </w:tc>
        <w:tc>
          <w:tcPr>
            <w:tcW w:w="510" w:type="pct"/>
            <w:shd w:val="clear" w:color="auto" w:fill="auto"/>
            <w:vAlign w:val="center"/>
          </w:tcPr>
          <w:p>
            <w:pPr>
              <w:jc w:val="center"/>
              <w:rPr>
                <w:sz w:val="24"/>
              </w:rPr>
            </w:pPr>
            <w:r>
              <w:rPr>
                <w:rFonts w:hint="eastAsia"/>
                <w:sz w:val="24"/>
              </w:rPr>
              <w:t>3.00</w:t>
            </w:r>
          </w:p>
        </w:tc>
        <w:tc>
          <w:tcPr>
            <w:tcW w:w="649"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06" w:type="pct"/>
            <w:shd w:val="clear" w:color="auto" w:fill="auto"/>
            <w:vAlign w:val="center"/>
          </w:tcPr>
          <w:p>
            <w:pPr>
              <w:widowControl/>
              <w:jc w:val="center"/>
              <w:rPr>
                <w:sz w:val="24"/>
              </w:rPr>
            </w:pPr>
            <w:r>
              <w:rPr>
                <w:rFonts w:hint="eastAsia"/>
                <w:sz w:val="24"/>
              </w:rPr>
              <w:t>图书馆配套设备购置</w:t>
            </w:r>
          </w:p>
          <w:p>
            <w:pPr>
              <w:widowControl/>
              <w:jc w:val="center"/>
              <w:rPr>
                <w:sz w:val="24"/>
              </w:rPr>
            </w:pPr>
            <w:r>
              <w:rPr>
                <w:rFonts w:hint="eastAsia"/>
                <w:sz w:val="24"/>
              </w:rPr>
              <w:t>数量完成率</w:t>
            </w:r>
          </w:p>
        </w:tc>
        <w:tc>
          <w:tcPr>
            <w:tcW w:w="768" w:type="pct"/>
            <w:shd w:val="clear" w:color="auto" w:fill="auto"/>
            <w:vAlign w:val="center"/>
          </w:tcPr>
          <w:p>
            <w:pPr>
              <w:jc w:val="center"/>
              <w:rPr>
                <w:sz w:val="24"/>
              </w:rPr>
            </w:pPr>
            <w:r>
              <w:rPr>
                <w:rFonts w:hint="eastAsia"/>
                <w:sz w:val="24"/>
              </w:rPr>
              <w:t>100%</w:t>
            </w:r>
          </w:p>
        </w:tc>
        <w:tc>
          <w:tcPr>
            <w:tcW w:w="855" w:type="pct"/>
            <w:shd w:val="clear" w:color="auto" w:fill="auto"/>
            <w:vAlign w:val="center"/>
          </w:tcPr>
          <w:p>
            <w:pPr>
              <w:jc w:val="center"/>
              <w:rPr>
                <w:sz w:val="24"/>
              </w:rPr>
            </w:pPr>
            <w:r>
              <w:rPr>
                <w:rFonts w:hint="eastAsia"/>
                <w:sz w:val="24"/>
              </w:rPr>
              <w:t>80.00%</w:t>
            </w:r>
          </w:p>
        </w:tc>
        <w:tc>
          <w:tcPr>
            <w:tcW w:w="512" w:type="pct"/>
            <w:shd w:val="clear" w:color="auto" w:fill="auto"/>
            <w:vAlign w:val="center"/>
          </w:tcPr>
          <w:p>
            <w:pPr>
              <w:jc w:val="center"/>
              <w:rPr>
                <w:sz w:val="24"/>
              </w:rPr>
            </w:pPr>
            <w:r>
              <w:rPr>
                <w:rFonts w:hint="eastAsia"/>
                <w:sz w:val="24"/>
              </w:rPr>
              <w:t>3</w:t>
            </w:r>
          </w:p>
        </w:tc>
        <w:tc>
          <w:tcPr>
            <w:tcW w:w="510" w:type="pct"/>
            <w:shd w:val="clear" w:color="auto" w:fill="auto"/>
            <w:vAlign w:val="center"/>
          </w:tcPr>
          <w:p>
            <w:pPr>
              <w:jc w:val="center"/>
              <w:rPr>
                <w:sz w:val="24"/>
              </w:rPr>
            </w:pPr>
            <w:r>
              <w:rPr>
                <w:rFonts w:hint="eastAsia"/>
                <w:sz w:val="24"/>
              </w:rPr>
              <w:t>2.40</w:t>
            </w:r>
          </w:p>
        </w:tc>
        <w:tc>
          <w:tcPr>
            <w:tcW w:w="649" w:type="pct"/>
            <w:shd w:val="clear" w:color="auto" w:fill="auto"/>
            <w:noWrap/>
            <w:vAlign w:val="center"/>
          </w:tcPr>
          <w:p>
            <w:pPr>
              <w:jc w:val="center"/>
              <w:rPr>
                <w:sz w:val="24"/>
              </w:rPr>
            </w:pPr>
            <w:r>
              <w:rPr>
                <w:rFonts w:hint="eastAsia"/>
                <w:sz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06" w:type="pct"/>
            <w:shd w:val="clear" w:color="auto" w:fill="auto"/>
            <w:vAlign w:val="center"/>
          </w:tcPr>
          <w:p>
            <w:pPr>
              <w:widowControl/>
              <w:jc w:val="center"/>
              <w:rPr>
                <w:sz w:val="24"/>
              </w:rPr>
            </w:pPr>
            <w:r>
              <w:rPr>
                <w:rFonts w:hint="eastAsia"/>
                <w:sz w:val="24"/>
              </w:rPr>
              <w:t>幼儿保育卫生保健实训室设备购置数量完成率</w:t>
            </w:r>
          </w:p>
        </w:tc>
        <w:tc>
          <w:tcPr>
            <w:tcW w:w="768" w:type="pct"/>
            <w:shd w:val="clear" w:color="auto" w:fill="auto"/>
            <w:vAlign w:val="center"/>
          </w:tcPr>
          <w:p>
            <w:pPr>
              <w:jc w:val="center"/>
              <w:rPr>
                <w:sz w:val="24"/>
              </w:rPr>
            </w:pPr>
            <w:r>
              <w:rPr>
                <w:rFonts w:hint="eastAsia"/>
                <w:sz w:val="24"/>
              </w:rPr>
              <w:t>100%</w:t>
            </w:r>
          </w:p>
        </w:tc>
        <w:tc>
          <w:tcPr>
            <w:tcW w:w="855" w:type="pct"/>
            <w:shd w:val="clear" w:color="auto" w:fill="auto"/>
            <w:vAlign w:val="center"/>
          </w:tcPr>
          <w:p>
            <w:pPr>
              <w:jc w:val="center"/>
              <w:rPr>
                <w:sz w:val="24"/>
              </w:rPr>
            </w:pPr>
            <w:r>
              <w:rPr>
                <w:rFonts w:hint="eastAsia"/>
                <w:sz w:val="24"/>
              </w:rPr>
              <w:t>1</w:t>
            </w:r>
            <w:r>
              <w:rPr>
                <w:sz w:val="24"/>
              </w:rPr>
              <w:t>00.00</w:t>
            </w:r>
            <w:r>
              <w:rPr>
                <w:rFonts w:hint="eastAsia"/>
                <w:sz w:val="24"/>
              </w:rPr>
              <w:t>%</w:t>
            </w:r>
          </w:p>
        </w:tc>
        <w:tc>
          <w:tcPr>
            <w:tcW w:w="512" w:type="pct"/>
            <w:shd w:val="clear" w:color="auto" w:fill="auto"/>
            <w:vAlign w:val="center"/>
          </w:tcPr>
          <w:p>
            <w:pPr>
              <w:jc w:val="center"/>
              <w:rPr>
                <w:sz w:val="24"/>
              </w:rPr>
            </w:pPr>
            <w:r>
              <w:rPr>
                <w:rFonts w:hint="eastAsia"/>
                <w:sz w:val="24"/>
              </w:rPr>
              <w:t>3</w:t>
            </w:r>
          </w:p>
        </w:tc>
        <w:tc>
          <w:tcPr>
            <w:tcW w:w="510" w:type="pct"/>
            <w:shd w:val="clear" w:color="auto" w:fill="auto"/>
            <w:vAlign w:val="center"/>
          </w:tcPr>
          <w:p>
            <w:pPr>
              <w:jc w:val="center"/>
              <w:rPr>
                <w:sz w:val="24"/>
              </w:rPr>
            </w:pPr>
            <w:r>
              <w:rPr>
                <w:rFonts w:hint="eastAsia"/>
                <w:sz w:val="24"/>
              </w:rPr>
              <w:t>3.00</w:t>
            </w:r>
          </w:p>
        </w:tc>
        <w:tc>
          <w:tcPr>
            <w:tcW w:w="649"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06" w:type="pct"/>
            <w:shd w:val="clear" w:color="auto" w:fill="auto"/>
            <w:vAlign w:val="center"/>
          </w:tcPr>
          <w:p>
            <w:pPr>
              <w:widowControl/>
              <w:jc w:val="center"/>
              <w:rPr>
                <w:sz w:val="24"/>
              </w:rPr>
            </w:pPr>
            <w:r>
              <w:rPr>
                <w:rFonts w:hint="eastAsia"/>
                <w:sz w:val="24"/>
              </w:rPr>
              <w:t>幼儿保育卫生保健</w:t>
            </w:r>
          </w:p>
          <w:p>
            <w:pPr>
              <w:widowControl/>
              <w:jc w:val="center"/>
              <w:rPr>
                <w:color w:val="000000"/>
                <w:kern w:val="0"/>
                <w:sz w:val="24"/>
              </w:rPr>
            </w:pPr>
            <w:r>
              <w:rPr>
                <w:rFonts w:hint="eastAsia"/>
                <w:sz w:val="24"/>
              </w:rPr>
              <w:t>实训室工程量完工率</w:t>
            </w:r>
          </w:p>
        </w:tc>
        <w:tc>
          <w:tcPr>
            <w:tcW w:w="768" w:type="pct"/>
            <w:shd w:val="clear" w:color="auto" w:fill="auto"/>
            <w:vAlign w:val="center"/>
          </w:tcPr>
          <w:p>
            <w:pPr>
              <w:jc w:val="center"/>
              <w:rPr>
                <w:sz w:val="24"/>
              </w:rPr>
            </w:pPr>
            <w:r>
              <w:rPr>
                <w:rFonts w:hint="eastAsia"/>
                <w:sz w:val="24"/>
              </w:rPr>
              <w:t>100%</w:t>
            </w:r>
          </w:p>
        </w:tc>
        <w:tc>
          <w:tcPr>
            <w:tcW w:w="855" w:type="pct"/>
            <w:shd w:val="clear" w:color="auto" w:fill="auto"/>
            <w:vAlign w:val="center"/>
          </w:tcPr>
          <w:p>
            <w:pPr>
              <w:jc w:val="center"/>
              <w:rPr>
                <w:sz w:val="24"/>
              </w:rPr>
            </w:pPr>
            <w:r>
              <w:rPr>
                <w:rFonts w:hint="eastAsia"/>
                <w:sz w:val="24"/>
              </w:rPr>
              <w:t>100.00%</w:t>
            </w:r>
          </w:p>
        </w:tc>
        <w:tc>
          <w:tcPr>
            <w:tcW w:w="512" w:type="pct"/>
            <w:shd w:val="clear" w:color="auto" w:fill="auto"/>
            <w:vAlign w:val="center"/>
          </w:tcPr>
          <w:p>
            <w:pPr>
              <w:jc w:val="center"/>
              <w:rPr>
                <w:sz w:val="24"/>
              </w:rPr>
            </w:pPr>
            <w:r>
              <w:rPr>
                <w:rFonts w:hint="eastAsia"/>
                <w:sz w:val="24"/>
              </w:rPr>
              <w:t>3</w:t>
            </w:r>
          </w:p>
        </w:tc>
        <w:tc>
          <w:tcPr>
            <w:tcW w:w="510" w:type="pct"/>
            <w:shd w:val="clear" w:color="auto" w:fill="auto"/>
            <w:vAlign w:val="center"/>
          </w:tcPr>
          <w:p>
            <w:pPr>
              <w:jc w:val="center"/>
              <w:rPr>
                <w:sz w:val="24"/>
              </w:rPr>
            </w:pPr>
            <w:r>
              <w:rPr>
                <w:rFonts w:hint="eastAsia"/>
                <w:sz w:val="24"/>
              </w:rPr>
              <w:t>3.00</w:t>
            </w:r>
          </w:p>
        </w:tc>
        <w:tc>
          <w:tcPr>
            <w:tcW w:w="649"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06" w:type="pct"/>
            <w:shd w:val="clear" w:color="auto" w:fill="auto"/>
            <w:vAlign w:val="center"/>
          </w:tcPr>
          <w:p>
            <w:pPr>
              <w:widowControl/>
              <w:jc w:val="center"/>
              <w:rPr>
                <w:sz w:val="24"/>
              </w:rPr>
            </w:pPr>
            <w:r>
              <w:rPr>
                <w:rFonts w:hint="eastAsia"/>
                <w:sz w:val="24"/>
              </w:rPr>
              <w:t>幼儿保育舞蹈实训室</w:t>
            </w:r>
          </w:p>
          <w:p>
            <w:pPr>
              <w:widowControl/>
              <w:jc w:val="center"/>
              <w:rPr>
                <w:sz w:val="24"/>
              </w:rPr>
            </w:pPr>
            <w:r>
              <w:rPr>
                <w:rFonts w:hint="eastAsia"/>
                <w:sz w:val="24"/>
              </w:rPr>
              <w:t>工程量完工率</w:t>
            </w:r>
          </w:p>
        </w:tc>
        <w:tc>
          <w:tcPr>
            <w:tcW w:w="768" w:type="pct"/>
            <w:shd w:val="clear" w:color="auto" w:fill="auto"/>
            <w:vAlign w:val="center"/>
          </w:tcPr>
          <w:p>
            <w:pPr>
              <w:jc w:val="center"/>
              <w:rPr>
                <w:sz w:val="24"/>
              </w:rPr>
            </w:pPr>
            <w:r>
              <w:rPr>
                <w:rFonts w:hint="eastAsia"/>
                <w:sz w:val="24"/>
              </w:rPr>
              <w:t>100%</w:t>
            </w:r>
          </w:p>
        </w:tc>
        <w:tc>
          <w:tcPr>
            <w:tcW w:w="855" w:type="pct"/>
            <w:shd w:val="clear" w:color="auto" w:fill="auto"/>
            <w:vAlign w:val="center"/>
          </w:tcPr>
          <w:p>
            <w:pPr>
              <w:jc w:val="center"/>
              <w:rPr>
                <w:sz w:val="24"/>
              </w:rPr>
            </w:pPr>
            <w:r>
              <w:rPr>
                <w:sz w:val="24"/>
              </w:rPr>
              <w:t>10</w:t>
            </w:r>
            <w:r>
              <w:rPr>
                <w:rFonts w:hint="eastAsia"/>
                <w:sz w:val="24"/>
              </w:rPr>
              <w:t>0.00%</w:t>
            </w:r>
          </w:p>
        </w:tc>
        <w:tc>
          <w:tcPr>
            <w:tcW w:w="512" w:type="pct"/>
            <w:shd w:val="clear" w:color="auto" w:fill="auto"/>
            <w:vAlign w:val="center"/>
          </w:tcPr>
          <w:p>
            <w:pPr>
              <w:jc w:val="center"/>
              <w:rPr>
                <w:sz w:val="24"/>
              </w:rPr>
            </w:pPr>
            <w:r>
              <w:rPr>
                <w:rFonts w:hint="eastAsia"/>
                <w:sz w:val="24"/>
              </w:rPr>
              <w:t>3</w:t>
            </w:r>
          </w:p>
        </w:tc>
        <w:tc>
          <w:tcPr>
            <w:tcW w:w="510" w:type="pct"/>
            <w:shd w:val="clear" w:color="auto" w:fill="auto"/>
            <w:vAlign w:val="center"/>
          </w:tcPr>
          <w:p>
            <w:pPr>
              <w:jc w:val="center"/>
              <w:rPr>
                <w:sz w:val="24"/>
              </w:rPr>
            </w:pPr>
            <w:r>
              <w:rPr>
                <w:sz w:val="24"/>
              </w:rPr>
              <w:t>3.0</w:t>
            </w:r>
            <w:r>
              <w:rPr>
                <w:rFonts w:hint="eastAsia"/>
                <w:sz w:val="24"/>
              </w:rPr>
              <w:t>0</w:t>
            </w:r>
          </w:p>
        </w:tc>
        <w:tc>
          <w:tcPr>
            <w:tcW w:w="649" w:type="pct"/>
            <w:shd w:val="clear" w:color="auto" w:fill="auto"/>
            <w:noWrap/>
            <w:vAlign w:val="center"/>
          </w:tcPr>
          <w:p>
            <w:pPr>
              <w:jc w:val="center"/>
              <w:rPr>
                <w:sz w:val="24"/>
              </w:rPr>
            </w:pPr>
            <w:r>
              <w:rPr>
                <w:sz w:val="24"/>
              </w:rPr>
              <w:t>10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1706" w:type="pct"/>
            <w:shd w:val="clear" w:color="auto" w:fill="auto"/>
            <w:vAlign w:val="center"/>
          </w:tcPr>
          <w:p>
            <w:pPr>
              <w:widowControl/>
              <w:jc w:val="center"/>
              <w:rPr>
                <w:color w:val="000000"/>
                <w:kern w:val="0"/>
                <w:sz w:val="24"/>
              </w:rPr>
            </w:pPr>
            <w:r>
              <w:rPr>
                <w:rFonts w:hint="eastAsia"/>
                <w:sz w:val="24"/>
              </w:rPr>
              <w:t>设备质量达标率</w:t>
            </w:r>
          </w:p>
        </w:tc>
        <w:tc>
          <w:tcPr>
            <w:tcW w:w="768" w:type="pct"/>
            <w:shd w:val="clear" w:color="auto" w:fill="auto"/>
            <w:vAlign w:val="center"/>
          </w:tcPr>
          <w:p>
            <w:pPr>
              <w:jc w:val="center"/>
              <w:rPr>
                <w:sz w:val="24"/>
              </w:rPr>
            </w:pPr>
            <w:r>
              <w:rPr>
                <w:rFonts w:hint="eastAsia"/>
                <w:sz w:val="24"/>
              </w:rPr>
              <w:t>100%</w:t>
            </w:r>
          </w:p>
        </w:tc>
        <w:tc>
          <w:tcPr>
            <w:tcW w:w="855" w:type="pct"/>
            <w:shd w:val="clear" w:color="auto" w:fill="auto"/>
            <w:vAlign w:val="center"/>
          </w:tcPr>
          <w:p>
            <w:pPr>
              <w:jc w:val="center"/>
              <w:rPr>
                <w:sz w:val="24"/>
              </w:rPr>
            </w:pPr>
            <w:r>
              <w:rPr>
                <w:rFonts w:hint="eastAsia"/>
                <w:sz w:val="24"/>
              </w:rPr>
              <w:t>100.00%</w:t>
            </w:r>
          </w:p>
        </w:tc>
        <w:tc>
          <w:tcPr>
            <w:tcW w:w="512" w:type="pct"/>
            <w:shd w:val="clear" w:color="auto" w:fill="auto"/>
            <w:vAlign w:val="center"/>
          </w:tcPr>
          <w:p>
            <w:pPr>
              <w:jc w:val="center"/>
              <w:rPr>
                <w:sz w:val="24"/>
              </w:rPr>
            </w:pPr>
            <w:r>
              <w:rPr>
                <w:rFonts w:hint="eastAsia"/>
                <w:sz w:val="24"/>
              </w:rPr>
              <w:t>2</w:t>
            </w:r>
          </w:p>
        </w:tc>
        <w:tc>
          <w:tcPr>
            <w:tcW w:w="510" w:type="pct"/>
            <w:shd w:val="clear" w:color="auto" w:fill="auto"/>
            <w:vAlign w:val="center"/>
          </w:tcPr>
          <w:p>
            <w:pPr>
              <w:jc w:val="center"/>
              <w:rPr>
                <w:sz w:val="24"/>
              </w:rPr>
            </w:pPr>
            <w:r>
              <w:rPr>
                <w:rFonts w:hint="eastAsia"/>
                <w:sz w:val="24"/>
              </w:rPr>
              <w:t>2.00</w:t>
            </w:r>
          </w:p>
        </w:tc>
        <w:tc>
          <w:tcPr>
            <w:tcW w:w="649"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06" w:type="pct"/>
            <w:shd w:val="clear" w:color="auto" w:fill="auto"/>
            <w:vAlign w:val="center"/>
          </w:tcPr>
          <w:p>
            <w:pPr>
              <w:widowControl/>
              <w:jc w:val="center"/>
              <w:rPr>
                <w:color w:val="000000"/>
                <w:kern w:val="0"/>
                <w:sz w:val="24"/>
              </w:rPr>
            </w:pPr>
            <w:r>
              <w:rPr>
                <w:rFonts w:hint="eastAsia"/>
                <w:sz w:val="24"/>
              </w:rPr>
              <w:t>图书质量合格率</w:t>
            </w:r>
          </w:p>
        </w:tc>
        <w:tc>
          <w:tcPr>
            <w:tcW w:w="768" w:type="pct"/>
            <w:shd w:val="clear" w:color="auto" w:fill="auto"/>
            <w:vAlign w:val="center"/>
          </w:tcPr>
          <w:p>
            <w:pPr>
              <w:jc w:val="center"/>
              <w:rPr>
                <w:sz w:val="24"/>
              </w:rPr>
            </w:pPr>
            <w:r>
              <w:rPr>
                <w:rFonts w:hint="eastAsia"/>
                <w:sz w:val="24"/>
              </w:rPr>
              <w:t>100%</w:t>
            </w:r>
          </w:p>
        </w:tc>
        <w:tc>
          <w:tcPr>
            <w:tcW w:w="855" w:type="pct"/>
            <w:shd w:val="clear" w:color="auto" w:fill="auto"/>
            <w:vAlign w:val="center"/>
          </w:tcPr>
          <w:p>
            <w:pPr>
              <w:jc w:val="center"/>
              <w:rPr>
                <w:sz w:val="24"/>
              </w:rPr>
            </w:pPr>
            <w:r>
              <w:rPr>
                <w:rFonts w:hint="eastAsia"/>
                <w:sz w:val="24"/>
              </w:rPr>
              <w:t>100.00%</w:t>
            </w:r>
          </w:p>
        </w:tc>
        <w:tc>
          <w:tcPr>
            <w:tcW w:w="512" w:type="pct"/>
            <w:shd w:val="clear" w:color="auto" w:fill="auto"/>
            <w:vAlign w:val="center"/>
          </w:tcPr>
          <w:p>
            <w:pPr>
              <w:jc w:val="center"/>
              <w:rPr>
                <w:sz w:val="24"/>
              </w:rPr>
            </w:pPr>
            <w:r>
              <w:rPr>
                <w:rFonts w:hint="eastAsia"/>
                <w:sz w:val="24"/>
              </w:rPr>
              <w:t>2</w:t>
            </w:r>
          </w:p>
        </w:tc>
        <w:tc>
          <w:tcPr>
            <w:tcW w:w="510" w:type="pct"/>
            <w:shd w:val="clear" w:color="auto" w:fill="auto"/>
            <w:vAlign w:val="center"/>
          </w:tcPr>
          <w:p>
            <w:pPr>
              <w:jc w:val="center"/>
              <w:rPr>
                <w:sz w:val="24"/>
              </w:rPr>
            </w:pPr>
            <w:r>
              <w:rPr>
                <w:rFonts w:hint="eastAsia"/>
                <w:sz w:val="24"/>
              </w:rPr>
              <w:t>2.00</w:t>
            </w:r>
          </w:p>
        </w:tc>
        <w:tc>
          <w:tcPr>
            <w:tcW w:w="649"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06" w:type="pct"/>
            <w:shd w:val="clear" w:color="auto" w:fill="auto"/>
            <w:vAlign w:val="center"/>
          </w:tcPr>
          <w:p>
            <w:pPr>
              <w:widowControl/>
              <w:jc w:val="center"/>
              <w:rPr>
                <w:sz w:val="24"/>
              </w:rPr>
            </w:pPr>
            <w:r>
              <w:rPr>
                <w:rFonts w:hint="eastAsia"/>
                <w:sz w:val="24"/>
              </w:rPr>
              <w:t>实训室工程验收合格率</w:t>
            </w:r>
          </w:p>
        </w:tc>
        <w:tc>
          <w:tcPr>
            <w:tcW w:w="768" w:type="pct"/>
            <w:shd w:val="clear" w:color="auto" w:fill="auto"/>
            <w:vAlign w:val="center"/>
          </w:tcPr>
          <w:p>
            <w:pPr>
              <w:jc w:val="center"/>
              <w:rPr>
                <w:sz w:val="24"/>
              </w:rPr>
            </w:pPr>
            <w:r>
              <w:rPr>
                <w:rFonts w:hint="eastAsia"/>
                <w:sz w:val="24"/>
              </w:rPr>
              <w:t>100%</w:t>
            </w:r>
          </w:p>
        </w:tc>
        <w:tc>
          <w:tcPr>
            <w:tcW w:w="855" w:type="pct"/>
            <w:shd w:val="clear" w:color="auto" w:fill="auto"/>
            <w:vAlign w:val="center"/>
          </w:tcPr>
          <w:p>
            <w:pPr>
              <w:jc w:val="center"/>
              <w:rPr>
                <w:sz w:val="24"/>
              </w:rPr>
            </w:pPr>
            <w:r>
              <w:rPr>
                <w:rFonts w:hint="eastAsia"/>
                <w:sz w:val="24"/>
              </w:rPr>
              <w:t>100.00%</w:t>
            </w:r>
          </w:p>
        </w:tc>
        <w:tc>
          <w:tcPr>
            <w:tcW w:w="512" w:type="pct"/>
            <w:shd w:val="clear" w:color="auto" w:fill="auto"/>
            <w:vAlign w:val="center"/>
          </w:tcPr>
          <w:p>
            <w:pPr>
              <w:jc w:val="center"/>
              <w:rPr>
                <w:sz w:val="24"/>
              </w:rPr>
            </w:pPr>
            <w:r>
              <w:rPr>
                <w:rFonts w:hint="eastAsia"/>
                <w:sz w:val="24"/>
              </w:rPr>
              <w:t>2</w:t>
            </w:r>
          </w:p>
        </w:tc>
        <w:tc>
          <w:tcPr>
            <w:tcW w:w="510" w:type="pct"/>
            <w:shd w:val="clear" w:color="auto" w:fill="auto"/>
            <w:vAlign w:val="center"/>
          </w:tcPr>
          <w:p>
            <w:pPr>
              <w:jc w:val="center"/>
              <w:rPr>
                <w:sz w:val="24"/>
              </w:rPr>
            </w:pPr>
            <w:r>
              <w:rPr>
                <w:rFonts w:hint="eastAsia"/>
                <w:sz w:val="24"/>
              </w:rPr>
              <w:t>2.00</w:t>
            </w:r>
          </w:p>
        </w:tc>
        <w:tc>
          <w:tcPr>
            <w:tcW w:w="649"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06" w:type="pct"/>
            <w:shd w:val="clear" w:color="auto" w:fill="auto"/>
            <w:vAlign w:val="center"/>
          </w:tcPr>
          <w:p>
            <w:pPr>
              <w:widowControl/>
              <w:jc w:val="center"/>
              <w:rPr>
                <w:sz w:val="24"/>
              </w:rPr>
            </w:pPr>
            <w:r>
              <w:rPr>
                <w:rFonts w:hint="eastAsia"/>
                <w:sz w:val="24"/>
              </w:rPr>
              <w:t>设备购置完成及时率</w:t>
            </w:r>
          </w:p>
        </w:tc>
        <w:tc>
          <w:tcPr>
            <w:tcW w:w="768" w:type="pct"/>
            <w:shd w:val="clear" w:color="auto" w:fill="auto"/>
            <w:vAlign w:val="center"/>
          </w:tcPr>
          <w:p>
            <w:pPr>
              <w:jc w:val="center"/>
              <w:rPr>
                <w:sz w:val="24"/>
              </w:rPr>
            </w:pPr>
            <w:r>
              <w:rPr>
                <w:rFonts w:hint="eastAsia"/>
                <w:sz w:val="24"/>
              </w:rPr>
              <w:t>100%</w:t>
            </w:r>
          </w:p>
        </w:tc>
        <w:tc>
          <w:tcPr>
            <w:tcW w:w="855" w:type="pct"/>
            <w:shd w:val="clear" w:color="auto" w:fill="auto"/>
            <w:vAlign w:val="center"/>
          </w:tcPr>
          <w:p>
            <w:pPr>
              <w:jc w:val="center"/>
              <w:rPr>
                <w:sz w:val="24"/>
              </w:rPr>
            </w:pPr>
            <w:r>
              <w:rPr>
                <w:rFonts w:hint="eastAsia"/>
                <w:sz w:val="24"/>
              </w:rPr>
              <w:t>60.00%</w:t>
            </w:r>
          </w:p>
        </w:tc>
        <w:tc>
          <w:tcPr>
            <w:tcW w:w="512" w:type="pct"/>
            <w:shd w:val="clear" w:color="auto" w:fill="auto"/>
            <w:vAlign w:val="center"/>
          </w:tcPr>
          <w:p>
            <w:pPr>
              <w:jc w:val="center"/>
              <w:rPr>
                <w:sz w:val="24"/>
              </w:rPr>
            </w:pPr>
            <w:r>
              <w:rPr>
                <w:rFonts w:hint="eastAsia"/>
                <w:sz w:val="24"/>
              </w:rPr>
              <w:t>4</w:t>
            </w:r>
          </w:p>
        </w:tc>
        <w:tc>
          <w:tcPr>
            <w:tcW w:w="510" w:type="pct"/>
            <w:shd w:val="clear" w:color="auto" w:fill="auto"/>
            <w:vAlign w:val="center"/>
          </w:tcPr>
          <w:p>
            <w:pPr>
              <w:jc w:val="center"/>
              <w:rPr>
                <w:sz w:val="24"/>
              </w:rPr>
            </w:pPr>
            <w:r>
              <w:rPr>
                <w:rFonts w:hint="eastAsia"/>
                <w:sz w:val="24"/>
              </w:rPr>
              <w:t>2.40</w:t>
            </w:r>
          </w:p>
        </w:tc>
        <w:tc>
          <w:tcPr>
            <w:tcW w:w="649" w:type="pct"/>
            <w:shd w:val="clear" w:color="auto" w:fill="auto"/>
            <w:noWrap/>
            <w:vAlign w:val="center"/>
          </w:tcPr>
          <w:p>
            <w:pPr>
              <w:jc w:val="center"/>
              <w:rPr>
                <w:sz w:val="24"/>
              </w:rPr>
            </w:pPr>
            <w:r>
              <w:rPr>
                <w:rFonts w:hint="eastAsia"/>
                <w:sz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06" w:type="pct"/>
            <w:shd w:val="clear" w:color="auto" w:fill="auto"/>
            <w:vAlign w:val="center"/>
          </w:tcPr>
          <w:p>
            <w:pPr>
              <w:widowControl/>
              <w:jc w:val="center"/>
              <w:rPr>
                <w:color w:val="000000"/>
                <w:kern w:val="0"/>
                <w:sz w:val="24"/>
              </w:rPr>
            </w:pPr>
            <w:r>
              <w:rPr>
                <w:rFonts w:hint="eastAsia"/>
                <w:sz w:val="24"/>
              </w:rPr>
              <w:t>工程验收及时率</w:t>
            </w:r>
          </w:p>
        </w:tc>
        <w:tc>
          <w:tcPr>
            <w:tcW w:w="768" w:type="pct"/>
            <w:shd w:val="clear" w:color="auto" w:fill="auto"/>
            <w:vAlign w:val="center"/>
          </w:tcPr>
          <w:p>
            <w:pPr>
              <w:jc w:val="center"/>
              <w:rPr>
                <w:sz w:val="24"/>
              </w:rPr>
            </w:pPr>
            <w:r>
              <w:rPr>
                <w:rFonts w:hint="eastAsia"/>
                <w:sz w:val="24"/>
              </w:rPr>
              <w:t>100%</w:t>
            </w:r>
          </w:p>
        </w:tc>
        <w:tc>
          <w:tcPr>
            <w:tcW w:w="855" w:type="pct"/>
            <w:shd w:val="clear" w:color="auto" w:fill="auto"/>
            <w:vAlign w:val="center"/>
          </w:tcPr>
          <w:p>
            <w:pPr>
              <w:jc w:val="center"/>
              <w:rPr>
                <w:sz w:val="24"/>
              </w:rPr>
            </w:pPr>
            <w:r>
              <w:rPr>
                <w:rFonts w:hint="eastAsia"/>
                <w:sz w:val="24"/>
              </w:rPr>
              <w:t>100.00%</w:t>
            </w:r>
          </w:p>
        </w:tc>
        <w:tc>
          <w:tcPr>
            <w:tcW w:w="512" w:type="pct"/>
            <w:shd w:val="clear" w:color="auto" w:fill="auto"/>
            <w:vAlign w:val="center"/>
          </w:tcPr>
          <w:p>
            <w:pPr>
              <w:jc w:val="center"/>
              <w:rPr>
                <w:sz w:val="24"/>
              </w:rPr>
            </w:pPr>
            <w:r>
              <w:rPr>
                <w:rFonts w:hint="eastAsia"/>
                <w:sz w:val="24"/>
              </w:rPr>
              <w:t>4</w:t>
            </w:r>
          </w:p>
        </w:tc>
        <w:tc>
          <w:tcPr>
            <w:tcW w:w="510" w:type="pct"/>
            <w:shd w:val="clear" w:color="auto" w:fill="auto"/>
            <w:vAlign w:val="center"/>
          </w:tcPr>
          <w:p>
            <w:pPr>
              <w:jc w:val="center"/>
              <w:rPr>
                <w:sz w:val="24"/>
              </w:rPr>
            </w:pPr>
            <w:r>
              <w:rPr>
                <w:rFonts w:hint="eastAsia"/>
                <w:sz w:val="24"/>
              </w:rPr>
              <w:t>4.00</w:t>
            </w:r>
          </w:p>
        </w:tc>
        <w:tc>
          <w:tcPr>
            <w:tcW w:w="649"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1706" w:type="pct"/>
            <w:shd w:val="clear" w:color="auto" w:fill="auto"/>
            <w:vAlign w:val="center"/>
          </w:tcPr>
          <w:p>
            <w:pPr>
              <w:widowControl/>
              <w:jc w:val="center"/>
              <w:rPr>
                <w:sz w:val="24"/>
              </w:rPr>
            </w:pPr>
            <w:r>
              <w:rPr>
                <w:rFonts w:hint="eastAsia"/>
                <w:sz w:val="24"/>
              </w:rPr>
              <w:t>教学质量提升设备</w:t>
            </w:r>
          </w:p>
          <w:p>
            <w:pPr>
              <w:widowControl/>
              <w:jc w:val="center"/>
              <w:rPr>
                <w:sz w:val="24"/>
              </w:rPr>
            </w:pPr>
            <w:r>
              <w:rPr>
                <w:rFonts w:hint="eastAsia"/>
                <w:sz w:val="24"/>
              </w:rPr>
              <w:t>购置预算控制数</w:t>
            </w:r>
          </w:p>
        </w:tc>
        <w:tc>
          <w:tcPr>
            <w:tcW w:w="768" w:type="pct"/>
            <w:shd w:val="clear" w:color="auto" w:fill="auto"/>
            <w:vAlign w:val="center"/>
          </w:tcPr>
          <w:p>
            <w:pPr>
              <w:widowControl/>
              <w:jc w:val="center"/>
              <w:rPr>
                <w:color w:val="000000"/>
                <w:kern w:val="0"/>
                <w:sz w:val="24"/>
              </w:rPr>
            </w:pPr>
            <w:r>
              <w:rPr>
                <w:rFonts w:hint="eastAsia"/>
                <w:sz w:val="24"/>
              </w:rPr>
              <w:t>有效控制</w:t>
            </w:r>
          </w:p>
        </w:tc>
        <w:tc>
          <w:tcPr>
            <w:tcW w:w="855" w:type="pct"/>
            <w:shd w:val="clear" w:color="auto" w:fill="auto"/>
            <w:vAlign w:val="center"/>
          </w:tcPr>
          <w:p>
            <w:pPr>
              <w:widowControl/>
              <w:jc w:val="center"/>
              <w:rPr>
                <w:color w:val="000000"/>
                <w:kern w:val="0"/>
                <w:sz w:val="24"/>
              </w:rPr>
            </w:pPr>
            <w:r>
              <w:rPr>
                <w:rFonts w:hint="eastAsia"/>
                <w:color w:val="000000"/>
                <w:kern w:val="0"/>
                <w:sz w:val="24"/>
              </w:rPr>
              <w:t>有效控制</w:t>
            </w:r>
          </w:p>
        </w:tc>
        <w:tc>
          <w:tcPr>
            <w:tcW w:w="512" w:type="pct"/>
            <w:shd w:val="clear" w:color="auto" w:fill="auto"/>
            <w:vAlign w:val="center"/>
          </w:tcPr>
          <w:p>
            <w:pPr>
              <w:jc w:val="center"/>
              <w:rPr>
                <w:sz w:val="24"/>
              </w:rPr>
            </w:pPr>
            <w:r>
              <w:rPr>
                <w:rFonts w:hint="eastAsia"/>
                <w:sz w:val="24"/>
              </w:rPr>
              <w:t>3</w:t>
            </w:r>
          </w:p>
        </w:tc>
        <w:tc>
          <w:tcPr>
            <w:tcW w:w="510" w:type="pct"/>
            <w:shd w:val="clear" w:color="auto" w:fill="auto"/>
            <w:vAlign w:val="center"/>
          </w:tcPr>
          <w:p>
            <w:pPr>
              <w:jc w:val="center"/>
              <w:rPr>
                <w:sz w:val="24"/>
              </w:rPr>
            </w:pPr>
            <w:r>
              <w:rPr>
                <w:sz w:val="24"/>
              </w:rPr>
              <w:t>3</w:t>
            </w:r>
            <w:r>
              <w:rPr>
                <w:rFonts w:hint="eastAsia"/>
                <w:sz w:val="24"/>
              </w:rPr>
              <w:t>.00</w:t>
            </w:r>
          </w:p>
        </w:tc>
        <w:tc>
          <w:tcPr>
            <w:tcW w:w="649" w:type="pct"/>
            <w:shd w:val="clear" w:color="auto" w:fill="auto"/>
            <w:noWrap/>
            <w:vAlign w:val="center"/>
          </w:tcPr>
          <w:p>
            <w:pPr>
              <w:jc w:val="center"/>
              <w:rPr>
                <w:sz w:val="24"/>
              </w:rPr>
            </w:pPr>
            <w:r>
              <w:rPr>
                <w:sz w:val="24"/>
              </w:rPr>
              <w:t>10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06" w:type="pct"/>
            <w:shd w:val="clear" w:color="auto" w:fill="auto"/>
            <w:vAlign w:val="center"/>
          </w:tcPr>
          <w:p>
            <w:pPr>
              <w:widowControl/>
              <w:jc w:val="center"/>
              <w:rPr>
                <w:sz w:val="24"/>
              </w:rPr>
            </w:pPr>
            <w:r>
              <w:rPr>
                <w:rFonts w:hint="eastAsia"/>
                <w:sz w:val="24"/>
              </w:rPr>
              <w:t>图书购置预算控制数</w:t>
            </w:r>
          </w:p>
        </w:tc>
        <w:tc>
          <w:tcPr>
            <w:tcW w:w="768" w:type="pct"/>
            <w:shd w:val="clear" w:color="auto" w:fill="auto"/>
            <w:vAlign w:val="center"/>
          </w:tcPr>
          <w:p>
            <w:pPr>
              <w:widowControl/>
              <w:jc w:val="center"/>
              <w:rPr>
                <w:color w:val="000000"/>
                <w:kern w:val="0"/>
                <w:sz w:val="24"/>
              </w:rPr>
            </w:pPr>
            <w:r>
              <w:rPr>
                <w:rFonts w:hint="eastAsia"/>
                <w:sz w:val="24"/>
              </w:rPr>
              <w:t>有效控制</w:t>
            </w:r>
          </w:p>
        </w:tc>
        <w:tc>
          <w:tcPr>
            <w:tcW w:w="855" w:type="pct"/>
            <w:shd w:val="clear" w:color="auto" w:fill="auto"/>
            <w:vAlign w:val="center"/>
          </w:tcPr>
          <w:p>
            <w:pPr>
              <w:widowControl/>
              <w:jc w:val="center"/>
              <w:rPr>
                <w:color w:val="000000"/>
                <w:kern w:val="0"/>
                <w:sz w:val="24"/>
              </w:rPr>
            </w:pPr>
            <w:r>
              <w:rPr>
                <w:rFonts w:hint="eastAsia"/>
                <w:sz w:val="24"/>
              </w:rPr>
              <w:t>有效控制</w:t>
            </w:r>
          </w:p>
        </w:tc>
        <w:tc>
          <w:tcPr>
            <w:tcW w:w="512" w:type="pct"/>
            <w:shd w:val="clear" w:color="auto" w:fill="auto"/>
            <w:vAlign w:val="center"/>
          </w:tcPr>
          <w:p>
            <w:pPr>
              <w:jc w:val="center"/>
              <w:rPr>
                <w:sz w:val="24"/>
              </w:rPr>
            </w:pPr>
            <w:r>
              <w:rPr>
                <w:rFonts w:hint="eastAsia"/>
                <w:sz w:val="24"/>
              </w:rPr>
              <w:t>3</w:t>
            </w:r>
          </w:p>
        </w:tc>
        <w:tc>
          <w:tcPr>
            <w:tcW w:w="510" w:type="pct"/>
            <w:shd w:val="clear" w:color="auto" w:fill="auto"/>
            <w:vAlign w:val="center"/>
          </w:tcPr>
          <w:p>
            <w:pPr>
              <w:jc w:val="center"/>
              <w:rPr>
                <w:sz w:val="24"/>
              </w:rPr>
            </w:pPr>
            <w:r>
              <w:rPr>
                <w:rFonts w:hint="eastAsia"/>
                <w:sz w:val="24"/>
              </w:rPr>
              <w:t>3.00</w:t>
            </w:r>
          </w:p>
        </w:tc>
        <w:tc>
          <w:tcPr>
            <w:tcW w:w="649"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06" w:type="pct"/>
            <w:shd w:val="clear" w:color="auto" w:fill="auto"/>
            <w:vAlign w:val="center"/>
          </w:tcPr>
          <w:p>
            <w:pPr>
              <w:widowControl/>
              <w:jc w:val="center"/>
              <w:rPr>
                <w:sz w:val="24"/>
              </w:rPr>
            </w:pPr>
            <w:r>
              <w:rPr>
                <w:rFonts w:hint="eastAsia"/>
                <w:sz w:val="24"/>
              </w:rPr>
              <w:t>图书馆配套设备</w:t>
            </w:r>
          </w:p>
          <w:p>
            <w:pPr>
              <w:widowControl/>
              <w:jc w:val="center"/>
              <w:rPr>
                <w:color w:val="000000"/>
                <w:kern w:val="0"/>
                <w:sz w:val="24"/>
              </w:rPr>
            </w:pPr>
            <w:r>
              <w:rPr>
                <w:rFonts w:hint="eastAsia"/>
                <w:sz w:val="24"/>
              </w:rPr>
              <w:t>购置预算控制数</w:t>
            </w:r>
          </w:p>
        </w:tc>
        <w:tc>
          <w:tcPr>
            <w:tcW w:w="768" w:type="pct"/>
            <w:shd w:val="clear" w:color="auto" w:fill="auto"/>
            <w:vAlign w:val="center"/>
          </w:tcPr>
          <w:p>
            <w:pPr>
              <w:widowControl/>
              <w:jc w:val="center"/>
              <w:rPr>
                <w:color w:val="000000"/>
                <w:kern w:val="0"/>
                <w:sz w:val="24"/>
              </w:rPr>
            </w:pPr>
            <w:r>
              <w:rPr>
                <w:rFonts w:hint="eastAsia"/>
                <w:sz w:val="24"/>
              </w:rPr>
              <w:t>有效控制</w:t>
            </w:r>
          </w:p>
        </w:tc>
        <w:tc>
          <w:tcPr>
            <w:tcW w:w="855" w:type="pct"/>
            <w:shd w:val="clear" w:color="auto" w:fill="auto"/>
            <w:vAlign w:val="center"/>
          </w:tcPr>
          <w:p>
            <w:pPr>
              <w:widowControl/>
              <w:jc w:val="center"/>
              <w:rPr>
                <w:color w:val="000000"/>
                <w:kern w:val="0"/>
                <w:sz w:val="24"/>
              </w:rPr>
            </w:pPr>
            <w:r>
              <w:rPr>
                <w:rFonts w:hint="eastAsia"/>
                <w:color w:val="000000"/>
                <w:kern w:val="0"/>
                <w:sz w:val="24"/>
              </w:rPr>
              <w:t>未有效控制</w:t>
            </w:r>
          </w:p>
        </w:tc>
        <w:tc>
          <w:tcPr>
            <w:tcW w:w="512" w:type="pct"/>
            <w:shd w:val="clear" w:color="auto" w:fill="auto"/>
            <w:vAlign w:val="center"/>
          </w:tcPr>
          <w:p>
            <w:pPr>
              <w:jc w:val="center"/>
              <w:rPr>
                <w:sz w:val="24"/>
              </w:rPr>
            </w:pPr>
            <w:r>
              <w:rPr>
                <w:rFonts w:hint="eastAsia"/>
                <w:sz w:val="24"/>
              </w:rPr>
              <w:t>3</w:t>
            </w:r>
          </w:p>
        </w:tc>
        <w:tc>
          <w:tcPr>
            <w:tcW w:w="510" w:type="pct"/>
            <w:shd w:val="clear" w:color="auto" w:fill="auto"/>
            <w:vAlign w:val="center"/>
          </w:tcPr>
          <w:p>
            <w:pPr>
              <w:jc w:val="center"/>
              <w:rPr>
                <w:sz w:val="24"/>
              </w:rPr>
            </w:pPr>
            <w:r>
              <w:rPr>
                <w:rFonts w:hint="eastAsia"/>
                <w:sz w:val="24"/>
              </w:rPr>
              <w:t>2.</w:t>
            </w:r>
            <w:r>
              <w:rPr>
                <w:sz w:val="24"/>
              </w:rPr>
              <w:t>7</w:t>
            </w:r>
            <w:r>
              <w:rPr>
                <w:rFonts w:hint="eastAsia"/>
                <w:sz w:val="24"/>
              </w:rPr>
              <w:t>0</w:t>
            </w:r>
          </w:p>
        </w:tc>
        <w:tc>
          <w:tcPr>
            <w:tcW w:w="649" w:type="pct"/>
            <w:shd w:val="clear" w:color="auto" w:fill="auto"/>
            <w:noWrap/>
            <w:vAlign w:val="center"/>
          </w:tcPr>
          <w:p>
            <w:pPr>
              <w:jc w:val="center"/>
              <w:rPr>
                <w:sz w:val="24"/>
              </w:rPr>
            </w:pPr>
            <w:r>
              <w:rPr>
                <w:sz w:val="24"/>
              </w:rPr>
              <w:t>9</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706" w:type="pct"/>
            <w:shd w:val="clear" w:color="auto" w:fill="auto"/>
            <w:vAlign w:val="center"/>
          </w:tcPr>
          <w:p>
            <w:pPr>
              <w:widowControl/>
              <w:jc w:val="center"/>
              <w:rPr>
                <w:sz w:val="24"/>
              </w:rPr>
            </w:pPr>
            <w:r>
              <w:rPr>
                <w:rFonts w:hint="eastAsia"/>
                <w:sz w:val="24"/>
              </w:rPr>
              <w:t>教室文化建设装修</w:t>
            </w:r>
          </w:p>
          <w:p>
            <w:pPr>
              <w:widowControl/>
              <w:jc w:val="center"/>
              <w:rPr>
                <w:color w:val="000000"/>
                <w:kern w:val="0"/>
                <w:sz w:val="24"/>
              </w:rPr>
            </w:pPr>
            <w:r>
              <w:rPr>
                <w:rFonts w:hint="eastAsia"/>
                <w:sz w:val="24"/>
              </w:rPr>
              <w:t>预算控制数</w:t>
            </w:r>
          </w:p>
        </w:tc>
        <w:tc>
          <w:tcPr>
            <w:tcW w:w="768" w:type="pct"/>
            <w:shd w:val="clear" w:color="auto" w:fill="auto"/>
            <w:vAlign w:val="center"/>
          </w:tcPr>
          <w:p>
            <w:pPr>
              <w:widowControl/>
              <w:jc w:val="center"/>
              <w:rPr>
                <w:color w:val="000000"/>
                <w:kern w:val="0"/>
                <w:sz w:val="24"/>
              </w:rPr>
            </w:pPr>
            <w:r>
              <w:rPr>
                <w:rFonts w:hint="eastAsia"/>
                <w:sz w:val="24"/>
              </w:rPr>
              <w:t>有效控制</w:t>
            </w:r>
          </w:p>
        </w:tc>
        <w:tc>
          <w:tcPr>
            <w:tcW w:w="855" w:type="pct"/>
            <w:shd w:val="clear" w:color="auto" w:fill="auto"/>
            <w:vAlign w:val="center"/>
          </w:tcPr>
          <w:p>
            <w:pPr>
              <w:widowControl/>
              <w:jc w:val="center"/>
              <w:rPr>
                <w:color w:val="000000"/>
                <w:kern w:val="0"/>
                <w:sz w:val="24"/>
              </w:rPr>
            </w:pPr>
            <w:r>
              <w:rPr>
                <w:rFonts w:hint="eastAsia"/>
                <w:color w:val="000000"/>
                <w:kern w:val="0"/>
                <w:sz w:val="24"/>
              </w:rPr>
              <w:t>有效控制</w:t>
            </w:r>
          </w:p>
        </w:tc>
        <w:tc>
          <w:tcPr>
            <w:tcW w:w="512" w:type="pct"/>
            <w:shd w:val="clear" w:color="auto" w:fill="auto"/>
            <w:vAlign w:val="center"/>
          </w:tcPr>
          <w:p>
            <w:pPr>
              <w:jc w:val="center"/>
              <w:rPr>
                <w:sz w:val="24"/>
              </w:rPr>
            </w:pPr>
            <w:r>
              <w:rPr>
                <w:rFonts w:hint="eastAsia"/>
                <w:sz w:val="24"/>
              </w:rPr>
              <w:t>3</w:t>
            </w:r>
          </w:p>
        </w:tc>
        <w:tc>
          <w:tcPr>
            <w:tcW w:w="510" w:type="pct"/>
            <w:shd w:val="clear" w:color="auto" w:fill="auto"/>
            <w:vAlign w:val="center"/>
          </w:tcPr>
          <w:p>
            <w:pPr>
              <w:jc w:val="center"/>
              <w:rPr>
                <w:sz w:val="24"/>
              </w:rPr>
            </w:pPr>
            <w:r>
              <w:rPr>
                <w:sz w:val="24"/>
              </w:rPr>
              <w:t>3.0</w:t>
            </w:r>
            <w:r>
              <w:rPr>
                <w:rFonts w:hint="eastAsia"/>
                <w:sz w:val="24"/>
              </w:rPr>
              <w:t>0</w:t>
            </w:r>
          </w:p>
        </w:tc>
        <w:tc>
          <w:tcPr>
            <w:tcW w:w="649" w:type="pct"/>
            <w:shd w:val="clear" w:color="auto" w:fill="auto"/>
            <w:noWrap/>
            <w:vAlign w:val="center"/>
          </w:tcPr>
          <w:p>
            <w:pPr>
              <w:jc w:val="center"/>
              <w:rPr>
                <w:sz w:val="24"/>
              </w:rPr>
            </w:pPr>
            <w:r>
              <w:rPr>
                <w:sz w:val="24"/>
              </w:rPr>
              <w:t>10</w:t>
            </w:r>
            <w:r>
              <w:rPr>
                <w:rFonts w:hint="eastAsia"/>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329" w:type="pct"/>
            <w:gridSpan w:val="3"/>
            <w:shd w:val="clear" w:color="auto" w:fill="auto"/>
            <w:vAlign w:val="center"/>
          </w:tcPr>
          <w:p>
            <w:pPr>
              <w:widowControl/>
              <w:jc w:val="center"/>
              <w:rPr>
                <w:b/>
                <w:bCs/>
                <w:color w:val="000000"/>
                <w:kern w:val="0"/>
                <w:sz w:val="24"/>
              </w:rPr>
            </w:pPr>
            <w:r>
              <w:rPr>
                <w:rFonts w:hint="eastAsia"/>
                <w:b/>
                <w:bCs/>
                <w:sz w:val="24"/>
              </w:rPr>
              <w:t>合计</w:t>
            </w:r>
          </w:p>
        </w:tc>
        <w:tc>
          <w:tcPr>
            <w:tcW w:w="512" w:type="pct"/>
            <w:shd w:val="clear" w:color="auto" w:fill="auto"/>
            <w:vAlign w:val="center"/>
          </w:tcPr>
          <w:p>
            <w:pPr>
              <w:jc w:val="center"/>
              <w:rPr>
                <w:sz w:val="24"/>
              </w:rPr>
            </w:pPr>
            <w:r>
              <w:rPr>
                <w:rFonts w:hint="eastAsia"/>
                <w:sz w:val="24"/>
              </w:rPr>
              <w:t>44</w:t>
            </w:r>
          </w:p>
        </w:tc>
        <w:tc>
          <w:tcPr>
            <w:tcW w:w="510" w:type="pct"/>
            <w:shd w:val="clear" w:color="auto" w:fill="auto"/>
            <w:vAlign w:val="center"/>
          </w:tcPr>
          <w:p>
            <w:pPr>
              <w:jc w:val="center"/>
              <w:rPr>
                <w:sz w:val="24"/>
              </w:rPr>
            </w:pPr>
            <w:r>
              <w:rPr>
                <w:sz w:val="24"/>
              </w:rPr>
              <w:t>41.50</w:t>
            </w:r>
          </w:p>
        </w:tc>
        <w:tc>
          <w:tcPr>
            <w:tcW w:w="649" w:type="pct"/>
            <w:shd w:val="clear" w:color="auto" w:fill="auto"/>
            <w:noWrap/>
            <w:vAlign w:val="center"/>
          </w:tcPr>
          <w:p>
            <w:pPr>
              <w:jc w:val="center"/>
              <w:rPr>
                <w:sz w:val="24"/>
              </w:rPr>
            </w:pPr>
            <w:r>
              <w:rPr>
                <w:sz w:val="24"/>
              </w:rPr>
              <w:t>94.32</w:t>
            </w:r>
            <w:r>
              <w:rPr>
                <w:rFonts w:hint="eastAsia"/>
                <w:sz w:val="24"/>
              </w:rPr>
              <w:t>%</w:t>
            </w:r>
          </w:p>
        </w:tc>
      </w:tr>
    </w:tbl>
    <w:p>
      <w:pPr>
        <w:pStyle w:val="18"/>
        <w:spacing w:line="240" w:lineRule="auto"/>
        <w:ind w:firstLine="640"/>
        <w:rPr>
          <w:sz w:val="32"/>
          <w:szCs w:val="32"/>
        </w:rPr>
      </w:pPr>
      <w:r>
        <w:rPr>
          <w:rFonts w:hint="eastAsia"/>
          <w:sz w:val="32"/>
          <w:szCs w:val="32"/>
        </w:rPr>
        <w:t>1</w:t>
      </w:r>
      <w:r>
        <w:rPr>
          <w:sz w:val="32"/>
          <w:szCs w:val="32"/>
        </w:rPr>
        <w:t>.</w:t>
      </w:r>
      <w:r>
        <w:rPr>
          <w:rFonts w:hint="eastAsia"/>
          <w:sz w:val="32"/>
          <w:szCs w:val="32"/>
        </w:rPr>
        <w:t>产出数量</w:t>
      </w:r>
    </w:p>
    <w:p>
      <w:pPr>
        <w:pStyle w:val="18"/>
        <w:spacing w:line="240" w:lineRule="auto"/>
        <w:ind w:firstLine="640"/>
        <w:rPr>
          <w:sz w:val="32"/>
          <w:szCs w:val="32"/>
        </w:rPr>
      </w:pPr>
      <w:r>
        <w:rPr>
          <w:rFonts w:hint="eastAsia"/>
          <w:sz w:val="32"/>
          <w:szCs w:val="32"/>
        </w:rPr>
        <w:t>产出数量指标分值1</w:t>
      </w:r>
      <w:r>
        <w:rPr>
          <w:sz w:val="32"/>
          <w:szCs w:val="32"/>
        </w:rPr>
        <w:t>8</w:t>
      </w:r>
      <w:r>
        <w:rPr>
          <w:rFonts w:hint="eastAsia"/>
          <w:sz w:val="32"/>
          <w:szCs w:val="32"/>
        </w:rPr>
        <w:t>分，得分1</w:t>
      </w:r>
      <w:r>
        <w:rPr>
          <w:sz w:val="32"/>
          <w:szCs w:val="32"/>
        </w:rPr>
        <w:t>7.4</w:t>
      </w:r>
      <w:r>
        <w:rPr>
          <w:rFonts w:hint="eastAsia"/>
          <w:sz w:val="32"/>
          <w:szCs w:val="32"/>
        </w:rPr>
        <w:t>分，得分率</w:t>
      </w:r>
      <w:r>
        <w:rPr>
          <w:sz w:val="32"/>
          <w:szCs w:val="32"/>
        </w:rPr>
        <w:t>96.67</w:t>
      </w:r>
      <w:r>
        <w:rPr>
          <w:rFonts w:hint="eastAsia"/>
          <w:sz w:val="32"/>
          <w:szCs w:val="32"/>
        </w:rPr>
        <w:t>%。</w:t>
      </w:r>
    </w:p>
    <w:p>
      <w:pPr>
        <w:pStyle w:val="18"/>
        <w:spacing w:line="240" w:lineRule="auto"/>
        <w:ind w:firstLine="640"/>
        <w:rPr>
          <w:sz w:val="32"/>
          <w:szCs w:val="32"/>
        </w:rPr>
      </w:pPr>
      <w:r>
        <w:rPr>
          <w:rFonts w:hint="eastAsia"/>
          <w:sz w:val="32"/>
          <w:szCs w:val="32"/>
        </w:rPr>
        <w:t>（1）</w:t>
      </w:r>
      <w:r>
        <w:rPr>
          <w:sz w:val="32"/>
          <w:szCs w:val="32"/>
        </w:rPr>
        <w:t>教学质量提升设备购置数量完成率</w:t>
      </w:r>
      <w:r>
        <w:rPr>
          <w:rFonts w:hint="eastAsia"/>
          <w:sz w:val="32"/>
          <w:szCs w:val="32"/>
        </w:rPr>
        <w:t>（3分）</w:t>
      </w:r>
    </w:p>
    <w:p>
      <w:pPr>
        <w:pStyle w:val="18"/>
        <w:spacing w:line="240" w:lineRule="auto"/>
        <w:ind w:firstLine="640"/>
        <w:rPr>
          <w:sz w:val="32"/>
          <w:szCs w:val="32"/>
        </w:rPr>
      </w:pPr>
      <w:r>
        <w:rPr>
          <w:rFonts w:hint="eastAsia"/>
          <w:sz w:val="32"/>
          <w:szCs w:val="32"/>
        </w:rPr>
        <w:t>根据项目的支出计划、采购合同及验收报告，教学质量提升项目计划购置500台教学设备、打造3个实训室，实际完成购置603台教学设备、打造了3个实训室，实际完成率120.60%。根据评分规则，该指标得100%权重分。</w:t>
      </w:r>
    </w:p>
    <w:p>
      <w:pPr>
        <w:pStyle w:val="18"/>
        <w:spacing w:line="240" w:lineRule="auto"/>
        <w:ind w:firstLine="640"/>
        <w:rPr>
          <w:sz w:val="32"/>
          <w:szCs w:val="32"/>
        </w:rPr>
      </w:pPr>
      <w:r>
        <w:rPr>
          <w:rFonts w:hint="eastAsia"/>
          <w:sz w:val="32"/>
          <w:szCs w:val="32"/>
        </w:rPr>
        <w:t>（2）</w:t>
      </w:r>
      <w:r>
        <w:rPr>
          <w:sz w:val="32"/>
          <w:szCs w:val="32"/>
        </w:rPr>
        <w:t>图书购置数量完成率</w:t>
      </w:r>
      <w:r>
        <w:rPr>
          <w:rFonts w:hint="eastAsia"/>
          <w:sz w:val="32"/>
          <w:szCs w:val="32"/>
        </w:rPr>
        <w:t>（3分）</w:t>
      </w:r>
    </w:p>
    <w:p>
      <w:pPr>
        <w:pStyle w:val="18"/>
        <w:spacing w:line="240" w:lineRule="auto"/>
        <w:ind w:firstLine="640"/>
        <w:rPr>
          <w:sz w:val="32"/>
          <w:szCs w:val="32"/>
        </w:rPr>
      </w:pPr>
      <w:r>
        <w:rPr>
          <w:sz w:val="32"/>
          <w:szCs w:val="32"/>
        </w:rPr>
        <w:t>根据项目的支出计划及现场访谈了解，图书购置项目计划购置40000册；根据采购合同及验收报告，实际购置3951种图书，共计40000册，实际完成率100%。根据评分规则，该指标得100%权重分。</w:t>
      </w:r>
    </w:p>
    <w:p>
      <w:pPr>
        <w:pStyle w:val="18"/>
        <w:spacing w:line="240" w:lineRule="auto"/>
        <w:ind w:firstLine="640"/>
        <w:rPr>
          <w:sz w:val="32"/>
          <w:szCs w:val="32"/>
        </w:rPr>
      </w:pPr>
      <w:r>
        <w:rPr>
          <w:rFonts w:hint="eastAsia"/>
          <w:sz w:val="32"/>
          <w:szCs w:val="32"/>
        </w:rPr>
        <w:t>（3）</w:t>
      </w:r>
      <w:r>
        <w:rPr>
          <w:sz w:val="32"/>
          <w:szCs w:val="32"/>
        </w:rPr>
        <w:t>图书馆配套设备购置数量完成率</w:t>
      </w:r>
      <w:r>
        <w:rPr>
          <w:rFonts w:hint="eastAsia"/>
          <w:sz w:val="32"/>
          <w:szCs w:val="32"/>
        </w:rPr>
        <w:t>（3分）</w:t>
      </w:r>
    </w:p>
    <w:p>
      <w:pPr>
        <w:pStyle w:val="18"/>
        <w:spacing w:line="240" w:lineRule="auto"/>
        <w:ind w:firstLine="640"/>
        <w:rPr>
          <w:sz w:val="32"/>
          <w:szCs w:val="32"/>
        </w:rPr>
      </w:pPr>
      <w:r>
        <w:rPr>
          <w:rFonts w:hint="eastAsia"/>
          <w:sz w:val="32"/>
          <w:szCs w:val="32"/>
        </w:rPr>
        <w:t>根据项目的支出计划、采购合同及验收报告，本项目购置了11种图书馆配套设备，其他种类实际产出数≥计划数，除以下项目：①图书馆配套设备购置项目计划购置书架40组，实际购置15组，实际完成率为37.5%，扣10%权重分；②计划购置电脑30台，实际购置电脑0台，实际完成率为0%，扣10%权重分。根据评分规则，该指标得80%权重分。</w:t>
      </w:r>
    </w:p>
    <w:p>
      <w:pPr>
        <w:pStyle w:val="18"/>
        <w:spacing w:line="240" w:lineRule="auto"/>
        <w:ind w:firstLine="640"/>
        <w:rPr>
          <w:sz w:val="32"/>
          <w:szCs w:val="32"/>
        </w:rPr>
      </w:pPr>
      <w:r>
        <w:rPr>
          <w:rFonts w:hint="eastAsia"/>
          <w:sz w:val="32"/>
          <w:szCs w:val="32"/>
        </w:rPr>
        <w:t>（4）</w:t>
      </w:r>
      <w:r>
        <w:rPr>
          <w:sz w:val="32"/>
          <w:szCs w:val="32"/>
        </w:rPr>
        <w:t>幼儿保育卫生保健实训室设备购置数量完成率</w:t>
      </w:r>
      <w:r>
        <w:rPr>
          <w:rFonts w:hint="eastAsia"/>
          <w:sz w:val="32"/>
          <w:szCs w:val="32"/>
        </w:rPr>
        <w:t>（3分）</w:t>
      </w:r>
    </w:p>
    <w:p>
      <w:pPr>
        <w:pStyle w:val="18"/>
        <w:spacing w:line="240" w:lineRule="auto"/>
        <w:ind w:firstLine="640"/>
        <w:rPr>
          <w:sz w:val="32"/>
          <w:szCs w:val="32"/>
        </w:rPr>
      </w:pPr>
      <w:r>
        <w:rPr>
          <w:rFonts w:hint="eastAsia"/>
          <w:sz w:val="32"/>
          <w:szCs w:val="32"/>
        </w:rPr>
        <w:t>根据项目的采购合同、验收报告及基础数据表，本项目计划购置交互平板、急救箱、智能膳食营养模型等12种教学设备，实际购置16种教学设备，新增了教具柜、空调、立式身高体重仪、卧式身高体重仪4种设备，实际完成率</w:t>
      </w:r>
      <w:r>
        <w:rPr>
          <w:sz w:val="32"/>
          <w:szCs w:val="32"/>
        </w:rPr>
        <w:t>100.00</w:t>
      </w:r>
      <w:r>
        <w:rPr>
          <w:rFonts w:hint="eastAsia"/>
          <w:sz w:val="32"/>
          <w:szCs w:val="32"/>
        </w:rPr>
        <w:t>%。根据评分规则，该指标得100%权重分。</w:t>
      </w:r>
    </w:p>
    <w:p>
      <w:pPr>
        <w:pStyle w:val="18"/>
        <w:spacing w:line="240" w:lineRule="auto"/>
        <w:ind w:firstLine="640"/>
        <w:rPr>
          <w:sz w:val="32"/>
          <w:szCs w:val="32"/>
        </w:rPr>
      </w:pPr>
      <w:r>
        <w:rPr>
          <w:rFonts w:hint="eastAsia"/>
          <w:sz w:val="32"/>
          <w:szCs w:val="32"/>
        </w:rPr>
        <w:t>（5）幼儿保育卫生保健实训室工程量完工率（3分）</w:t>
      </w:r>
    </w:p>
    <w:p>
      <w:pPr>
        <w:pStyle w:val="18"/>
        <w:spacing w:line="240" w:lineRule="auto"/>
        <w:ind w:firstLine="640"/>
        <w:rPr>
          <w:sz w:val="32"/>
          <w:szCs w:val="32"/>
        </w:rPr>
      </w:pPr>
      <w:r>
        <w:rPr>
          <w:rFonts w:hint="eastAsia"/>
          <w:sz w:val="32"/>
          <w:szCs w:val="32"/>
        </w:rPr>
        <w:t>根据项目的采购合同、验收报告及基础数据表，本项目计划建设一间卫生保健实训室，建设内容包括地面修复、墙面粉刷、墙皮处理、线路改造等，实际完工一间实训室，计划工程量都已完成，实际完成率100%。根据评分规则，该指标得100%权重分。</w:t>
      </w:r>
    </w:p>
    <w:p>
      <w:pPr>
        <w:pStyle w:val="18"/>
        <w:spacing w:line="240" w:lineRule="auto"/>
        <w:ind w:firstLine="640"/>
        <w:rPr>
          <w:sz w:val="32"/>
          <w:szCs w:val="32"/>
        </w:rPr>
      </w:pPr>
      <w:r>
        <w:rPr>
          <w:rFonts w:hint="eastAsia"/>
          <w:sz w:val="32"/>
          <w:szCs w:val="32"/>
        </w:rPr>
        <w:t>（6）</w:t>
      </w:r>
      <w:r>
        <w:rPr>
          <w:sz w:val="32"/>
          <w:szCs w:val="32"/>
        </w:rPr>
        <w:t>幼儿保育舞蹈实训室工程量完工率</w:t>
      </w:r>
      <w:r>
        <w:rPr>
          <w:rFonts w:hint="eastAsia"/>
          <w:sz w:val="32"/>
          <w:szCs w:val="32"/>
        </w:rPr>
        <w:t>（3分）</w:t>
      </w:r>
    </w:p>
    <w:p>
      <w:pPr>
        <w:pStyle w:val="18"/>
        <w:spacing w:line="240" w:lineRule="auto"/>
        <w:ind w:firstLine="640"/>
        <w:rPr>
          <w:sz w:val="32"/>
          <w:szCs w:val="32"/>
        </w:rPr>
      </w:pPr>
      <w:r>
        <w:rPr>
          <w:rFonts w:hint="eastAsia"/>
          <w:sz w:val="32"/>
          <w:szCs w:val="32"/>
        </w:rPr>
        <w:t>根据项目的采购合同、验收报告及基础数据表、招标控制价审核公告，本项目计划建设一间舞蹈实训室，建设内容包括拆除玻璃隔断、拆除墙面展板、购置储物柜、购置塑胶地面、购置LED条形灯等，支出计划为116378.86元；实际完工一间实训室，采购合同金额为116378.86元，与支出计划一致。根据评分规则，该指标得100%权重分。</w:t>
      </w:r>
    </w:p>
    <w:p>
      <w:pPr>
        <w:pStyle w:val="18"/>
        <w:spacing w:line="240" w:lineRule="auto"/>
        <w:ind w:firstLine="640"/>
        <w:rPr>
          <w:sz w:val="32"/>
          <w:szCs w:val="32"/>
        </w:rPr>
      </w:pPr>
      <w:r>
        <w:rPr>
          <w:rFonts w:hint="eastAsia"/>
          <w:sz w:val="32"/>
          <w:szCs w:val="32"/>
        </w:rPr>
        <w:t>2</w:t>
      </w:r>
      <w:r>
        <w:rPr>
          <w:sz w:val="32"/>
          <w:szCs w:val="32"/>
        </w:rPr>
        <w:t>.</w:t>
      </w:r>
      <w:r>
        <w:rPr>
          <w:rFonts w:hint="eastAsia"/>
          <w:sz w:val="32"/>
          <w:szCs w:val="32"/>
        </w:rPr>
        <w:t>产出质量</w:t>
      </w:r>
    </w:p>
    <w:p>
      <w:pPr>
        <w:pStyle w:val="18"/>
        <w:spacing w:line="240" w:lineRule="auto"/>
        <w:ind w:firstLine="640"/>
        <w:rPr>
          <w:sz w:val="32"/>
          <w:szCs w:val="32"/>
        </w:rPr>
      </w:pPr>
      <w:r>
        <w:rPr>
          <w:rFonts w:hint="eastAsia"/>
          <w:sz w:val="32"/>
          <w:szCs w:val="32"/>
        </w:rPr>
        <w:t>产出质量指标分值6分，得分</w:t>
      </w:r>
      <w:r>
        <w:rPr>
          <w:sz w:val="32"/>
          <w:szCs w:val="32"/>
        </w:rPr>
        <w:t>6</w:t>
      </w:r>
      <w:r>
        <w:rPr>
          <w:rFonts w:hint="eastAsia"/>
          <w:sz w:val="32"/>
          <w:szCs w:val="32"/>
        </w:rPr>
        <w:t>份，得分率1</w:t>
      </w:r>
      <w:r>
        <w:rPr>
          <w:sz w:val="32"/>
          <w:szCs w:val="32"/>
        </w:rPr>
        <w:t>00</w:t>
      </w:r>
      <w:r>
        <w:rPr>
          <w:rFonts w:hint="eastAsia"/>
          <w:sz w:val="32"/>
          <w:szCs w:val="32"/>
        </w:rPr>
        <w:t>%。</w:t>
      </w:r>
    </w:p>
    <w:p>
      <w:pPr>
        <w:pStyle w:val="18"/>
        <w:spacing w:line="240" w:lineRule="auto"/>
        <w:ind w:firstLine="640"/>
        <w:rPr>
          <w:sz w:val="32"/>
          <w:szCs w:val="32"/>
        </w:rPr>
      </w:pPr>
      <w:r>
        <w:rPr>
          <w:rFonts w:hint="eastAsia"/>
          <w:sz w:val="32"/>
          <w:szCs w:val="32"/>
        </w:rPr>
        <w:t>（1）</w:t>
      </w:r>
      <w:r>
        <w:rPr>
          <w:sz w:val="32"/>
          <w:szCs w:val="32"/>
        </w:rPr>
        <w:t>设备质量达标率</w:t>
      </w:r>
      <w:r>
        <w:rPr>
          <w:rFonts w:hint="eastAsia"/>
          <w:sz w:val="32"/>
          <w:szCs w:val="32"/>
        </w:rPr>
        <w:t>（2分）</w:t>
      </w:r>
    </w:p>
    <w:p>
      <w:pPr>
        <w:pStyle w:val="18"/>
        <w:spacing w:line="240" w:lineRule="auto"/>
        <w:ind w:firstLine="640"/>
        <w:rPr>
          <w:sz w:val="32"/>
          <w:szCs w:val="32"/>
        </w:rPr>
      </w:pPr>
      <w:r>
        <w:rPr>
          <w:rFonts w:hint="eastAsia"/>
          <w:sz w:val="32"/>
          <w:szCs w:val="32"/>
        </w:rPr>
        <w:t>根据验收报告，设备购置履约验收结论性意见为合格，质量达标率为100%。根据评分规则，该指标得100%权重分。</w:t>
      </w:r>
    </w:p>
    <w:p>
      <w:pPr>
        <w:pStyle w:val="18"/>
        <w:spacing w:line="240" w:lineRule="auto"/>
        <w:ind w:firstLine="640"/>
        <w:rPr>
          <w:sz w:val="32"/>
          <w:szCs w:val="32"/>
        </w:rPr>
      </w:pPr>
      <w:r>
        <w:rPr>
          <w:rFonts w:hint="eastAsia"/>
          <w:sz w:val="32"/>
          <w:szCs w:val="32"/>
        </w:rPr>
        <w:t>（2）</w:t>
      </w:r>
      <w:r>
        <w:rPr>
          <w:sz w:val="32"/>
          <w:szCs w:val="32"/>
        </w:rPr>
        <w:t>图书质量合格率</w:t>
      </w:r>
      <w:r>
        <w:rPr>
          <w:rFonts w:hint="eastAsia"/>
          <w:sz w:val="32"/>
          <w:szCs w:val="32"/>
        </w:rPr>
        <w:t>（2分）</w:t>
      </w:r>
    </w:p>
    <w:p>
      <w:pPr>
        <w:pStyle w:val="18"/>
        <w:spacing w:line="240" w:lineRule="auto"/>
        <w:ind w:firstLine="640"/>
        <w:rPr>
          <w:sz w:val="32"/>
          <w:szCs w:val="32"/>
        </w:rPr>
      </w:pPr>
      <w:r>
        <w:rPr>
          <w:rFonts w:hint="eastAsia"/>
          <w:sz w:val="32"/>
          <w:szCs w:val="32"/>
        </w:rPr>
        <w:t>根据验收报告，图书采购项目履约验收结论性意见为合格，质量合格率为100%。根据评分规则，该指标得100%权重分。</w:t>
      </w:r>
    </w:p>
    <w:p>
      <w:pPr>
        <w:pStyle w:val="18"/>
        <w:spacing w:line="240" w:lineRule="auto"/>
        <w:ind w:firstLine="640"/>
        <w:rPr>
          <w:sz w:val="32"/>
          <w:szCs w:val="32"/>
        </w:rPr>
      </w:pPr>
      <w:r>
        <w:rPr>
          <w:rFonts w:hint="eastAsia"/>
          <w:sz w:val="32"/>
          <w:szCs w:val="32"/>
        </w:rPr>
        <w:t>（3）</w:t>
      </w:r>
      <w:r>
        <w:rPr>
          <w:sz w:val="32"/>
          <w:szCs w:val="32"/>
        </w:rPr>
        <w:t>实训室工程验收合格率</w:t>
      </w:r>
      <w:r>
        <w:rPr>
          <w:rFonts w:hint="eastAsia"/>
          <w:sz w:val="32"/>
          <w:szCs w:val="32"/>
        </w:rPr>
        <w:t>（2分）</w:t>
      </w:r>
    </w:p>
    <w:p>
      <w:pPr>
        <w:pStyle w:val="18"/>
        <w:spacing w:line="240" w:lineRule="auto"/>
        <w:ind w:firstLine="640"/>
        <w:rPr>
          <w:sz w:val="32"/>
          <w:szCs w:val="32"/>
        </w:rPr>
      </w:pPr>
      <w:r>
        <w:rPr>
          <w:rFonts w:hint="eastAsia"/>
          <w:sz w:val="32"/>
          <w:szCs w:val="32"/>
        </w:rPr>
        <w:t>根据验收报告，图书采购项目履约验收结论性意见为合格，质量合格率为100%。根据评分规则，该指标得100%权重分。</w:t>
      </w:r>
    </w:p>
    <w:p>
      <w:pPr>
        <w:pStyle w:val="18"/>
        <w:spacing w:line="240" w:lineRule="auto"/>
        <w:ind w:firstLine="640"/>
        <w:rPr>
          <w:sz w:val="32"/>
          <w:szCs w:val="32"/>
        </w:rPr>
      </w:pPr>
      <w:r>
        <w:rPr>
          <w:rFonts w:hint="eastAsia"/>
          <w:sz w:val="32"/>
          <w:szCs w:val="32"/>
        </w:rPr>
        <w:t>3</w:t>
      </w:r>
      <w:r>
        <w:rPr>
          <w:sz w:val="32"/>
          <w:szCs w:val="32"/>
        </w:rPr>
        <w:t>.</w:t>
      </w:r>
      <w:r>
        <w:rPr>
          <w:rFonts w:hint="eastAsia"/>
          <w:sz w:val="32"/>
          <w:szCs w:val="32"/>
        </w:rPr>
        <w:t>产出时效</w:t>
      </w:r>
    </w:p>
    <w:p>
      <w:pPr>
        <w:pStyle w:val="18"/>
        <w:spacing w:line="240" w:lineRule="auto"/>
        <w:ind w:firstLine="640"/>
        <w:rPr>
          <w:sz w:val="32"/>
          <w:szCs w:val="32"/>
        </w:rPr>
      </w:pPr>
      <w:r>
        <w:rPr>
          <w:rFonts w:hint="eastAsia"/>
          <w:sz w:val="32"/>
          <w:szCs w:val="32"/>
        </w:rPr>
        <w:t>产出时效指标分值8分，得分6</w:t>
      </w:r>
      <w:r>
        <w:rPr>
          <w:sz w:val="32"/>
          <w:szCs w:val="32"/>
        </w:rPr>
        <w:t>.4</w:t>
      </w:r>
      <w:r>
        <w:rPr>
          <w:rFonts w:hint="eastAsia"/>
          <w:sz w:val="32"/>
          <w:szCs w:val="32"/>
        </w:rPr>
        <w:t>分，得分率8</w:t>
      </w:r>
      <w:r>
        <w:rPr>
          <w:sz w:val="32"/>
          <w:szCs w:val="32"/>
        </w:rPr>
        <w:t>0</w:t>
      </w:r>
      <w:r>
        <w:rPr>
          <w:rFonts w:hint="eastAsia"/>
          <w:sz w:val="32"/>
          <w:szCs w:val="32"/>
        </w:rPr>
        <w:t>%。</w:t>
      </w:r>
    </w:p>
    <w:p>
      <w:pPr>
        <w:pStyle w:val="18"/>
        <w:spacing w:line="240" w:lineRule="auto"/>
        <w:ind w:firstLine="640"/>
        <w:rPr>
          <w:sz w:val="32"/>
          <w:szCs w:val="32"/>
        </w:rPr>
      </w:pPr>
      <w:r>
        <w:rPr>
          <w:rFonts w:hint="eastAsia"/>
          <w:sz w:val="32"/>
          <w:szCs w:val="32"/>
        </w:rPr>
        <w:t>（1）</w:t>
      </w:r>
      <w:r>
        <w:rPr>
          <w:sz w:val="32"/>
          <w:szCs w:val="32"/>
        </w:rPr>
        <w:t>设备购置完成及时率</w:t>
      </w:r>
      <w:r>
        <w:rPr>
          <w:rFonts w:hint="eastAsia"/>
          <w:sz w:val="32"/>
          <w:szCs w:val="32"/>
        </w:rPr>
        <w:t>（4分）</w:t>
      </w:r>
    </w:p>
    <w:p>
      <w:pPr>
        <w:pStyle w:val="18"/>
        <w:spacing w:line="240" w:lineRule="auto"/>
        <w:ind w:firstLine="640"/>
        <w:rPr>
          <w:sz w:val="32"/>
          <w:szCs w:val="32"/>
        </w:rPr>
      </w:pPr>
      <w:r>
        <w:rPr>
          <w:rFonts w:hint="eastAsia"/>
          <w:sz w:val="32"/>
          <w:szCs w:val="32"/>
        </w:rPr>
        <w:t>根据项目采购合同及验收报告，①质量提升项目A包于7月7日签订合同，约定验收日期为7月27日，实际验收日期为9月21日，扣20%权重分；②质量提升项目B包于7月7日签订合同，约定验收日期为7月27日，实际验收日期为9月21日，扣20%权重分；③图书采购项目于8月28日签订合同，实际验收时间为9月23日；④图书馆配套购置项目于8月23日签订合同，约定工期为30日，实际验收时间为9月23日；⑤幼儿保育卫生保健实训室建设项目于9月15日签订合同，约定于9月22日前交货，实际验收时间为9月21日；⑥幼儿保育舞蹈实训室建设项目于9月10日签订合同，合同约定于9月20日前验收，实际验收时间为9月18日。根据评分规则，该指标得60%权重分。</w:t>
      </w:r>
    </w:p>
    <w:p>
      <w:pPr>
        <w:pStyle w:val="18"/>
        <w:spacing w:line="240" w:lineRule="auto"/>
        <w:ind w:firstLine="640"/>
        <w:rPr>
          <w:sz w:val="32"/>
          <w:szCs w:val="32"/>
        </w:rPr>
      </w:pPr>
      <w:r>
        <w:rPr>
          <w:rFonts w:hint="eastAsia"/>
          <w:sz w:val="32"/>
          <w:szCs w:val="32"/>
        </w:rPr>
        <w:t>（2）</w:t>
      </w:r>
      <w:r>
        <w:rPr>
          <w:sz w:val="32"/>
          <w:szCs w:val="32"/>
        </w:rPr>
        <w:t>工程验收及时率</w:t>
      </w:r>
      <w:r>
        <w:rPr>
          <w:rFonts w:hint="eastAsia"/>
          <w:sz w:val="32"/>
          <w:szCs w:val="32"/>
        </w:rPr>
        <w:t>（4分）</w:t>
      </w:r>
    </w:p>
    <w:p>
      <w:pPr>
        <w:pStyle w:val="18"/>
        <w:spacing w:line="240" w:lineRule="auto"/>
        <w:ind w:firstLine="640"/>
        <w:rPr>
          <w:sz w:val="32"/>
          <w:szCs w:val="32"/>
        </w:rPr>
      </w:pPr>
      <w:r>
        <w:rPr>
          <w:rFonts w:hint="eastAsia"/>
          <w:sz w:val="32"/>
          <w:szCs w:val="32"/>
        </w:rPr>
        <w:t>根据项目采购合同及验收报告，①幼儿保育卫生保健实训室建设工程计划完成时间为9月22日，实际完成时间为9月21日；②幼儿保育舞蹈实训室设备采购项目计划完成时间为9月20日，实际完成时间为9月18日。根据评分规则，该指标得100%权重分。</w:t>
      </w:r>
    </w:p>
    <w:p>
      <w:pPr>
        <w:pStyle w:val="18"/>
        <w:spacing w:line="240" w:lineRule="auto"/>
        <w:ind w:firstLine="640"/>
        <w:rPr>
          <w:sz w:val="32"/>
          <w:szCs w:val="32"/>
        </w:rPr>
      </w:pPr>
      <w:r>
        <w:rPr>
          <w:rFonts w:hint="eastAsia"/>
          <w:sz w:val="32"/>
          <w:szCs w:val="32"/>
        </w:rPr>
        <w:t>4</w:t>
      </w:r>
      <w:r>
        <w:rPr>
          <w:sz w:val="32"/>
          <w:szCs w:val="32"/>
        </w:rPr>
        <w:t>.</w:t>
      </w:r>
      <w:r>
        <w:rPr>
          <w:rFonts w:hint="eastAsia"/>
          <w:sz w:val="32"/>
          <w:szCs w:val="32"/>
        </w:rPr>
        <w:t>产出成本</w:t>
      </w:r>
    </w:p>
    <w:p>
      <w:pPr>
        <w:pStyle w:val="18"/>
        <w:spacing w:line="240" w:lineRule="auto"/>
        <w:ind w:firstLine="640"/>
        <w:rPr>
          <w:sz w:val="32"/>
          <w:szCs w:val="32"/>
        </w:rPr>
      </w:pPr>
      <w:r>
        <w:rPr>
          <w:rFonts w:hint="eastAsia"/>
          <w:sz w:val="32"/>
          <w:szCs w:val="32"/>
        </w:rPr>
        <w:t>产出成本分值1</w:t>
      </w:r>
      <w:r>
        <w:rPr>
          <w:sz w:val="32"/>
          <w:szCs w:val="32"/>
        </w:rPr>
        <w:t>2</w:t>
      </w:r>
      <w:r>
        <w:rPr>
          <w:rFonts w:hint="eastAsia"/>
          <w:sz w:val="32"/>
          <w:szCs w:val="32"/>
        </w:rPr>
        <w:t>分，得分</w:t>
      </w:r>
      <w:r>
        <w:rPr>
          <w:sz w:val="32"/>
          <w:szCs w:val="32"/>
        </w:rPr>
        <w:t>11.7</w:t>
      </w:r>
      <w:r>
        <w:rPr>
          <w:rFonts w:hint="eastAsia"/>
          <w:sz w:val="32"/>
          <w:szCs w:val="32"/>
        </w:rPr>
        <w:t>分，得分率</w:t>
      </w:r>
      <w:r>
        <w:rPr>
          <w:sz w:val="32"/>
          <w:szCs w:val="32"/>
        </w:rPr>
        <w:t>97.5</w:t>
      </w:r>
      <w:r>
        <w:rPr>
          <w:rFonts w:hint="eastAsia"/>
          <w:sz w:val="32"/>
          <w:szCs w:val="32"/>
        </w:rPr>
        <w:t>%。</w:t>
      </w:r>
    </w:p>
    <w:p>
      <w:pPr>
        <w:pStyle w:val="18"/>
        <w:spacing w:line="240" w:lineRule="auto"/>
        <w:ind w:firstLine="640"/>
        <w:rPr>
          <w:sz w:val="32"/>
          <w:szCs w:val="32"/>
        </w:rPr>
      </w:pPr>
      <w:r>
        <w:rPr>
          <w:rFonts w:hint="eastAsia"/>
          <w:sz w:val="32"/>
          <w:szCs w:val="32"/>
        </w:rPr>
        <w:t>（1）</w:t>
      </w:r>
      <w:r>
        <w:rPr>
          <w:sz w:val="32"/>
          <w:szCs w:val="32"/>
        </w:rPr>
        <w:t>教学质量提升设备购置预算控制数</w:t>
      </w:r>
      <w:r>
        <w:rPr>
          <w:rFonts w:hint="eastAsia"/>
          <w:sz w:val="32"/>
          <w:szCs w:val="32"/>
        </w:rPr>
        <w:t>（3分）</w:t>
      </w:r>
    </w:p>
    <w:p>
      <w:pPr>
        <w:pStyle w:val="18"/>
        <w:ind w:firstLine="640"/>
        <w:rPr>
          <w:sz w:val="32"/>
          <w:szCs w:val="32"/>
        </w:rPr>
      </w:pPr>
      <w:r>
        <w:rPr>
          <w:rFonts w:hint="eastAsia"/>
          <w:sz w:val="32"/>
          <w:szCs w:val="32"/>
        </w:rPr>
        <w:t>根据项目的支出计划及采购合同、验收报告，教学质量提升项目计划成本320万，实际支出320万，该项目专项资金批复200万，未超出预算。根据评分规则，该指标得100%权重分。</w:t>
      </w:r>
    </w:p>
    <w:p>
      <w:pPr>
        <w:pStyle w:val="18"/>
        <w:spacing w:line="240" w:lineRule="auto"/>
        <w:ind w:firstLine="640"/>
        <w:rPr>
          <w:sz w:val="32"/>
          <w:szCs w:val="32"/>
        </w:rPr>
      </w:pPr>
      <w:r>
        <w:rPr>
          <w:rFonts w:hint="eastAsia"/>
          <w:sz w:val="32"/>
          <w:szCs w:val="32"/>
        </w:rPr>
        <w:t>（2）</w:t>
      </w:r>
      <w:r>
        <w:rPr>
          <w:sz w:val="32"/>
          <w:szCs w:val="32"/>
        </w:rPr>
        <w:t>图书购置预算控制数</w:t>
      </w:r>
      <w:r>
        <w:rPr>
          <w:rFonts w:hint="eastAsia"/>
          <w:sz w:val="32"/>
          <w:szCs w:val="32"/>
        </w:rPr>
        <w:t>（3分）</w:t>
      </w:r>
    </w:p>
    <w:p>
      <w:pPr>
        <w:pStyle w:val="18"/>
        <w:ind w:firstLine="640"/>
        <w:rPr>
          <w:sz w:val="32"/>
          <w:szCs w:val="32"/>
        </w:rPr>
      </w:pPr>
      <w:r>
        <w:rPr>
          <w:rFonts w:hint="eastAsia"/>
          <w:sz w:val="32"/>
          <w:szCs w:val="32"/>
        </w:rPr>
        <w:t>根据项目的支出计划及采购合同、验收报告，实际支出与计划成本相符，为280</w:t>
      </w:r>
      <w:r>
        <w:rPr>
          <w:sz w:val="32"/>
          <w:szCs w:val="32"/>
        </w:rPr>
        <w:t>,</w:t>
      </w:r>
      <w:r>
        <w:rPr>
          <w:rFonts w:hint="eastAsia"/>
          <w:sz w:val="32"/>
          <w:szCs w:val="32"/>
        </w:rPr>
        <w:t>800元，图书购置未超出预算。根据评分规则，该指标得100%权重分。</w:t>
      </w:r>
    </w:p>
    <w:p>
      <w:pPr>
        <w:pStyle w:val="18"/>
        <w:spacing w:line="240" w:lineRule="auto"/>
        <w:ind w:firstLine="640"/>
        <w:rPr>
          <w:sz w:val="32"/>
          <w:szCs w:val="32"/>
        </w:rPr>
      </w:pPr>
      <w:r>
        <w:rPr>
          <w:rFonts w:hint="eastAsia"/>
          <w:sz w:val="32"/>
          <w:szCs w:val="32"/>
        </w:rPr>
        <w:t>（3）</w:t>
      </w:r>
      <w:r>
        <w:rPr>
          <w:sz w:val="32"/>
          <w:szCs w:val="32"/>
        </w:rPr>
        <w:t>图书馆配套设备购置预算控制数</w:t>
      </w:r>
      <w:r>
        <w:rPr>
          <w:rFonts w:hint="eastAsia"/>
          <w:sz w:val="32"/>
          <w:szCs w:val="32"/>
        </w:rPr>
        <w:t>（3分）</w:t>
      </w:r>
    </w:p>
    <w:p>
      <w:pPr>
        <w:pStyle w:val="18"/>
        <w:spacing w:line="240" w:lineRule="auto"/>
        <w:ind w:firstLine="640"/>
        <w:rPr>
          <w:sz w:val="32"/>
          <w:szCs w:val="32"/>
        </w:rPr>
      </w:pPr>
      <w:r>
        <w:rPr>
          <w:rFonts w:hint="eastAsia"/>
          <w:sz w:val="32"/>
          <w:szCs w:val="32"/>
        </w:rPr>
        <w:t>根据项目的支出计划、采购合同及验收报告，本项目购置了1</w:t>
      </w:r>
      <w:r>
        <w:rPr>
          <w:sz w:val="32"/>
          <w:szCs w:val="32"/>
        </w:rPr>
        <w:t>0</w:t>
      </w:r>
      <w:r>
        <w:rPr>
          <w:rFonts w:hint="eastAsia"/>
          <w:sz w:val="32"/>
          <w:szCs w:val="32"/>
        </w:rPr>
        <w:t>种图书馆配套设备，其他种类实际产出数≥计划数，除以下项目：①计划购置图书管理系统0套，实际购置1套，超出预算，扣10%权重分。根据评分规则，该指标得90%权重分。</w:t>
      </w:r>
    </w:p>
    <w:p>
      <w:pPr>
        <w:pStyle w:val="18"/>
        <w:spacing w:line="240" w:lineRule="auto"/>
        <w:ind w:firstLine="640"/>
        <w:rPr>
          <w:sz w:val="32"/>
          <w:szCs w:val="32"/>
        </w:rPr>
      </w:pPr>
      <w:r>
        <w:rPr>
          <w:rFonts w:hint="eastAsia"/>
          <w:sz w:val="32"/>
          <w:szCs w:val="32"/>
        </w:rPr>
        <w:t>（4）</w:t>
      </w:r>
      <w:r>
        <w:rPr>
          <w:sz w:val="32"/>
          <w:szCs w:val="32"/>
        </w:rPr>
        <w:t>教室文化建设装修预算控制数</w:t>
      </w:r>
      <w:r>
        <w:rPr>
          <w:rFonts w:hint="eastAsia"/>
          <w:sz w:val="32"/>
          <w:szCs w:val="32"/>
        </w:rPr>
        <w:t>（3分）</w:t>
      </w:r>
    </w:p>
    <w:p>
      <w:pPr>
        <w:pStyle w:val="18"/>
        <w:spacing w:line="240" w:lineRule="auto"/>
        <w:ind w:firstLine="640"/>
        <w:rPr>
          <w:sz w:val="32"/>
          <w:szCs w:val="32"/>
        </w:rPr>
      </w:pPr>
      <w:r>
        <w:rPr>
          <w:rFonts w:hint="eastAsia"/>
          <w:sz w:val="32"/>
          <w:szCs w:val="32"/>
        </w:rPr>
        <w:t>根据项目的采购合同、验收报告及基础数据表，①卫生保健实训室建设项目计划购置交互平板、急救箱、智能膳食营养模型等13种教学设备，以及空调、多功能操作台、教具柜三种设备，与实际购置设备一致；②舞蹈实训室建设项目计划拆除玻璃隔断、拆除墙面展板、购置储物柜、购置塑胶地面、购置LED条形灯等，实际完工与计划相符。根据评分规则，该指标得100%权重分。</w:t>
      </w:r>
    </w:p>
    <w:p>
      <w:pPr>
        <w:pStyle w:val="4"/>
        <w:spacing w:line="240" w:lineRule="auto"/>
        <w:rPr>
          <w:szCs w:val="32"/>
        </w:rPr>
      </w:pPr>
      <w:bookmarkStart w:id="14" w:name="_Toc142381562"/>
      <w:r>
        <w:rPr>
          <w:rFonts w:hint="eastAsia"/>
          <w:szCs w:val="32"/>
        </w:rPr>
        <w:t>（四）项目效益情况</w:t>
      </w:r>
      <w:bookmarkEnd w:id="14"/>
    </w:p>
    <w:p>
      <w:pPr>
        <w:pStyle w:val="18"/>
        <w:spacing w:line="240" w:lineRule="auto"/>
        <w:ind w:firstLine="640"/>
        <w:rPr>
          <w:sz w:val="32"/>
          <w:szCs w:val="32"/>
        </w:rPr>
      </w:pPr>
      <w:r>
        <w:rPr>
          <w:rFonts w:hint="eastAsia"/>
          <w:sz w:val="32"/>
          <w:szCs w:val="32"/>
        </w:rPr>
        <w:t>项目效益类指标共分5个三级指标，权重共26分，实际得分26分，得分率为100%，各指标得分见表7。</w:t>
      </w:r>
    </w:p>
    <w:p>
      <w:pPr>
        <w:pStyle w:val="18"/>
        <w:spacing w:line="240" w:lineRule="auto"/>
        <w:ind w:firstLine="0" w:firstLineChars="0"/>
        <w:jc w:val="center"/>
        <w:rPr>
          <w:b/>
          <w:bCs/>
        </w:rPr>
      </w:pPr>
      <w:r>
        <w:rPr>
          <w:rFonts w:hint="eastAsia"/>
          <w:b/>
          <w:bCs/>
        </w:rPr>
        <w:t>表7 项目效益类指标得分情况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2"/>
        <w:gridCol w:w="1311"/>
        <w:gridCol w:w="1166"/>
        <w:gridCol w:w="873"/>
        <w:gridCol w:w="1009"/>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791" w:type="pct"/>
            <w:shd w:val="clear" w:color="auto" w:fill="E7E6E6" w:themeFill="background2"/>
            <w:vAlign w:val="center"/>
          </w:tcPr>
          <w:p>
            <w:pPr>
              <w:widowControl/>
              <w:jc w:val="center"/>
              <w:rPr>
                <w:rFonts w:cs="宋体"/>
                <w:b/>
                <w:bCs/>
                <w:color w:val="000000"/>
                <w:kern w:val="0"/>
                <w:sz w:val="28"/>
                <w:szCs w:val="28"/>
              </w:rPr>
            </w:pPr>
            <w:r>
              <w:rPr>
                <w:rFonts w:hint="eastAsia" w:cs="宋体"/>
                <w:b/>
                <w:bCs/>
                <w:color w:val="000000"/>
                <w:kern w:val="0"/>
                <w:sz w:val="28"/>
                <w:szCs w:val="28"/>
              </w:rPr>
              <w:t>三级指标</w:t>
            </w:r>
          </w:p>
        </w:tc>
        <w:tc>
          <w:tcPr>
            <w:tcW w:w="769" w:type="pct"/>
            <w:shd w:val="clear" w:color="auto" w:fill="E7E6E6" w:themeFill="background2"/>
            <w:vAlign w:val="center"/>
          </w:tcPr>
          <w:p>
            <w:pPr>
              <w:widowControl/>
              <w:jc w:val="center"/>
              <w:rPr>
                <w:rFonts w:cs="宋体"/>
                <w:b/>
                <w:bCs/>
                <w:color w:val="000000"/>
                <w:kern w:val="0"/>
                <w:sz w:val="28"/>
                <w:szCs w:val="28"/>
              </w:rPr>
            </w:pPr>
            <w:r>
              <w:rPr>
                <w:rFonts w:hint="eastAsia" w:cs="宋体"/>
                <w:b/>
                <w:bCs/>
                <w:color w:val="000000"/>
                <w:kern w:val="0"/>
                <w:sz w:val="28"/>
                <w:szCs w:val="28"/>
              </w:rPr>
              <w:t>目标值</w:t>
            </w:r>
          </w:p>
        </w:tc>
        <w:tc>
          <w:tcPr>
            <w:tcW w:w="684" w:type="pct"/>
            <w:shd w:val="clear" w:color="auto" w:fill="E7E6E6" w:themeFill="background2"/>
            <w:vAlign w:val="center"/>
          </w:tcPr>
          <w:p>
            <w:pPr>
              <w:widowControl/>
              <w:jc w:val="center"/>
              <w:rPr>
                <w:rFonts w:cs="宋体"/>
                <w:b/>
                <w:bCs/>
                <w:color w:val="000000"/>
                <w:kern w:val="0"/>
                <w:sz w:val="28"/>
                <w:szCs w:val="28"/>
              </w:rPr>
            </w:pPr>
            <w:r>
              <w:rPr>
                <w:rFonts w:hint="eastAsia" w:cs="宋体"/>
                <w:b/>
                <w:bCs/>
                <w:color w:val="000000"/>
                <w:kern w:val="0"/>
                <w:sz w:val="28"/>
                <w:szCs w:val="28"/>
              </w:rPr>
              <w:t>业绩值</w:t>
            </w:r>
          </w:p>
        </w:tc>
        <w:tc>
          <w:tcPr>
            <w:tcW w:w="512" w:type="pct"/>
            <w:shd w:val="clear" w:color="auto" w:fill="E7E6E6" w:themeFill="background2"/>
            <w:vAlign w:val="center"/>
          </w:tcPr>
          <w:p>
            <w:pPr>
              <w:widowControl/>
              <w:jc w:val="center"/>
              <w:rPr>
                <w:rFonts w:cs="宋体"/>
                <w:b/>
                <w:bCs/>
                <w:color w:val="000000"/>
                <w:kern w:val="0"/>
                <w:sz w:val="28"/>
                <w:szCs w:val="28"/>
              </w:rPr>
            </w:pPr>
            <w:r>
              <w:rPr>
                <w:rFonts w:hint="eastAsia" w:cs="宋体"/>
                <w:b/>
                <w:bCs/>
                <w:color w:val="000000"/>
                <w:kern w:val="0"/>
                <w:sz w:val="28"/>
                <w:szCs w:val="28"/>
              </w:rPr>
              <w:t>权重</w:t>
            </w:r>
          </w:p>
        </w:tc>
        <w:tc>
          <w:tcPr>
            <w:tcW w:w="592" w:type="pct"/>
            <w:shd w:val="clear" w:color="auto" w:fill="E7E6E6" w:themeFill="background2"/>
            <w:vAlign w:val="center"/>
          </w:tcPr>
          <w:p>
            <w:pPr>
              <w:widowControl/>
              <w:jc w:val="center"/>
              <w:rPr>
                <w:rFonts w:cs="宋体"/>
                <w:b/>
                <w:bCs/>
                <w:color w:val="000000"/>
                <w:kern w:val="0"/>
                <w:sz w:val="28"/>
                <w:szCs w:val="28"/>
              </w:rPr>
            </w:pPr>
            <w:r>
              <w:rPr>
                <w:rFonts w:hint="eastAsia" w:cs="宋体"/>
                <w:b/>
                <w:bCs/>
                <w:color w:val="000000"/>
                <w:kern w:val="0"/>
                <w:sz w:val="28"/>
                <w:szCs w:val="28"/>
              </w:rPr>
              <w:t>得分</w:t>
            </w:r>
          </w:p>
        </w:tc>
        <w:tc>
          <w:tcPr>
            <w:tcW w:w="652" w:type="pct"/>
            <w:shd w:val="clear" w:color="auto" w:fill="E7E6E6" w:themeFill="background2"/>
            <w:vAlign w:val="center"/>
          </w:tcPr>
          <w:p>
            <w:pPr>
              <w:widowControl/>
              <w:jc w:val="center"/>
              <w:rPr>
                <w:rFonts w:cs="宋体"/>
                <w:b/>
                <w:bCs/>
                <w:color w:val="000000"/>
                <w:kern w:val="0"/>
                <w:sz w:val="28"/>
                <w:szCs w:val="28"/>
              </w:rPr>
            </w:pPr>
            <w:r>
              <w:rPr>
                <w:rFonts w:hint="eastAsia" w:cs="宋体"/>
                <w:b/>
                <w:bCs/>
                <w:color w:val="000000"/>
                <w:kern w:val="0"/>
                <w:sz w:val="28"/>
                <w:szCs w:val="28"/>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pct"/>
            <w:shd w:val="clear" w:color="auto" w:fill="auto"/>
            <w:vAlign w:val="center"/>
          </w:tcPr>
          <w:p>
            <w:pPr>
              <w:widowControl/>
              <w:jc w:val="center"/>
              <w:rPr>
                <w:rFonts w:cs="宋体"/>
                <w:color w:val="000000"/>
                <w:kern w:val="0"/>
                <w:sz w:val="24"/>
              </w:rPr>
            </w:pPr>
            <w:r>
              <w:rPr>
                <w:rFonts w:hint="eastAsia" w:cs="宋体"/>
                <w:color w:val="000000"/>
                <w:kern w:val="0"/>
                <w:sz w:val="24"/>
              </w:rPr>
              <w:t>设备购置及装修后使用率</w:t>
            </w:r>
          </w:p>
        </w:tc>
        <w:tc>
          <w:tcPr>
            <w:tcW w:w="769" w:type="pct"/>
            <w:shd w:val="clear" w:color="auto" w:fill="auto"/>
            <w:vAlign w:val="center"/>
          </w:tcPr>
          <w:p>
            <w:pPr>
              <w:jc w:val="center"/>
              <w:rPr>
                <w:sz w:val="24"/>
              </w:rPr>
            </w:pPr>
            <w:r>
              <w:rPr>
                <w:rFonts w:hint="eastAsia"/>
                <w:sz w:val="24"/>
              </w:rPr>
              <w:t>100%</w:t>
            </w:r>
          </w:p>
        </w:tc>
        <w:tc>
          <w:tcPr>
            <w:tcW w:w="684" w:type="pct"/>
            <w:shd w:val="clear" w:color="auto" w:fill="auto"/>
            <w:vAlign w:val="center"/>
          </w:tcPr>
          <w:p>
            <w:pPr>
              <w:jc w:val="center"/>
              <w:rPr>
                <w:sz w:val="24"/>
              </w:rPr>
            </w:pPr>
            <w:r>
              <w:rPr>
                <w:rFonts w:hint="eastAsia"/>
                <w:sz w:val="24"/>
              </w:rPr>
              <w:t>100.00%</w:t>
            </w:r>
          </w:p>
        </w:tc>
        <w:tc>
          <w:tcPr>
            <w:tcW w:w="512" w:type="pct"/>
            <w:shd w:val="clear" w:color="auto" w:fill="auto"/>
            <w:vAlign w:val="center"/>
          </w:tcPr>
          <w:p>
            <w:pPr>
              <w:jc w:val="center"/>
              <w:rPr>
                <w:sz w:val="24"/>
              </w:rPr>
            </w:pPr>
            <w:r>
              <w:rPr>
                <w:rFonts w:hint="eastAsia"/>
                <w:sz w:val="24"/>
              </w:rPr>
              <w:t>5</w:t>
            </w:r>
          </w:p>
        </w:tc>
        <w:tc>
          <w:tcPr>
            <w:tcW w:w="592" w:type="pct"/>
            <w:shd w:val="clear" w:color="auto" w:fill="auto"/>
            <w:vAlign w:val="center"/>
          </w:tcPr>
          <w:p>
            <w:pPr>
              <w:jc w:val="center"/>
              <w:rPr>
                <w:sz w:val="24"/>
              </w:rPr>
            </w:pPr>
            <w:r>
              <w:rPr>
                <w:rFonts w:hint="eastAsia"/>
                <w:sz w:val="24"/>
              </w:rPr>
              <w:t>5.00</w:t>
            </w:r>
          </w:p>
        </w:tc>
        <w:tc>
          <w:tcPr>
            <w:tcW w:w="652"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pct"/>
            <w:shd w:val="clear" w:color="auto" w:fill="auto"/>
            <w:vAlign w:val="center"/>
          </w:tcPr>
          <w:p>
            <w:pPr>
              <w:widowControl/>
              <w:jc w:val="center"/>
              <w:rPr>
                <w:rFonts w:cs="宋体"/>
                <w:color w:val="000000"/>
                <w:kern w:val="0"/>
                <w:sz w:val="24"/>
              </w:rPr>
            </w:pPr>
            <w:r>
              <w:rPr>
                <w:rFonts w:hint="eastAsia" w:cs="宋体"/>
                <w:color w:val="000000"/>
                <w:kern w:val="0"/>
                <w:sz w:val="24"/>
              </w:rPr>
              <w:t>“1+X”证书通过率</w:t>
            </w:r>
          </w:p>
        </w:tc>
        <w:tc>
          <w:tcPr>
            <w:tcW w:w="769" w:type="pct"/>
            <w:shd w:val="clear" w:color="auto" w:fill="auto"/>
            <w:vAlign w:val="center"/>
          </w:tcPr>
          <w:p>
            <w:pPr>
              <w:jc w:val="center"/>
              <w:rPr>
                <w:sz w:val="24"/>
              </w:rPr>
            </w:pPr>
            <w:r>
              <w:rPr>
                <w:rFonts w:hint="eastAsia"/>
                <w:sz w:val="24"/>
              </w:rPr>
              <w:t>100%</w:t>
            </w:r>
          </w:p>
        </w:tc>
        <w:tc>
          <w:tcPr>
            <w:tcW w:w="684" w:type="pct"/>
            <w:shd w:val="clear" w:color="auto" w:fill="auto"/>
            <w:vAlign w:val="center"/>
          </w:tcPr>
          <w:p>
            <w:pPr>
              <w:jc w:val="center"/>
              <w:rPr>
                <w:sz w:val="24"/>
              </w:rPr>
            </w:pPr>
            <w:r>
              <w:rPr>
                <w:rFonts w:hint="eastAsia"/>
                <w:sz w:val="24"/>
              </w:rPr>
              <w:t>100.00%</w:t>
            </w:r>
          </w:p>
        </w:tc>
        <w:tc>
          <w:tcPr>
            <w:tcW w:w="512" w:type="pct"/>
            <w:shd w:val="clear" w:color="auto" w:fill="auto"/>
            <w:vAlign w:val="center"/>
          </w:tcPr>
          <w:p>
            <w:pPr>
              <w:jc w:val="center"/>
              <w:rPr>
                <w:sz w:val="24"/>
              </w:rPr>
            </w:pPr>
            <w:r>
              <w:rPr>
                <w:rFonts w:hint="eastAsia"/>
                <w:sz w:val="24"/>
              </w:rPr>
              <w:t>5</w:t>
            </w:r>
          </w:p>
        </w:tc>
        <w:tc>
          <w:tcPr>
            <w:tcW w:w="592" w:type="pct"/>
            <w:shd w:val="clear" w:color="auto" w:fill="auto"/>
            <w:vAlign w:val="center"/>
          </w:tcPr>
          <w:p>
            <w:pPr>
              <w:jc w:val="center"/>
              <w:rPr>
                <w:sz w:val="24"/>
              </w:rPr>
            </w:pPr>
            <w:r>
              <w:rPr>
                <w:rFonts w:hint="eastAsia"/>
                <w:sz w:val="24"/>
              </w:rPr>
              <w:t>5.00</w:t>
            </w:r>
          </w:p>
        </w:tc>
        <w:tc>
          <w:tcPr>
            <w:tcW w:w="652"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pct"/>
            <w:shd w:val="clear" w:color="auto" w:fill="auto"/>
            <w:vAlign w:val="center"/>
          </w:tcPr>
          <w:p>
            <w:pPr>
              <w:widowControl/>
              <w:jc w:val="center"/>
              <w:rPr>
                <w:rFonts w:cs="宋体"/>
                <w:color w:val="000000"/>
                <w:kern w:val="0"/>
                <w:sz w:val="24"/>
              </w:rPr>
            </w:pPr>
            <w:r>
              <w:rPr>
                <w:rFonts w:hint="eastAsia" w:cs="宋体"/>
                <w:color w:val="000000"/>
                <w:kern w:val="0"/>
                <w:sz w:val="24"/>
              </w:rPr>
              <w:t>招生情况</w:t>
            </w:r>
          </w:p>
        </w:tc>
        <w:tc>
          <w:tcPr>
            <w:tcW w:w="769" w:type="pct"/>
            <w:shd w:val="clear" w:color="auto" w:fill="auto"/>
            <w:vAlign w:val="center"/>
          </w:tcPr>
          <w:p>
            <w:pPr>
              <w:widowControl/>
              <w:jc w:val="center"/>
              <w:rPr>
                <w:rFonts w:cs="宋体"/>
                <w:color w:val="000000"/>
                <w:kern w:val="0"/>
                <w:sz w:val="24"/>
              </w:rPr>
            </w:pPr>
            <w:r>
              <w:rPr>
                <w:rFonts w:hint="eastAsia" w:cs="宋体"/>
                <w:color w:val="000000"/>
                <w:kern w:val="0"/>
                <w:sz w:val="24"/>
              </w:rPr>
              <w:t>上升</w:t>
            </w:r>
          </w:p>
        </w:tc>
        <w:tc>
          <w:tcPr>
            <w:tcW w:w="684" w:type="pct"/>
            <w:shd w:val="clear" w:color="auto" w:fill="auto"/>
            <w:vAlign w:val="center"/>
          </w:tcPr>
          <w:p>
            <w:pPr>
              <w:widowControl/>
              <w:jc w:val="center"/>
              <w:rPr>
                <w:rFonts w:cs="宋体"/>
                <w:color w:val="000000"/>
                <w:kern w:val="0"/>
                <w:sz w:val="24"/>
              </w:rPr>
            </w:pPr>
            <w:r>
              <w:rPr>
                <w:rFonts w:hint="eastAsia" w:cs="宋体"/>
                <w:color w:val="000000"/>
                <w:kern w:val="0"/>
                <w:sz w:val="24"/>
              </w:rPr>
              <w:t>上升</w:t>
            </w:r>
          </w:p>
        </w:tc>
        <w:tc>
          <w:tcPr>
            <w:tcW w:w="512" w:type="pct"/>
            <w:shd w:val="clear" w:color="auto" w:fill="auto"/>
            <w:vAlign w:val="center"/>
          </w:tcPr>
          <w:p>
            <w:pPr>
              <w:jc w:val="center"/>
              <w:rPr>
                <w:sz w:val="24"/>
              </w:rPr>
            </w:pPr>
            <w:r>
              <w:rPr>
                <w:rFonts w:hint="eastAsia"/>
                <w:sz w:val="24"/>
              </w:rPr>
              <w:t>5</w:t>
            </w:r>
          </w:p>
        </w:tc>
        <w:tc>
          <w:tcPr>
            <w:tcW w:w="592" w:type="pct"/>
            <w:shd w:val="clear" w:color="auto" w:fill="auto"/>
            <w:vAlign w:val="center"/>
          </w:tcPr>
          <w:p>
            <w:pPr>
              <w:jc w:val="center"/>
              <w:rPr>
                <w:sz w:val="24"/>
              </w:rPr>
            </w:pPr>
            <w:r>
              <w:rPr>
                <w:rFonts w:hint="eastAsia"/>
                <w:sz w:val="24"/>
              </w:rPr>
              <w:t>5.00</w:t>
            </w:r>
          </w:p>
        </w:tc>
        <w:tc>
          <w:tcPr>
            <w:tcW w:w="652"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pct"/>
            <w:shd w:val="clear" w:color="auto" w:fill="auto"/>
            <w:vAlign w:val="center"/>
          </w:tcPr>
          <w:p>
            <w:pPr>
              <w:widowControl/>
              <w:jc w:val="center"/>
              <w:rPr>
                <w:rFonts w:cs="宋体"/>
                <w:color w:val="000000"/>
                <w:kern w:val="0"/>
                <w:sz w:val="24"/>
              </w:rPr>
            </w:pPr>
            <w:r>
              <w:rPr>
                <w:rFonts w:hint="eastAsia" w:cs="宋体"/>
                <w:color w:val="000000"/>
                <w:kern w:val="0"/>
                <w:sz w:val="24"/>
              </w:rPr>
              <w:t>应届生就业情况</w:t>
            </w:r>
          </w:p>
        </w:tc>
        <w:tc>
          <w:tcPr>
            <w:tcW w:w="769" w:type="pct"/>
            <w:shd w:val="clear" w:color="auto" w:fill="auto"/>
            <w:vAlign w:val="center"/>
          </w:tcPr>
          <w:p>
            <w:pPr>
              <w:widowControl/>
              <w:jc w:val="center"/>
              <w:rPr>
                <w:rFonts w:cs="宋体"/>
                <w:color w:val="000000"/>
                <w:kern w:val="0"/>
                <w:sz w:val="24"/>
              </w:rPr>
            </w:pPr>
            <w:r>
              <w:rPr>
                <w:rFonts w:hint="eastAsia" w:cs="宋体"/>
                <w:color w:val="000000"/>
                <w:kern w:val="0"/>
                <w:sz w:val="24"/>
              </w:rPr>
              <w:t>上升</w:t>
            </w:r>
          </w:p>
        </w:tc>
        <w:tc>
          <w:tcPr>
            <w:tcW w:w="684" w:type="pct"/>
            <w:shd w:val="clear" w:color="auto" w:fill="auto"/>
            <w:vAlign w:val="center"/>
          </w:tcPr>
          <w:p>
            <w:pPr>
              <w:widowControl/>
              <w:jc w:val="center"/>
              <w:rPr>
                <w:rFonts w:cs="宋体"/>
                <w:color w:val="000000"/>
                <w:kern w:val="0"/>
                <w:sz w:val="24"/>
              </w:rPr>
            </w:pPr>
            <w:r>
              <w:rPr>
                <w:rFonts w:hint="eastAsia" w:cs="宋体"/>
                <w:color w:val="000000"/>
                <w:kern w:val="0"/>
                <w:sz w:val="24"/>
              </w:rPr>
              <w:t>上升</w:t>
            </w:r>
          </w:p>
        </w:tc>
        <w:tc>
          <w:tcPr>
            <w:tcW w:w="512" w:type="pct"/>
            <w:shd w:val="clear" w:color="auto" w:fill="auto"/>
            <w:vAlign w:val="center"/>
          </w:tcPr>
          <w:p>
            <w:pPr>
              <w:jc w:val="center"/>
              <w:rPr>
                <w:sz w:val="24"/>
              </w:rPr>
            </w:pPr>
            <w:r>
              <w:rPr>
                <w:rFonts w:hint="eastAsia"/>
                <w:sz w:val="24"/>
              </w:rPr>
              <w:t>5</w:t>
            </w:r>
          </w:p>
        </w:tc>
        <w:tc>
          <w:tcPr>
            <w:tcW w:w="592" w:type="pct"/>
            <w:shd w:val="clear" w:color="auto" w:fill="auto"/>
            <w:vAlign w:val="center"/>
          </w:tcPr>
          <w:p>
            <w:pPr>
              <w:jc w:val="center"/>
              <w:rPr>
                <w:sz w:val="24"/>
              </w:rPr>
            </w:pPr>
            <w:r>
              <w:rPr>
                <w:rFonts w:hint="eastAsia"/>
                <w:sz w:val="24"/>
              </w:rPr>
              <w:t>5.00</w:t>
            </w:r>
          </w:p>
        </w:tc>
        <w:tc>
          <w:tcPr>
            <w:tcW w:w="652"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1" w:type="pct"/>
            <w:shd w:val="clear" w:color="auto" w:fill="auto"/>
            <w:vAlign w:val="center"/>
          </w:tcPr>
          <w:p>
            <w:pPr>
              <w:widowControl/>
              <w:jc w:val="center"/>
              <w:rPr>
                <w:rFonts w:cs="宋体"/>
                <w:color w:val="000000"/>
                <w:kern w:val="0"/>
                <w:sz w:val="24"/>
              </w:rPr>
            </w:pPr>
            <w:r>
              <w:rPr>
                <w:rFonts w:hint="eastAsia" w:cs="宋体"/>
                <w:color w:val="000000"/>
                <w:kern w:val="0"/>
                <w:sz w:val="24"/>
              </w:rPr>
              <w:t>学生及教职工满意度</w:t>
            </w:r>
          </w:p>
        </w:tc>
        <w:tc>
          <w:tcPr>
            <w:tcW w:w="769" w:type="pct"/>
            <w:shd w:val="clear" w:color="auto" w:fill="auto"/>
            <w:vAlign w:val="center"/>
          </w:tcPr>
          <w:p>
            <w:pPr>
              <w:jc w:val="center"/>
              <w:rPr>
                <w:sz w:val="24"/>
              </w:rPr>
            </w:pPr>
            <w:r>
              <w:rPr>
                <w:rFonts w:hint="eastAsia"/>
                <w:sz w:val="24"/>
              </w:rPr>
              <w:t>100%</w:t>
            </w:r>
          </w:p>
        </w:tc>
        <w:tc>
          <w:tcPr>
            <w:tcW w:w="684" w:type="pct"/>
            <w:shd w:val="clear" w:color="auto" w:fill="auto"/>
            <w:vAlign w:val="center"/>
          </w:tcPr>
          <w:p>
            <w:pPr>
              <w:jc w:val="center"/>
              <w:rPr>
                <w:sz w:val="24"/>
              </w:rPr>
            </w:pPr>
            <w:r>
              <w:rPr>
                <w:rFonts w:hint="eastAsia"/>
                <w:sz w:val="24"/>
              </w:rPr>
              <w:t>96.95%</w:t>
            </w:r>
          </w:p>
        </w:tc>
        <w:tc>
          <w:tcPr>
            <w:tcW w:w="512" w:type="pct"/>
            <w:shd w:val="clear" w:color="auto" w:fill="auto"/>
            <w:vAlign w:val="center"/>
          </w:tcPr>
          <w:p>
            <w:pPr>
              <w:jc w:val="center"/>
              <w:rPr>
                <w:sz w:val="24"/>
              </w:rPr>
            </w:pPr>
            <w:r>
              <w:rPr>
                <w:rFonts w:hint="eastAsia"/>
                <w:sz w:val="24"/>
              </w:rPr>
              <w:t>6</w:t>
            </w:r>
          </w:p>
        </w:tc>
        <w:tc>
          <w:tcPr>
            <w:tcW w:w="592" w:type="pct"/>
            <w:shd w:val="clear" w:color="auto" w:fill="auto"/>
            <w:vAlign w:val="center"/>
          </w:tcPr>
          <w:p>
            <w:pPr>
              <w:jc w:val="center"/>
              <w:rPr>
                <w:sz w:val="24"/>
              </w:rPr>
            </w:pPr>
            <w:r>
              <w:rPr>
                <w:rFonts w:hint="eastAsia"/>
                <w:sz w:val="24"/>
              </w:rPr>
              <w:t>6.00</w:t>
            </w:r>
          </w:p>
        </w:tc>
        <w:tc>
          <w:tcPr>
            <w:tcW w:w="652" w:type="pct"/>
            <w:shd w:val="clear" w:color="auto" w:fill="auto"/>
            <w:noWrap/>
            <w:vAlign w:val="center"/>
          </w:tcPr>
          <w:p>
            <w:pPr>
              <w:jc w:val="center"/>
              <w:rPr>
                <w:sz w:val="24"/>
              </w:rPr>
            </w:pPr>
            <w:r>
              <w:rPr>
                <w:rFonts w:hint="eastAsia"/>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44" w:type="pct"/>
            <w:gridSpan w:val="3"/>
            <w:shd w:val="clear" w:color="auto" w:fill="auto"/>
            <w:vAlign w:val="center"/>
          </w:tcPr>
          <w:p>
            <w:pPr>
              <w:widowControl/>
              <w:jc w:val="center"/>
              <w:rPr>
                <w:rFonts w:cs="宋体"/>
                <w:b/>
                <w:bCs/>
                <w:color w:val="000000"/>
                <w:kern w:val="0"/>
                <w:sz w:val="24"/>
              </w:rPr>
            </w:pPr>
            <w:r>
              <w:rPr>
                <w:rFonts w:hint="eastAsia" w:cs="宋体"/>
                <w:b/>
                <w:bCs/>
                <w:color w:val="000000"/>
                <w:kern w:val="0"/>
                <w:sz w:val="24"/>
              </w:rPr>
              <w:t>合计</w:t>
            </w:r>
          </w:p>
        </w:tc>
        <w:tc>
          <w:tcPr>
            <w:tcW w:w="512" w:type="pct"/>
            <w:shd w:val="clear" w:color="auto" w:fill="auto"/>
            <w:vAlign w:val="center"/>
          </w:tcPr>
          <w:p>
            <w:pPr>
              <w:jc w:val="center"/>
              <w:rPr>
                <w:sz w:val="24"/>
              </w:rPr>
            </w:pPr>
            <w:r>
              <w:rPr>
                <w:rFonts w:hint="eastAsia"/>
                <w:sz w:val="24"/>
              </w:rPr>
              <w:t>26</w:t>
            </w:r>
          </w:p>
        </w:tc>
        <w:tc>
          <w:tcPr>
            <w:tcW w:w="592" w:type="pct"/>
            <w:shd w:val="clear" w:color="auto" w:fill="auto"/>
            <w:vAlign w:val="center"/>
          </w:tcPr>
          <w:p>
            <w:pPr>
              <w:jc w:val="center"/>
              <w:rPr>
                <w:sz w:val="24"/>
              </w:rPr>
            </w:pPr>
            <w:r>
              <w:rPr>
                <w:rFonts w:hint="eastAsia"/>
                <w:sz w:val="24"/>
              </w:rPr>
              <w:t>26.00</w:t>
            </w:r>
          </w:p>
        </w:tc>
        <w:tc>
          <w:tcPr>
            <w:tcW w:w="652" w:type="pct"/>
            <w:shd w:val="clear" w:color="auto" w:fill="auto"/>
            <w:noWrap/>
            <w:vAlign w:val="center"/>
          </w:tcPr>
          <w:p>
            <w:pPr>
              <w:jc w:val="center"/>
              <w:rPr>
                <w:sz w:val="24"/>
              </w:rPr>
            </w:pPr>
            <w:r>
              <w:rPr>
                <w:rFonts w:hint="eastAsia"/>
                <w:sz w:val="24"/>
              </w:rPr>
              <w:t>100.00%</w:t>
            </w:r>
          </w:p>
        </w:tc>
      </w:tr>
    </w:tbl>
    <w:p>
      <w:pPr>
        <w:pStyle w:val="18"/>
        <w:spacing w:line="240" w:lineRule="auto"/>
        <w:ind w:firstLine="640"/>
        <w:rPr>
          <w:sz w:val="32"/>
          <w:szCs w:val="32"/>
        </w:rPr>
      </w:pPr>
      <w:r>
        <w:rPr>
          <w:rFonts w:hint="eastAsia"/>
          <w:sz w:val="32"/>
          <w:szCs w:val="32"/>
        </w:rPr>
        <w:t>1</w:t>
      </w:r>
      <w:r>
        <w:rPr>
          <w:sz w:val="32"/>
          <w:szCs w:val="32"/>
        </w:rPr>
        <w:t>.</w:t>
      </w:r>
      <w:r>
        <w:rPr>
          <w:rFonts w:hint="eastAsia"/>
          <w:sz w:val="32"/>
          <w:szCs w:val="32"/>
        </w:rPr>
        <w:t>社会效益</w:t>
      </w:r>
    </w:p>
    <w:p>
      <w:pPr>
        <w:pStyle w:val="18"/>
        <w:spacing w:line="240" w:lineRule="auto"/>
        <w:ind w:firstLine="640"/>
        <w:rPr>
          <w:sz w:val="32"/>
          <w:szCs w:val="32"/>
        </w:rPr>
      </w:pPr>
      <w:r>
        <w:rPr>
          <w:rFonts w:hint="eastAsia"/>
          <w:sz w:val="32"/>
          <w:szCs w:val="32"/>
        </w:rPr>
        <w:t>社会效益指标分值1</w:t>
      </w:r>
      <w:r>
        <w:rPr>
          <w:sz w:val="32"/>
          <w:szCs w:val="32"/>
        </w:rPr>
        <w:t>0</w:t>
      </w:r>
      <w:r>
        <w:rPr>
          <w:rFonts w:hint="eastAsia"/>
          <w:sz w:val="32"/>
          <w:szCs w:val="32"/>
        </w:rPr>
        <w:t>分，得分1</w:t>
      </w:r>
      <w:r>
        <w:rPr>
          <w:sz w:val="32"/>
          <w:szCs w:val="32"/>
        </w:rPr>
        <w:t>0</w:t>
      </w:r>
      <w:r>
        <w:rPr>
          <w:rFonts w:hint="eastAsia"/>
          <w:sz w:val="32"/>
          <w:szCs w:val="32"/>
        </w:rPr>
        <w:t>分，得分率1</w:t>
      </w:r>
      <w:r>
        <w:rPr>
          <w:sz w:val="32"/>
          <w:szCs w:val="32"/>
        </w:rPr>
        <w:t>00</w:t>
      </w:r>
      <w:r>
        <w:rPr>
          <w:rFonts w:hint="eastAsia"/>
          <w:sz w:val="32"/>
          <w:szCs w:val="32"/>
        </w:rPr>
        <w:t>%。</w:t>
      </w:r>
    </w:p>
    <w:p>
      <w:pPr>
        <w:pStyle w:val="18"/>
        <w:spacing w:line="240" w:lineRule="auto"/>
        <w:ind w:firstLine="640"/>
        <w:rPr>
          <w:sz w:val="32"/>
          <w:szCs w:val="32"/>
        </w:rPr>
      </w:pPr>
      <w:r>
        <w:rPr>
          <w:rFonts w:hint="eastAsia"/>
          <w:sz w:val="32"/>
          <w:szCs w:val="32"/>
        </w:rPr>
        <w:t>（1）</w:t>
      </w:r>
      <w:r>
        <w:rPr>
          <w:sz w:val="32"/>
          <w:szCs w:val="32"/>
        </w:rPr>
        <w:t>设备购置及装修后使用率</w:t>
      </w:r>
      <w:r>
        <w:rPr>
          <w:rFonts w:hint="eastAsia"/>
          <w:sz w:val="32"/>
          <w:szCs w:val="32"/>
        </w:rPr>
        <w:t>（5分）</w:t>
      </w:r>
    </w:p>
    <w:p>
      <w:pPr>
        <w:pStyle w:val="18"/>
        <w:spacing w:line="240" w:lineRule="auto"/>
        <w:ind w:firstLine="640"/>
        <w:rPr>
          <w:sz w:val="32"/>
          <w:szCs w:val="32"/>
        </w:rPr>
      </w:pPr>
      <w:r>
        <w:rPr>
          <w:rFonts w:hint="eastAsia"/>
          <w:sz w:val="32"/>
          <w:szCs w:val="32"/>
        </w:rPr>
        <w:t>根据基础数据表，购置的设备及图书已全部投入使用。根据评分规则，该指标得100%权重分。</w:t>
      </w:r>
    </w:p>
    <w:p>
      <w:pPr>
        <w:pStyle w:val="18"/>
        <w:spacing w:line="240" w:lineRule="auto"/>
        <w:ind w:firstLine="640"/>
        <w:rPr>
          <w:sz w:val="32"/>
          <w:szCs w:val="32"/>
        </w:rPr>
      </w:pPr>
      <w:r>
        <w:rPr>
          <w:rFonts w:hint="eastAsia"/>
          <w:sz w:val="32"/>
          <w:szCs w:val="32"/>
        </w:rPr>
        <w:t>（2）</w:t>
      </w:r>
      <w:r>
        <w:rPr>
          <w:sz w:val="32"/>
          <w:szCs w:val="32"/>
        </w:rPr>
        <w:t>“1+X”证书通过率</w:t>
      </w:r>
      <w:r>
        <w:rPr>
          <w:rFonts w:hint="eastAsia"/>
          <w:sz w:val="32"/>
          <w:szCs w:val="32"/>
        </w:rPr>
        <w:t>（5分）</w:t>
      </w:r>
    </w:p>
    <w:p>
      <w:pPr>
        <w:pStyle w:val="18"/>
        <w:spacing w:line="240" w:lineRule="auto"/>
        <w:ind w:firstLine="640"/>
        <w:rPr>
          <w:sz w:val="32"/>
          <w:szCs w:val="32"/>
        </w:rPr>
      </w:pPr>
      <w:r>
        <w:rPr>
          <w:rFonts w:hint="eastAsia"/>
          <w:sz w:val="32"/>
          <w:szCs w:val="32"/>
        </w:rPr>
        <w:t>根据基础数据表，①2022年职业教育中心报名“1+X”的学生有180人，175人通过考试，5人因疫情未参加考试，通过率100%；②2023年报名人数160人，其中30人于第一学期通过考试，其余130人于秋季参加考试，通过率100%。根据评分规则，该指标得100%权重分。</w:t>
      </w:r>
    </w:p>
    <w:p>
      <w:pPr>
        <w:pStyle w:val="18"/>
        <w:spacing w:line="240" w:lineRule="auto"/>
        <w:ind w:firstLine="640"/>
        <w:rPr>
          <w:sz w:val="32"/>
          <w:szCs w:val="32"/>
        </w:rPr>
      </w:pPr>
      <w:r>
        <w:rPr>
          <w:rFonts w:hint="eastAsia"/>
          <w:sz w:val="32"/>
          <w:szCs w:val="32"/>
        </w:rPr>
        <w:t>2</w:t>
      </w:r>
      <w:r>
        <w:rPr>
          <w:sz w:val="32"/>
          <w:szCs w:val="32"/>
        </w:rPr>
        <w:t>.</w:t>
      </w:r>
      <w:r>
        <w:rPr>
          <w:rFonts w:hint="eastAsia"/>
          <w:sz w:val="32"/>
          <w:szCs w:val="32"/>
        </w:rPr>
        <w:t>可持续影响</w:t>
      </w:r>
    </w:p>
    <w:p>
      <w:pPr>
        <w:pStyle w:val="18"/>
        <w:spacing w:line="240" w:lineRule="auto"/>
        <w:ind w:firstLine="640"/>
        <w:rPr>
          <w:sz w:val="32"/>
          <w:szCs w:val="32"/>
        </w:rPr>
      </w:pPr>
      <w:r>
        <w:rPr>
          <w:rFonts w:hint="eastAsia"/>
          <w:sz w:val="32"/>
          <w:szCs w:val="32"/>
        </w:rPr>
        <w:t>可持续影响指标分值1</w:t>
      </w:r>
      <w:r>
        <w:rPr>
          <w:sz w:val="32"/>
          <w:szCs w:val="32"/>
        </w:rPr>
        <w:t>0</w:t>
      </w:r>
      <w:r>
        <w:rPr>
          <w:rFonts w:hint="eastAsia"/>
          <w:sz w:val="32"/>
          <w:szCs w:val="32"/>
        </w:rPr>
        <w:t>分，得分1</w:t>
      </w:r>
      <w:r>
        <w:rPr>
          <w:sz w:val="32"/>
          <w:szCs w:val="32"/>
        </w:rPr>
        <w:t>0</w:t>
      </w:r>
      <w:r>
        <w:rPr>
          <w:rFonts w:hint="eastAsia"/>
          <w:sz w:val="32"/>
          <w:szCs w:val="32"/>
        </w:rPr>
        <w:t>分，得分率1</w:t>
      </w:r>
      <w:r>
        <w:rPr>
          <w:sz w:val="32"/>
          <w:szCs w:val="32"/>
        </w:rPr>
        <w:t>00</w:t>
      </w:r>
      <w:r>
        <w:rPr>
          <w:rFonts w:hint="eastAsia"/>
          <w:sz w:val="32"/>
          <w:szCs w:val="32"/>
        </w:rPr>
        <w:t>%。</w:t>
      </w:r>
    </w:p>
    <w:p>
      <w:pPr>
        <w:pStyle w:val="18"/>
        <w:spacing w:line="240" w:lineRule="auto"/>
        <w:ind w:firstLine="640"/>
        <w:rPr>
          <w:sz w:val="32"/>
          <w:szCs w:val="32"/>
        </w:rPr>
      </w:pPr>
      <w:r>
        <w:rPr>
          <w:rFonts w:hint="eastAsia"/>
          <w:sz w:val="32"/>
          <w:szCs w:val="32"/>
        </w:rPr>
        <w:t>（1）</w:t>
      </w:r>
      <w:r>
        <w:rPr>
          <w:sz w:val="32"/>
          <w:szCs w:val="32"/>
        </w:rPr>
        <w:t>招生情况</w:t>
      </w:r>
      <w:r>
        <w:rPr>
          <w:rFonts w:hint="eastAsia"/>
          <w:sz w:val="32"/>
          <w:szCs w:val="32"/>
        </w:rPr>
        <w:t>（5分）</w:t>
      </w:r>
    </w:p>
    <w:p>
      <w:pPr>
        <w:pStyle w:val="18"/>
        <w:spacing w:line="240" w:lineRule="auto"/>
        <w:ind w:firstLine="640"/>
        <w:rPr>
          <w:sz w:val="32"/>
          <w:szCs w:val="32"/>
        </w:rPr>
      </w:pPr>
      <w:r>
        <w:rPr>
          <w:rFonts w:hint="eastAsia"/>
          <w:sz w:val="32"/>
          <w:szCs w:val="32"/>
        </w:rPr>
        <w:t>根据基础数据表，职业教育中心2021年实际招生人数1677人，2022年实际招生人数1741人，招生人数≥往年招生人数。根据评分规则，该指标得100%权重分。</w:t>
      </w:r>
    </w:p>
    <w:p>
      <w:pPr>
        <w:pStyle w:val="18"/>
        <w:spacing w:line="240" w:lineRule="auto"/>
        <w:ind w:firstLine="640"/>
        <w:rPr>
          <w:sz w:val="32"/>
          <w:szCs w:val="32"/>
        </w:rPr>
      </w:pPr>
      <w:r>
        <w:rPr>
          <w:rFonts w:hint="eastAsia"/>
          <w:sz w:val="32"/>
          <w:szCs w:val="32"/>
        </w:rPr>
        <w:t>（2）</w:t>
      </w:r>
      <w:r>
        <w:rPr>
          <w:sz w:val="32"/>
          <w:szCs w:val="32"/>
        </w:rPr>
        <w:t>应届生就业情况</w:t>
      </w:r>
      <w:r>
        <w:rPr>
          <w:rFonts w:hint="eastAsia"/>
          <w:sz w:val="32"/>
          <w:szCs w:val="32"/>
        </w:rPr>
        <w:t>（5分）</w:t>
      </w:r>
    </w:p>
    <w:p>
      <w:pPr>
        <w:pStyle w:val="18"/>
        <w:spacing w:line="240" w:lineRule="auto"/>
        <w:ind w:firstLine="640"/>
        <w:rPr>
          <w:sz w:val="32"/>
          <w:szCs w:val="32"/>
        </w:rPr>
      </w:pPr>
      <w:r>
        <w:rPr>
          <w:rFonts w:hint="eastAsia"/>
          <w:sz w:val="32"/>
          <w:szCs w:val="32"/>
        </w:rPr>
        <w:t>根据基础数据表，职业教育中心2021年实际就业人数200人，2022年实际就业人数285人，就业人数≥往年就业人数。根据评分规则，该指标得100%权重分。</w:t>
      </w:r>
    </w:p>
    <w:p>
      <w:pPr>
        <w:pStyle w:val="18"/>
        <w:spacing w:line="240" w:lineRule="auto"/>
        <w:ind w:firstLine="640"/>
        <w:rPr>
          <w:sz w:val="32"/>
          <w:szCs w:val="32"/>
        </w:rPr>
      </w:pPr>
      <w:r>
        <w:rPr>
          <w:rFonts w:hint="eastAsia"/>
          <w:sz w:val="32"/>
          <w:szCs w:val="32"/>
        </w:rPr>
        <w:t>3</w:t>
      </w:r>
      <w:r>
        <w:rPr>
          <w:sz w:val="32"/>
          <w:szCs w:val="32"/>
        </w:rPr>
        <w:t>.</w:t>
      </w:r>
      <w:r>
        <w:rPr>
          <w:rFonts w:hint="eastAsia"/>
          <w:sz w:val="32"/>
          <w:szCs w:val="32"/>
        </w:rPr>
        <w:t>满意度</w:t>
      </w:r>
    </w:p>
    <w:p>
      <w:pPr>
        <w:pStyle w:val="18"/>
        <w:spacing w:line="240" w:lineRule="auto"/>
        <w:ind w:firstLine="640"/>
        <w:rPr>
          <w:sz w:val="32"/>
          <w:szCs w:val="32"/>
        </w:rPr>
      </w:pPr>
      <w:r>
        <w:rPr>
          <w:rFonts w:hint="eastAsia"/>
          <w:sz w:val="32"/>
          <w:szCs w:val="32"/>
        </w:rPr>
        <w:t>满意度指标分值6分，得分6分，得分率1</w:t>
      </w:r>
      <w:r>
        <w:rPr>
          <w:sz w:val="32"/>
          <w:szCs w:val="32"/>
        </w:rPr>
        <w:t>00</w:t>
      </w:r>
      <w:r>
        <w:rPr>
          <w:rFonts w:hint="eastAsia"/>
          <w:sz w:val="32"/>
          <w:szCs w:val="32"/>
        </w:rPr>
        <w:t>%。</w:t>
      </w:r>
    </w:p>
    <w:p>
      <w:pPr>
        <w:pStyle w:val="18"/>
        <w:spacing w:line="240" w:lineRule="auto"/>
        <w:ind w:firstLine="640"/>
        <w:rPr>
          <w:sz w:val="32"/>
          <w:szCs w:val="32"/>
        </w:rPr>
      </w:pPr>
      <w:r>
        <w:rPr>
          <w:rFonts w:hint="eastAsia"/>
          <w:sz w:val="32"/>
          <w:szCs w:val="32"/>
        </w:rPr>
        <w:t>（1）</w:t>
      </w:r>
      <w:r>
        <w:rPr>
          <w:sz w:val="32"/>
          <w:szCs w:val="32"/>
        </w:rPr>
        <w:t>学生及教职工满意度</w:t>
      </w:r>
      <w:r>
        <w:rPr>
          <w:rFonts w:hint="eastAsia"/>
          <w:sz w:val="32"/>
          <w:szCs w:val="32"/>
        </w:rPr>
        <w:t>（6分）</w:t>
      </w:r>
    </w:p>
    <w:p>
      <w:pPr>
        <w:pStyle w:val="18"/>
        <w:spacing w:line="240" w:lineRule="auto"/>
        <w:ind w:firstLine="640"/>
        <w:rPr>
          <w:sz w:val="32"/>
          <w:szCs w:val="32"/>
        </w:rPr>
      </w:pPr>
      <w:r>
        <w:rPr>
          <w:rFonts w:hint="eastAsia"/>
          <w:sz w:val="32"/>
          <w:szCs w:val="32"/>
        </w:rPr>
        <w:t>根据满意度调查问卷，本次发放177份问卷，回收177份有效问卷，学生及教职工对于职业教育中心质量提升项目的整体满意程度为96.95%。根据评分规则，该指标得100%权重分。</w:t>
      </w:r>
    </w:p>
    <w:p>
      <w:pPr>
        <w:pStyle w:val="3"/>
        <w:spacing w:line="240" w:lineRule="auto"/>
        <w:jc w:val="left"/>
        <w:rPr>
          <w:b w:val="0"/>
          <w:bCs/>
        </w:rPr>
      </w:pPr>
      <w:bookmarkStart w:id="15" w:name="_Toc142381563"/>
      <w:r>
        <w:rPr>
          <w:rFonts w:hint="eastAsia"/>
          <w:b w:val="0"/>
          <w:bCs/>
        </w:rPr>
        <w:t>五、主要经验及做法、存在的问题及原因分析</w:t>
      </w:r>
      <w:bookmarkEnd w:id="15"/>
    </w:p>
    <w:p>
      <w:pPr>
        <w:pStyle w:val="4"/>
        <w:spacing w:line="240" w:lineRule="auto"/>
        <w:rPr>
          <w:szCs w:val="32"/>
        </w:rPr>
      </w:pPr>
      <w:bookmarkStart w:id="16" w:name="_Toc142381564"/>
      <w:r>
        <w:rPr>
          <w:rFonts w:hint="eastAsia"/>
          <w:szCs w:val="32"/>
        </w:rPr>
        <w:t>（一）主要经验及做法</w:t>
      </w:r>
      <w:bookmarkEnd w:id="16"/>
    </w:p>
    <w:p>
      <w:pPr>
        <w:pStyle w:val="18"/>
        <w:spacing w:line="240" w:lineRule="auto"/>
        <w:ind w:firstLine="640"/>
        <w:rPr>
          <w:sz w:val="32"/>
          <w:szCs w:val="32"/>
        </w:rPr>
      </w:pPr>
      <w:r>
        <w:rPr>
          <w:rFonts w:hint="eastAsia"/>
          <w:sz w:val="32"/>
          <w:szCs w:val="32"/>
        </w:rPr>
        <w:t>随着我国进入新的发展阶段，产业升级和经济结构调整不断加快，各行各业对技术技能人才的需求越来越紧迫，职业教育重要地位和作用越来越凸显。为贯彻《国务院关于加快发展现代职业教育的决定》（国发〔2014〕19号），大力推动制约教育健康持续发展，为我国经济发展提供有力的人才和智力支撑，徐水区职业教育中心实施了2022年度现代职业教育质量提升计划中央补助资金项目。如何更好地实现现代职业教育质量提升项目，不同地区和学校都有各自的经验和做法。徐水区职业教育中心主要的经验及做法包括：</w:t>
      </w:r>
    </w:p>
    <w:p>
      <w:pPr>
        <w:pStyle w:val="18"/>
        <w:spacing w:line="240" w:lineRule="auto"/>
        <w:ind w:firstLine="640"/>
        <w:rPr>
          <w:sz w:val="32"/>
          <w:szCs w:val="32"/>
        </w:rPr>
      </w:pPr>
      <w:r>
        <w:rPr>
          <w:rFonts w:hint="eastAsia"/>
          <w:sz w:val="32"/>
          <w:szCs w:val="32"/>
        </w:rPr>
        <w:t>1.落实重大事项集体决策。学校年初根据2022年发展规划对2022年项目进行集体决策，具体分管校长在认真听取教师、教研组长对专业发展的需求后，深入调查，形成初步方案后向党组会提出，领导班子成员研究讨论后形成决议。并定期召开会议，对项目的进度进行监督。</w:t>
      </w:r>
    </w:p>
    <w:p>
      <w:pPr>
        <w:pStyle w:val="18"/>
        <w:spacing w:line="240" w:lineRule="auto"/>
        <w:ind w:firstLine="640"/>
        <w:rPr>
          <w:sz w:val="32"/>
          <w:szCs w:val="32"/>
        </w:rPr>
      </w:pPr>
      <w:r>
        <w:rPr>
          <w:rFonts w:hint="eastAsia"/>
          <w:sz w:val="32"/>
          <w:szCs w:val="32"/>
        </w:rPr>
        <w:t>2.遵守采购程序，严把质量关。项目采购过程中，严格遵守采购流程，政府采购项目的采购事项备案、批准、审核全部通过“河北预算管理一体化系统—政府采购”模块实施。项目实施完成后，学校按照合同的约定，依法组成验收小组，验收小组应当按照政府采购合同规定的技术、服务、安全标准组织对供应商履约情况进行验收，并出具验收书。采购物资做到及时、准确、适用，严把质量关。</w:t>
      </w:r>
    </w:p>
    <w:p>
      <w:pPr>
        <w:pStyle w:val="18"/>
        <w:spacing w:line="240" w:lineRule="auto"/>
        <w:ind w:firstLine="640"/>
        <w:rPr>
          <w:sz w:val="32"/>
          <w:szCs w:val="32"/>
        </w:rPr>
      </w:pPr>
      <w:r>
        <w:rPr>
          <w:rFonts w:hint="eastAsia"/>
          <w:sz w:val="32"/>
          <w:szCs w:val="32"/>
        </w:rPr>
        <w:t>3.注重绩效，强化专业技能，创新培养模式。学校不断探索与时俱进的人才培养模式和课程体系建设，推行岗位主导，技能为主，模块化教学方式，使专业教学知识始终能与企业生产保持同步。充分利用2022年现代职业教育质量提升项目，购置教学设备，打造实训室。实现专业设置与市场需求零距离，课程设置与职业活动零距离。教学内容与岗位要求零距离，最大限度的以产助学、以研促产、学训结合、训创融合，形成良性循环。</w:t>
      </w:r>
    </w:p>
    <w:p>
      <w:pPr>
        <w:pStyle w:val="18"/>
        <w:spacing w:line="240" w:lineRule="auto"/>
        <w:ind w:firstLine="640"/>
        <w:rPr>
          <w:sz w:val="32"/>
          <w:szCs w:val="32"/>
        </w:rPr>
      </w:pPr>
      <w:r>
        <w:rPr>
          <w:rFonts w:hint="eastAsia"/>
          <w:sz w:val="32"/>
          <w:szCs w:val="32"/>
        </w:rPr>
        <w:t>以上经验做法为职业教育发展提供了有效的途径和方法。通过现代职业教育质量提升项目的实施，满足了学校教学需求，改善了基础办学条件，增强了职业教育的保障能力。</w:t>
      </w:r>
    </w:p>
    <w:p>
      <w:pPr>
        <w:pStyle w:val="4"/>
        <w:spacing w:line="240" w:lineRule="auto"/>
        <w:rPr>
          <w:szCs w:val="32"/>
        </w:rPr>
      </w:pPr>
      <w:bookmarkStart w:id="17" w:name="_Toc142381565"/>
      <w:r>
        <w:rPr>
          <w:rFonts w:hint="eastAsia"/>
          <w:szCs w:val="32"/>
        </w:rPr>
        <w:t>（二）存在的问题及原因分析</w:t>
      </w:r>
      <w:bookmarkEnd w:id="17"/>
    </w:p>
    <w:p>
      <w:pPr>
        <w:pStyle w:val="18"/>
        <w:spacing w:line="240" w:lineRule="auto"/>
        <w:ind w:firstLine="640"/>
        <w:rPr>
          <w:sz w:val="32"/>
          <w:szCs w:val="32"/>
        </w:rPr>
      </w:pPr>
      <w:r>
        <w:rPr>
          <w:rFonts w:hint="eastAsia"/>
          <w:sz w:val="32"/>
          <w:szCs w:val="32"/>
        </w:rPr>
        <w:t>1.指标设定不合理，影响绩效目标的实现</w:t>
      </w:r>
    </w:p>
    <w:p>
      <w:pPr>
        <w:pStyle w:val="18"/>
        <w:spacing w:line="240" w:lineRule="auto"/>
        <w:ind w:firstLine="640"/>
        <w:rPr>
          <w:sz w:val="32"/>
          <w:szCs w:val="32"/>
        </w:rPr>
      </w:pPr>
      <w:r>
        <w:rPr>
          <w:rFonts w:hint="eastAsia"/>
          <w:sz w:val="32"/>
          <w:szCs w:val="32"/>
        </w:rPr>
        <w:t>项目绩效目标不明确，未展开描述预期要达到的产出、效益和满意度指标。项目绩效指标设置不合理，项目包含质量提升计划等6个子项目，产出的数量、成本只单一设置了相应的三级指标，未根据6个子项目设置具体指标，无法反映每个子项目的完成情况和效果。项目的产出质量设置“产出设备合格率”，忽略了教室文化建设及装修工程的合格率，无法完全反映产出质量的效果。效益指标设置较为单一，社会效益仅体现学校正常运转保障率，且难以量化，没有具体的计算方法，缺乏对项目延伸效益的思考，比如是否达到项目实施方案所预期的提升“1+X”证书通过率、提升毕业生就业率等效果。</w:t>
      </w:r>
    </w:p>
    <w:p>
      <w:pPr>
        <w:pStyle w:val="18"/>
        <w:spacing w:line="240" w:lineRule="auto"/>
        <w:ind w:firstLine="640"/>
        <w:rPr>
          <w:sz w:val="32"/>
          <w:szCs w:val="32"/>
        </w:rPr>
      </w:pPr>
      <w:r>
        <w:rPr>
          <w:rFonts w:hint="eastAsia"/>
          <w:sz w:val="32"/>
          <w:szCs w:val="32"/>
        </w:rPr>
        <w:t>2.验收进度滞后，影响购置完成及时性</w:t>
      </w:r>
    </w:p>
    <w:p>
      <w:pPr>
        <w:pStyle w:val="18"/>
        <w:spacing w:line="240" w:lineRule="auto"/>
        <w:ind w:firstLine="640"/>
        <w:rPr>
          <w:sz w:val="32"/>
          <w:szCs w:val="32"/>
        </w:rPr>
      </w:pPr>
      <w:r>
        <w:rPr>
          <w:sz w:val="32"/>
          <w:szCs w:val="32"/>
        </w:rPr>
        <w:t>预算</w:t>
      </w:r>
      <w:r>
        <w:rPr>
          <w:rFonts w:hint="eastAsia"/>
          <w:sz w:val="32"/>
          <w:szCs w:val="32"/>
        </w:rPr>
        <w:t>单位以下子项目存在验收滞后性：质量提升项目A包和B包都约定于7月7日签订合同，约定验收日期为7月27日，实际验收日期为9月21日。根据访谈了解，设备的购置都在采购合同的约定期间内购置完成，但由于采购及验收在暑假期间这一特殊因素，学校负责验收的人员未能及时验收。</w:t>
      </w:r>
    </w:p>
    <w:p>
      <w:pPr>
        <w:pStyle w:val="18"/>
        <w:spacing w:line="240" w:lineRule="auto"/>
        <w:ind w:firstLine="640"/>
        <w:rPr>
          <w:sz w:val="32"/>
          <w:szCs w:val="32"/>
        </w:rPr>
      </w:pPr>
      <w:r>
        <w:rPr>
          <w:rFonts w:hint="eastAsia"/>
          <w:sz w:val="32"/>
          <w:szCs w:val="32"/>
        </w:rPr>
        <w:t>3.产出数量控制不到位，影响资金使用效益</w:t>
      </w:r>
    </w:p>
    <w:p>
      <w:pPr>
        <w:pStyle w:val="18"/>
        <w:spacing w:line="240" w:lineRule="auto"/>
        <w:ind w:firstLine="640"/>
        <w:rPr>
          <w:sz w:val="32"/>
          <w:szCs w:val="32"/>
        </w:rPr>
      </w:pPr>
      <w:r>
        <w:rPr>
          <w:rFonts w:hint="eastAsia"/>
          <w:sz w:val="32"/>
          <w:szCs w:val="32"/>
        </w:rPr>
        <w:t>没有按照预算编制的要求，严格控制购置数量。项目在购置设备时，没有严格按照项目预算执行，导致了预算控制不到位的问题，超出了项目预算的范围和数量。例如，图书馆项目计划购置阅览桌20个，实际购置24个；计划购置阅览椅120个，实际购置144个；计划购置电脑桌椅30套，实际购置36套。同时，该子项目也存在未能按照项目预算要求完成购置的情况，影响了项目的实施效果和质量。例如，计划购置书架40组，实际购置15组；计划购置电脑30台，实际购置电脑0台。该子项目的计划产出与实际产出差异较大，影响预算资金的使用效益。</w:t>
      </w:r>
    </w:p>
    <w:p>
      <w:pPr>
        <w:pStyle w:val="3"/>
        <w:spacing w:line="240" w:lineRule="auto"/>
        <w:jc w:val="left"/>
        <w:rPr>
          <w:b w:val="0"/>
          <w:bCs/>
        </w:rPr>
      </w:pPr>
      <w:bookmarkStart w:id="18" w:name="_Toc142381566"/>
      <w:r>
        <w:rPr>
          <w:rFonts w:hint="eastAsia"/>
          <w:b w:val="0"/>
          <w:bCs/>
        </w:rPr>
        <w:t>六、有关建议</w:t>
      </w:r>
      <w:bookmarkEnd w:id="18"/>
    </w:p>
    <w:p>
      <w:pPr>
        <w:pStyle w:val="18"/>
        <w:spacing w:line="240" w:lineRule="auto"/>
        <w:ind w:firstLine="640"/>
        <w:rPr>
          <w:sz w:val="32"/>
          <w:szCs w:val="32"/>
        </w:rPr>
      </w:pPr>
      <w:r>
        <w:rPr>
          <w:rFonts w:hint="eastAsia"/>
          <w:sz w:val="32"/>
          <w:szCs w:val="32"/>
        </w:rPr>
        <w:t>（一）合理设定指标，助力绩效目标的有效实施</w:t>
      </w:r>
    </w:p>
    <w:p>
      <w:pPr>
        <w:pStyle w:val="18"/>
        <w:spacing w:line="240" w:lineRule="auto"/>
        <w:ind w:firstLine="640"/>
        <w:rPr>
          <w:sz w:val="32"/>
          <w:szCs w:val="32"/>
        </w:rPr>
      </w:pPr>
      <w:r>
        <w:rPr>
          <w:rFonts w:hint="eastAsia"/>
          <w:sz w:val="32"/>
          <w:szCs w:val="32"/>
        </w:rPr>
        <w:t>一是建议预算单位参照国家和行业领域的绩效指标框架和体系，结合本单位本项目的职责、业务、特点等，制定具有可操作性、可比较性、可衡量性的绩效目标和指标。徐水区职业教育中心基础设备</w:t>
      </w:r>
      <w:r>
        <w:rPr>
          <w:sz w:val="32"/>
          <w:szCs w:val="32"/>
        </w:rPr>
        <w:tab/>
      </w:r>
      <w:r>
        <w:rPr>
          <w:rFonts w:hint="eastAsia"/>
          <w:sz w:val="32"/>
          <w:szCs w:val="32"/>
        </w:rPr>
        <w:t>的升级改造涉及多个专业多种类别，建议预算单位要考虑项目的具体情况，将绩效目标设定得更加详细和具体，帮助预算单位更准确地评估绩效，监控项目进展，并明确每个环节的任务和要求。通过量化绩效目标，更好地衡量绩效，以便于项目能够有效地实施并实现绩效目标。二是建议预算单位在制定绩效目标和指标时，要充分征求各方意见，包括本单位内部、上级部门、下级单位、利益相关者等，确保绩效目标和指标符合实际需要和期望，</w:t>
      </w:r>
      <w:r>
        <w:fldChar w:fldCharType="begin"/>
      </w:r>
      <w:r>
        <w:instrText xml:space="preserve"> HYPERLINK "https://www.audit.gov.cn/n6/n36/c126731/content.html" \t "https://www.bing.com/_blank" </w:instrText>
      </w:r>
      <w:r>
        <w:fldChar w:fldCharType="separate"/>
      </w:r>
      <w:r>
        <w:rPr>
          <w:rFonts w:hint="eastAsia"/>
          <w:sz w:val="32"/>
          <w:szCs w:val="32"/>
        </w:rPr>
        <w:t>要充分考虑产出、社会效益、可持续影响和服务对象满意度等方面</w:t>
      </w:r>
      <w:r>
        <w:rPr>
          <w:rFonts w:hint="eastAsia"/>
          <w:sz w:val="32"/>
          <w:szCs w:val="32"/>
        </w:rPr>
        <w:fldChar w:fldCharType="end"/>
      </w:r>
      <w:r>
        <w:rPr>
          <w:rFonts w:hint="eastAsia"/>
          <w:sz w:val="32"/>
          <w:szCs w:val="32"/>
        </w:rPr>
        <w:t>，避免过于单一或过于复杂。三是梳理徐水区职业教育中心质量提升项目近年来的绩效目标指标体系，包括历史最高、最低和平均值，建立该类项目的绩效指标和体系，为下年度的预算编制和绩效目标提供参考。</w:t>
      </w:r>
    </w:p>
    <w:p>
      <w:pPr>
        <w:pStyle w:val="18"/>
        <w:spacing w:line="240" w:lineRule="auto"/>
        <w:ind w:firstLine="640"/>
        <w:rPr>
          <w:sz w:val="32"/>
          <w:szCs w:val="32"/>
        </w:rPr>
      </w:pPr>
      <w:r>
        <w:rPr>
          <w:rFonts w:hint="eastAsia"/>
          <w:sz w:val="32"/>
          <w:szCs w:val="32"/>
        </w:rPr>
        <w:t>（二）科学管理验收进度，提升购置完成及时性</w:t>
      </w:r>
    </w:p>
    <w:p>
      <w:pPr>
        <w:pStyle w:val="18"/>
        <w:spacing w:line="240" w:lineRule="auto"/>
        <w:ind w:firstLine="640"/>
        <w:rPr>
          <w:sz w:val="32"/>
          <w:szCs w:val="32"/>
        </w:rPr>
      </w:pPr>
      <w:r>
        <w:rPr>
          <w:rFonts w:hint="eastAsia"/>
          <w:sz w:val="32"/>
          <w:szCs w:val="32"/>
        </w:rPr>
        <w:t>一是建议预算单位明确验收进度的目标和标准，制定合理的验收计划和安排，按照预算绩效管理的要求，对验收过程进行监督和控制。二是建议预算单位建立有效的沟通协调机制，加强与供应商、验收人员、财务人员等相关方的信息交流和协作，及时解决验收过程中出现的问题和困难。三是建议预算单位加强验收质量和效果的评估和反馈，对验收结果进行记录和归档，及时向上级部门报告验收情况，对未按时完成验收或存在质量问题的项目进行分析和处理。</w:t>
      </w:r>
    </w:p>
    <w:p>
      <w:pPr>
        <w:pStyle w:val="18"/>
        <w:spacing w:line="240" w:lineRule="auto"/>
        <w:ind w:firstLine="640"/>
        <w:rPr>
          <w:sz w:val="32"/>
          <w:szCs w:val="32"/>
        </w:rPr>
      </w:pPr>
      <w:r>
        <w:rPr>
          <w:rFonts w:hint="eastAsia"/>
          <w:sz w:val="32"/>
          <w:szCs w:val="32"/>
        </w:rPr>
        <w:t>（三）科学控制产出，提升成本效益</w:t>
      </w:r>
    </w:p>
    <w:p>
      <w:pPr>
        <w:pStyle w:val="18"/>
        <w:spacing w:line="240" w:lineRule="auto"/>
        <w:ind w:firstLine="640"/>
        <w:rPr>
          <w:sz w:val="32"/>
          <w:szCs w:val="32"/>
        </w:rPr>
      </w:pPr>
      <w:r>
        <w:rPr>
          <w:rFonts w:hint="eastAsia"/>
          <w:sz w:val="32"/>
          <w:szCs w:val="32"/>
        </w:rPr>
        <w:t>一是建议预算单位加强预算执行的严格性，按照预算法和相关规定，执行预算计划，不得随意购置没有计划或者超出预算的设备。二是建议预算单位加强预算执行的合理性，按照单位的实际业务和需求，合理调整设备购置计划和方案，避免购买不必要或者过多的设备。如有特殊情况需要变更预算计划，要及时向财政部门和上级部门报告，并说明理由和依据。三是建议预算单位加强预算执行的绩效评价，对预算执行情况和设备购置效果进行绩效评价，评价结果与预算安排和政策调整挂钩，激励预算单位提高预算执行的效率和效益。</w:t>
      </w:r>
    </w:p>
    <w:p>
      <w:pPr>
        <w:pStyle w:val="3"/>
        <w:spacing w:line="240" w:lineRule="auto"/>
        <w:jc w:val="left"/>
        <w:rPr>
          <w:b w:val="0"/>
          <w:bCs/>
        </w:rPr>
      </w:pPr>
      <w:bookmarkStart w:id="19" w:name="_Toc142381567"/>
      <w:r>
        <w:rPr>
          <w:rFonts w:hint="eastAsia"/>
          <w:b w:val="0"/>
          <w:bCs/>
        </w:rPr>
        <w:t>七、其他需要说明的问题</w:t>
      </w:r>
      <w:bookmarkEnd w:id="19"/>
    </w:p>
    <w:p>
      <w:pPr>
        <w:pStyle w:val="18"/>
        <w:spacing w:line="240" w:lineRule="auto"/>
        <w:ind w:firstLine="640"/>
        <w:rPr>
          <w:sz w:val="32"/>
          <w:szCs w:val="32"/>
        </w:rPr>
      </w:pPr>
      <w:r>
        <w:rPr>
          <w:rFonts w:hint="eastAsia"/>
          <w:sz w:val="32"/>
          <w:szCs w:val="32"/>
        </w:rPr>
        <w:t>此次评价工作，评价组始终秉承客观公正、科学规范的评价原则进行评价思路及指标体系设计、数据采集、报告撰写等工作，本报告所基于的数据具有一定的局限性，主要体现在本次评价所收集数据的真实性是基于项目单位提供的资料具有真实性和可靠性，数据统计和分析工作是在假设所有信息都是在项目实施过程中实际发生的基础上进行的。</w:t>
      </w:r>
    </w:p>
    <w:p>
      <w:r>
        <w:rPr>
          <w:rFonts w:hint="eastAsia"/>
        </w:rPr>
        <w:br w:type="page"/>
      </w:r>
    </w:p>
    <w:p>
      <w:pPr>
        <w:pStyle w:val="3"/>
        <w:jc w:val="left"/>
        <w:sectPr>
          <w:footerReference r:id="rId3" w:type="default"/>
          <w:pgSz w:w="11906" w:h="16838"/>
          <w:pgMar w:top="1440" w:right="1800" w:bottom="1440" w:left="1800" w:header="851" w:footer="992" w:gutter="0"/>
          <w:pgNumType w:start="1"/>
          <w:cols w:space="425" w:num="1"/>
          <w:docGrid w:type="lines" w:linePitch="312" w:charSpace="0"/>
        </w:sectPr>
      </w:pPr>
    </w:p>
    <w:p>
      <w:pPr>
        <w:pStyle w:val="3"/>
        <w:jc w:val="left"/>
        <w:rPr>
          <w:b w:val="0"/>
          <w:bCs/>
        </w:rPr>
      </w:pPr>
      <w:bookmarkStart w:id="20" w:name="_Toc142381568"/>
      <w:r>
        <w:rPr>
          <w:rFonts w:hint="eastAsia"/>
          <w:b w:val="0"/>
          <w:bCs/>
        </w:rPr>
        <w:t>附件1 评价指标体系及得分表</w:t>
      </w:r>
      <w:bookmarkEnd w:id="20"/>
    </w:p>
    <w:p>
      <w:pPr>
        <w:jc w:val="center"/>
        <w:rPr>
          <w:b/>
          <w:bCs/>
          <w:sz w:val="30"/>
          <w:szCs w:val="30"/>
        </w:rPr>
      </w:pPr>
      <w:r>
        <w:rPr>
          <w:rFonts w:hint="eastAsia"/>
          <w:b/>
          <w:bCs/>
          <w:sz w:val="30"/>
          <w:szCs w:val="30"/>
        </w:rPr>
        <w:t>保定市徐水区教育和体育局2</w:t>
      </w:r>
      <w:r>
        <w:rPr>
          <w:b/>
          <w:bCs/>
          <w:sz w:val="30"/>
          <w:szCs w:val="30"/>
        </w:rPr>
        <w:t>022</w:t>
      </w:r>
      <w:r>
        <w:rPr>
          <w:rFonts w:hint="eastAsia"/>
          <w:b/>
          <w:bCs/>
          <w:sz w:val="30"/>
          <w:szCs w:val="30"/>
        </w:rPr>
        <w:t>年现代职业教育质量提升计划中央资金项目绩效评价指标体系及得分表</w:t>
      </w:r>
    </w:p>
    <w:tbl>
      <w:tblPr>
        <w:tblStyle w:val="11"/>
        <w:tblW w:w="5539"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64"/>
        <w:gridCol w:w="575"/>
        <w:gridCol w:w="1300"/>
        <w:gridCol w:w="578"/>
        <w:gridCol w:w="1441"/>
        <w:gridCol w:w="864"/>
        <w:gridCol w:w="2736"/>
        <w:gridCol w:w="864"/>
        <w:gridCol w:w="873"/>
        <w:gridCol w:w="4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5" w:type="pct"/>
            <w:shd w:val="clear" w:color="auto" w:fill="E7E6E6" w:themeFill="background2"/>
            <w:vAlign w:val="center"/>
          </w:tcPr>
          <w:p>
            <w:pPr>
              <w:widowControl/>
              <w:jc w:val="center"/>
              <w:rPr>
                <w:rFonts w:eastAsia="宋体" w:cs="宋体"/>
                <w:b/>
                <w:bCs/>
                <w:color w:val="000000"/>
                <w:kern w:val="0"/>
                <w:sz w:val="24"/>
                <w:lang w:bidi="ar"/>
              </w:rPr>
            </w:pPr>
            <w:r>
              <w:rPr>
                <w:rFonts w:hint="eastAsia" w:eastAsia="宋体" w:cs="宋体"/>
                <w:b/>
                <w:bCs/>
                <w:color w:val="000000"/>
                <w:kern w:val="0"/>
                <w:sz w:val="24"/>
                <w:lang w:bidi="ar"/>
              </w:rPr>
              <w:t>一级指标</w:t>
            </w:r>
          </w:p>
        </w:tc>
        <w:tc>
          <w:tcPr>
            <w:tcW w:w="275" w:type="pct"/>
            <w:shd w:val="clear" w:color="auto" w:fill="E7E6E6" w:themeFill="background2"/>
            <w:vAlign w:val="center"/>
          </w:tcPr>
          <w:p>
            <w:pPr>
              <w:widowControl/>
              <w:jc w:val="center"/>
              <w:rPr>
                <w:rFonts w:eastAsia="宋体" w:cs="宋体"/>
                <w:b/>
                <w:bCs/>
                <w:color w:val="000000"/>
                <w:kern w:val="0"/>
                <w:sz w:val="24"/>
                <w:lang w:bidi="ar"/>
              </w:rPr>
            </w:pPr>
            <w:r>
              <w:rPr>
                <w:rFonts w:hint="eastAsia" w:eastAsia="宋体" w:cs="宋体"/>
                <w:b/>
                <w:bCs/>
                <w:color w:val="000000"/>
                <w:kern w:val="0"/>
                <w:sz w:val="24"/>
                <w:lang w:bidi="ar"/>
              </w:rPr>
              <w:t>二级指标</w:t>
            </w:r>
          </w:p>
        </w:tc>
        <w:tc>
          <w:tcPr>
            <w:tcW w:w="183" w:type="pct"/>
            <w:shd w:val="clear" w:color="auto" w:fill="E7E6E6" w:themeFill="background2"/>
            <w:vAlign w:val="center"/>
          </w:tcPr>
          <w:p>
            <w:pPr>
              <w:widowControl/>
              <w:jc w:val="center"/>
              <w:rPr>
                <w:rFonts w:eastAsia="宋体" w:cs="宋体"/>
                <w:b/>
                <w:bCs/>
                <w:color w:val="000000"/>
                <w:kern w:val="0"/>
                <w:sz w:val="24"/>
                <w:lang w:bidi="ar"/>
              </w:rPr>
            </w:pPr>
            <w:r>
              <w:rPr>
                <w:rFonts w:hint="eastAsia" w:eastAsia="宋体" w:cs="宋体"/>
                <w:b/>
                <w:bCs/>
                <w:color w:val="000000"/>
                <w:kern w:val="0"/>
                <w:sz w:val="24"/>
                <w:lang w:bidi="ar"/>
              </w:rPr>
              <w:t>分值</w:t>
            </w:r>
          </w:p>
        </w:tc>
        <w:tc>
          <w:tcPr>
            <w:tcW w:w="414" w:type="pct"/>
            <w:shd w:val="clear" w:color="auto" w:fill="E7E6E6" w:themeFill="background2"/>
            <w:vAlign w:val="center"/>
          </w:tcPr>
          <w:p>
            <w:pPr>
              <w:widowControl/>
              <w:jc w:val="center"/>
              <w:rPr>
                <w:rFonts w:eastAsia="宋体" w:cs="宋体"/>
                <w:b/>
                <w:bCs/>
                <w:color w:val="000000"/>
                <w:kern w:val="0"/>
                <w:sz w:val="24"/>
                <w:lang w:bidi="ar"/>
              </w:rPr>
            </w:pPr>
            <w:r>
              <w:rPr>
                <w:rFonts w:hint="eastAsia" w:eastAsia="宋体" w:cs="宋体"/>
                <w:b/>
                <w:bCs/>
                <w:color w:val="000000"/>
                <w:kern w:val="0"/>
                <w:sz w:val="24"/>
                <w:lang w:bidi="ar"/>
              </w:rPr>
              <w:t>三级指标</w:t>
            </w:r>
          </w:p>
        </w:tc>
        <w:tc>
          <w:tcPr>
            <w:tcW w:w="184" w:type="pct"/>
            <w:shd w:val="clear" w:color="auto" w:fill="E7E6E6" w:themeFill="background2"/>
            <w:vAlign w:val="center"/>
          </w:tcPr>
          <w:p>
            <w:pPr>
              <w:widowControl/>
              <w:jc w:val="center"/>
              <w:rPr>
                <w:rFonts w:eastAsia="宋体" w:cs="宋体"/>
                <w:b/>
                <w:bCs/>
                <w:color w:val="000000"/>
                <w:kern w:val="0"/>
                <w:sz w:val="24"/>
                <w:lang w:bidi="ar"/>
              </w:rPr>
            </w:pPr>
            <w:r>
              <w:rPr>
                <w:rFonts w:hint="eastAsia" w:eastAsia="宋体" w:cs="宋体"/>
                <w:b/>
                <w:bCs/>
                <w:color w:val="000000"/>
                <w:kern w:val="0"/>
                <w:sz w:val="24"/>
                <w:lang w:bidi="ar"/>
              </w:rPr>
              <w:t>分值</w:t>
            </w:r>
          </w:p>
        </w:tc>
        <w:tc>
          <w:tcPr>
            <w:tcW w:w="459" w:type="pct"/>
            <w:shd w:val="clear" w:color="auto" w:fill="E7E6E6" w:themeFill="background2"/>
            <w:vAlign w:val="center"/>
          </w:tcPr>
          <w:p>
            <w:pPr>
              <w:widowControl/>
              <w:jc w:val="center"/>
              <w:rPr>
                <w:rFonts w:eastAsia="宋体" w:cs="宋体"/>
                <w:b/>
                <w:bCs/>
                <w:color w:val="000000"/>
                <w:kern w:val="0"/>
                <w:sz w:val="24"/>
                <w:lang w:bidi="ar"/>
              </w:rPr>
            </w:pPr>
            <w:r>
              <w:rPr>
                <w:rFonts w:hint="eastAsia" w:eastAsia="宋体" w:cs="宋体"/>
                <w:b/>
                <w:bCs/>
                <w:color w:val="000000"/>
                <w:kern w:val="0"/>
                <w:sz w:val="24"/>
                <w:lang w:bidi="ar"/>
              </w:rPr>
              <w:t>指标解释</w:t>
            </w:r>
          </w:p>
        </w:tc>
        <w:tc>
          <w:tcPr>
            <w:tcW w:w="275" w:type="pct"/>
            <w:shd w:val="clear" w:color="auto" w:fill="E7E6E6" w:themeFill="background2"/>
            <w:vAlign w:val="center"/>
          </w:tcPr>
          <w:p>
            <w:pPr>
              <w:widowControl/>
              <w:jc w:val="center"/>
              <w:rPr>
                <w:rFonts w:eastAsia="宋体" w:cs="宋体"/>
                <w:b/>
                <w:bCs/>
                <w:color w:val="000000"/>
                <w:kern w:val="0"/>
                <w:sz w:val="24"/>
                <w:lang w:bidi="ar"/>
              </w:rPr>
            </w:pPr>
            <w:r>
              <w:rPr>
                <w:rFonts w:hint="eastAsia" w:eastAsia="宋体" w:cs="宋体"/>
                <w:b/>
                <w:bCs/>
                <w:color w:val="000000"/>
                <w:kern w:val="0"/>
                <w:sz w:val="24"/>
                <w:lang w:bidi="ar"/>
              </w:rPr>
              <w:t>指标</w:t>
            </w:r>
          </w:p>
          <w:p>
            <w:pPr>
              <w:widowControl/>
              <w:jc w:val="center"/>
              <w:rPr>
                <w:rFonts w:eastAsia="宋体" w:cs="宋体"/>
                <w:b/>
                <w:bCs/>
                <w:color w:val="000000"/>
                <w:kern w:val="0"/>
                <w:sz w:val="24"/>
                <w:lang w:bidi="ar"/>
              </w:rPr>
            </w:pPr>
            <w:r>
              <w:rPr>
                <w:rFonts w:hint="eastAsia" w:eastAsia="宋体" w:cs="宋体"/>
                <w:b/>
                <w:bCs/>
                <w:color w:val="000000"/>
                <w:kern w:val="0"/>
                <w:sz w:val="24"/>
                <w:lang w:bidi="ar"/>
              </w:rPr>
              <w:t>标杆值</w:t>
            </w:r>
          </w:p>
        </w:tc>
        <w:tc>
          <w:tcPr>
            <w:tcW w:w="871" w:type="pct"/>
            <w:shd w:val="clear" w:color="auto" w:fill="E7E6E6" w:themeFill="background2"/>
            <w:vAlign w:val="center"/>
          </w:tcPr>
          <w:p>
            <w:pPr>
              <w:widowControl/>
              <w:jc w:val="center"/>
              <w:rPr>
                <w:rFonts w:eastAsia="宋体" w:cs="宋体"/>
                <w:b/>
                <w:bCs/>
                <w:color w:val="000000"/>
                <w:kern w:val="0"/>
                <w:sz w:val="24"/>
                <w:lang w:bidi="ar"/>
              </w:rPr>
            </w:pPr>
            <w:r>
              <w:rPr>
                <w:rFonts w:hint="eastAsia" w:eastAsia="宋体" w:cs="宋体"/>
                <w:b/>
                <w:bCs/>
                <w:color w:val="000000"/>
                <w:kern w:val="0"/>
                <w:sz w:val="24"/>
                <w:lang w:bidi="ar"/>
              </w:rPr>
              <w:t>评价标准及评分规则</w:t>
            </w:r>
          </w:p>
        </w:tc>
        <w:tc>
          <w:tcPr>
            <w:tcW w:w="275" w:type="pct"/>
            <w:shd w:val="clear" w:color="auto" w:fill="E7E6E6" w:themeFill="background2"/>
            <w:vAlign w:val="center"/>
          </w:tcPr>
          <w:p>
            <w:pPr>
              <w:widowControl/>
              <w:jc w:val="center"/>
              <w:rPr>
                <w:rFonts w:eastAsia="宋体" w:cs="宋体"/>
                <w:b/>
                <w:bCs/>
                <w:color w:val="000000"/>
                <w:kern w:val="0"/>
                <w:sz w:val="24"/>
                <w:lang w:bidi="ar"/>
              </w:rPr>
            </w:pPr>
            <w:r>
              <w:rPr>
                <w:rFonts w:hint="eastAsia" w:eastAsia="宋体" w:cs="宋体"/>
                <w:b/>
                <w:bCs/>
                <w:color w:val="000000"/>
                <w:kern w:val="0"/>
                <w:sz w:val="24"/>
                <w:lang w:bidi="ar"/>
              </w:rPr>
              <w:t>业绩值</w:t>
            </w:r>
          </w:p>
        </w:tc>
        <w:tc>
          <w:tcPr>
            <w:tcW w:w="278" w:type="pct"/>
            <w:shd w:val="clear" w:color="auto" w:fill="E7E6E6" w:themeFill="background2"/>
            <w:vAlign w:val="center"/>
          </w:tcPr>
          <w:p>
            <w:pPr>
              <w:widowControl/>
              <w:jc w:val="center"/>
              <w:rPr>
                <w:rFonts w:eastAsia="宋体" w:cs="宋体"/>
                <w:b/>
                <w:bCs/>
                <w:color w:val="000000"/>
                <w:kern w:val="0"/>
                <w:sz w:val="24"/>
                <w:lang w:bidi="ar"/>
              </w:rPr>
            </w:pPr>
            <w:r>
              <w:rPr>
                <w:rFonts w:hint="eastAsia" w:eastAsia="宋体" w:cs="宋体"/>
                <w:b/>
                <w:bCs/>
                <w:color w:val="000000"/>
                <w:kern w:val="0"/>
                <w:sz w:val="24"/>
                <w:lang w:bidi="ar"/>
              </w:rPr>
              <w:t>得分</w:t>
            </w:r>
          </w:p>
        </w:tc>
        <w:tc>
          <w:tcPr>
            <w:tcW w:w="1511" w:type="pct"/>
            <w:shd w:val="clear" w:color="auto" w:fill="E7E6E6" w:themeFill="background2"/>
            <w:vAlign w:val="center"/>
          </w:tcPr>
          <w:p>
            <w:pPr>
              <w:widowControl/>
              <w:jc w:val="center"/>
              <w:rPr>
                <w:rFonts w:eastAsia="宋体" w:cs="宋体"/>
                <w:b/>
                <w:bCs/>
                <w:color w:val="000000"/>
                <w:kern w:val="0"/>
                <w:sz w:val="24"/>
                <w:lang w:bidi="ar"/>
              </w:rPr>
            </w:pPr>
            <w:r>
              <w:rPr>
                <w:rFonts w:hint="eastAsia" w:eastAsia="宋体" w:cs="宋体"/>
                <w:b/>
                <w:bCs/>
                <w:color w:val="000000"/>
                <w:kern w:val="0"/>
                <w:sz w:val="24"/>
                <w:lang w:bidi="ar"/>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项目决策（19分）</w:t>
            </w:r>
          </w:p>
        </w:tc>
        <w:tc>
          <w:tcPr>
            <w:tcW w:w="275"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项目</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立项</w:t>
            </w:r>
          </w:p>
        </w:tc>
        <w:tc>
          <w:tcPr>
            <w:tcW w:w="183"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5</w:t>
            </w: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立项依据</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充分性</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项目立项是否符合法律法规、相关政策、发展规划以及部门职责，用以反映和考核项目申请依据情况。</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充分</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①项目的实施是否符合国家法律法规、国民经济发展规划等相关政策，占20%权重分；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②项目的实施是否符合行业发展规划和政策要求，占20%权重分；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③项目的实施是否与教育和体育局职责范围相符，属于部门履职所需，占20%权重分；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④项目是否属于公共财政支持范围，符合中央、地方事权支出责任划分原则，占20%权重分；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⑤项目是否与相关部门同类项目或部门内部相关项目不重复，占20%权重分。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符合一项得对应得权重分，否则扣除对应权重分。</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充分</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根据查阅相关资料、提供的项目相关背景资料，①项目的实施符合国家法律法规和国民经济发展规划，包括《中华人民共和国预算法》、《“十四五”职业技能培训规划》、《职业教育提质培优</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行动计划（2020-2023年）》等；</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项目的实施符合行业发展规划和政策要求，包括《教育部河北省人民政府关于提升区域职业教育发展动能打造品质保定的实施意见》（冀政字〔2021〕61号）、《关于推动现代职业教育高质量发展的意见》、《河北省“十四五”职业技能培训规划》以及《国务院关于加</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快发展现代职业教育的决定》等；</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③项目的设立与教育和体育局职责范围相符，属于部门履职所需；</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④项目属于公共财政支持范围，符合中央、地方事权支出责任划分原则；</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⑤项目与相关部门同类项目或部门内部相关项目不重复。</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continue"/>
            <w:vAlign w:val="center"/>
          </w:tcPr>
          <w:p>
            <w:pPr>
              <w:widowControl/>
              <w:jc w:val="center"/>
              <w:rPr>
                <w:rFonts w:eastAsia="宋体" w:cs="宋体"/>
                <w:color w:val="000000"/>
                <w:kern w:val="0"/>
                <w:sz w:val="20"/>
                <w:szCs w:val="20"/>
                <w:lang w:bidi="ar"/>
              </w:rPr>
            </w:pPr>
          </w:p>
        </w:tc>
        <w:tc>
          <w:tcPr>
            <w:tcW w:w="183" w:type="pct"/>
            <w:vMerge w:val="continue"/>
            <w:vAlign w:val="center"/>
          </w:tcPr>
          <w:p>
            <w:pPr>
              <w:widowControl/>
              <w:jc w:val="center"/>
              <w:rPr>
                <w:rFonts w:eastAsia="宋体" w:cs="宋体"/>
                <w:color w:val="000000"/>
                <w:kern w:val="0"/>
                <w:sz w:val="20"/>
                <w:szCs w:val="20"/>
                <w:lang w:bidi="ar"/>
              </w:rPr>
            </w:pP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立项程序</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规范性</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2</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项目的申请、设立过程是否符合相关要求，用以反映和考核项目申请的规范情况。</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规范</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①项目是否按照规定的程序设计实施方案，占50%权重分；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②项目的审批文件、材料是否符合相关要求，占50%权重分；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符合一项得对应得权重分，否则扣除对应权重分。</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规范</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2</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根据获取的项目实施方案等资料，</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①项目已按照规定的程序设计实施方案；</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②根据会议记录，项目的审批文件、材料符合相关要求。</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绩效</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目标</w:t>
            </w:r>
          </w:p>
        </w:tc>
        <w:tc>
          <w:tcPr>
            <w:tcW w:w="183"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6</w:t>
            </w: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绩效目标</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合理性</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项目所设定的绩效目标是否符合客观实际、切实可行，用以反映和考核项目绩效目标与项目实施的相符情况。</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合理</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①项目有绩效目标，占30%权重分；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②项目绩效目标与实际工作内容具有相关性，占40%权重分；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③项目预期产出效益和效果符合正常的业绩水平，占30%权重分；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符合一项得对应得权重分，否则扣除对应权重分。</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较为</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合理</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1.8</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根据项目绩效目标申报表、绩效目标自评表，①教育和体育局职业教育中心为做好质量提升项目的实施工作，根据《河北省现代职业教育发展专项资金管理办法》（冀财教〔2020〕87号）设置并申报了绩效目标表；</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项目绩效目标设置了中长期及年度预期目标：通过开展2022年现代职业教育质量提升项目，购置教学仪器设备，顺利完成教育教学活动和其他教学任务，提高办学条件，提升教学质量。为达到目标设置了数量、质量、时效、成本、效益、满意度指标，但未涵盖所有质量提升项目的子项目的绩效指标，绩效目标与实际工作内容较为相关，扣40%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③项目预期产出效益和效果符合正常的业绩水平。</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根据评分标准，该指标得60%权重分。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continue"/>
            <w:vAlign w:val="center"/>
          </w:tcPr>
          <w:p>
            <w:pPr>
              <w:widowControl/>
              <w:jc w:val="center"/>
              <w:rPr>
                <w:rFonts w:eastAsia="宋体" w:cs="宋体"/>
                <w:color w:val="000000"/>
                <w:kern w:val="0"/>
                <w:sz w:val="20"/>
                <w:szCs w:val="20"/>
                <w:lang w:bidi="ar"/>
              </w:rPr>
            </w:pPr>
          </w:p>
        </w:tc>
        <w:tc>
          <w:tcPr>
            <w:tcW w:w="183" w:type="pct"/>
            <w:vMerge w:val="continue"/>
            <w:vAlign w:val="center"/>
          </w:tcPr>
          <w:p>
            <w:pPr>
              <w:widowControl/>
              <w:jc w:val="center"/>
              <w:rPr>
                <w:rFonts w:eastAsia="宋体" w:cs="宋体"/>
                <w:color w:val="000000"/>
                <w:kern w:val="0"/>
                <w:sz w:val="20"/>
                <w:szCs w:val="20"/>
                <w:lang w:bidi="ar"/>
              </w:rPr>
            </w:pP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绩效指标</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明确性</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依据绩效目标设定的绩效指标是否清晰细化可衡量等，用以反映和考核项目绩效目标的明细化情况。</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明确</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①将项目绩效目标细化分解为具体的绩效指标，占30%权重分；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②通过清晰、可衡量的指标值予以体现，占30%权重分；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③与项目目标任务数或计划数相对应，占40%权重分；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符合一项得对应得权重分，否则扣除对应权重分。</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较为</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明确</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2.1</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项目绩效目标申报表、绩效目标自评表，①项目的绩效目标细化分解为数量、时效、成本、质量、社会效益、满意度指标，但徐水区职业教育中心质量提升项目存在多个子项目，在数量、成本等指标未细化分解为子项目的具体指标，扣30%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②项目通过清晰、可衡量的指标值体现绩效目标；</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③与项目目标任务数或计划数相对应。</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根据评分规则，该指标得70%权重分。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资金</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投入</w:t>
            </w:r>
          </w:p>
        </w:tc>
        <w:tc>
          <w:tcPr>
            <w:tcW w:w="183"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8</w:t>
            </w: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预算编制</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科学性</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4</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项目预算编制是否经过科学论证、有明确标准，资金额度与年度目标是否相适应，用以反映和考核项目预算编制的科学性、合理性情况。</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科学</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①预算编制是否经过科学论证，占25%权重分；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②预算内容是否与项目内容匹配，占25%权重分；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③预算额度是否测算依据充分，按照标准编制，占25%权重分；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④预算确定的项目投资额或资金量是否与工作任务相匹配，占25%权重分。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符合一项得对应得权重分，否则扣除对应权重分。</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科学</w:t>
            </w:r>
          </w:p>
        </w:tc>
        <w:tc>
          <w:tcPr>
            <w:tcW w:w="278" w:type="pct"/>
            <w:shd w:val="clear" w:color="auto" w:fill="auto"/>
            <w:vAlign w:val="center"/>
          </w:tcPr>
          <w:p>
            <w:pPr>
              <w:widowControl/>
              <w:jc w:val="center"/>
              <w:rPr>
                <w:rFonts w:eastAsia="宋体" w:cs="宋体"/>
                <w:color w:val="000000"/>
                <w:kern w:val="0"/>
                <w:sz w:val="20"/>
                <w:szCs w:val="20"/>
                <w:lang w:bidi="ar"/>
              </w:rPr>
            </w:pPr>
            <w:r>
              <w:rPr>
                <w:rFonts w:eastAsia="宋体" w:cs="宋体"/>
                <w:color w:val="000000"/>
                <w:kern w:val="0"/>
                <w:sz w:val="20"/>
                <w:szCs w:val="20"/>
                <w:lang w:bidi="ar"/>
              </w:rPr>
              <w:t>4</w:t>
            </w:r>
          </w:p>
        </w:tc>
        <w:tc>
          <w:tcPr>
            <w:tcW w:w="1511" w:type="pct"/>
            <w:shd w:val="clear" w:color="auto" w:fill="auto"/>
            <w:vAlign w:val="center"/>
          </w:tcPr>
          <w:p>
            <w:pPr>
              <w:widowControl/>
              <w:rPr>
                <w:rFonts w:hint="eastAsia" w:eastAsia="宋体" w:cs="宋体"/>
                <w:color w:val="000000"/>
                <w:kern w:val="0"/>
                <w:sz w:val="20"/>
                <w:szCs w:val="20"/>
                <w:lang w:bidi="ar"/>
              </w:rPr>
            </w:pPr>
            <w:r>
              <w:rPr>
                <w:rFonts w:hint="eastAsia" w:eastAsia="宋体" w:cs="宋体"/>
                <w:color w:val="000000"/>
                <w:kern w:val="0"/>
                <w:sz w:val="20"/>
                <w:szCs w:val="20"/>
                <w:lang w:bidi="ar"/>
              </w:rPr>
              <w:t>根据《河北省现代职业教育发展专项资金管理办法》（冀财教〔2020〕87号）及资金下达文件，徐水区职业教育中心质量提升项目资金为市级财政对区县直接下达的预算资金，采用因素法、项目法分配预算资金，</w:t>
            </w:r>
          </w:p>
          <w:p>
            <w:pPr>
              <w:widowControl/>
              <w:rPr>
                <w:rFonts w:hint="eastAsia" w:eastAsia="宋体" w:cs="宋体"/>
                <w:color w:val="000000"/>
                <w:kern w:val="0"/>
                <w:sz w:val="20"/>
                <w:szCs w:val="20"/>
                <w:lang w:bidi="ar"/>
              </w:rPr>
            </w:pPr>
            <w:r>
              <w:rPr>
                <w:rFonts w:hint="eastAsia" w:eastAsia="宋体" w:cs="宋体"/>
                <w:color w:val="000000"/>
                <w:kern w:val="0"/>
                <w:sz w:val="20"/>
                <w:szCs w:val="20"/>
                <w:lang w:bidi="ar"/>
              </w:rPr>
              <w:t>①预算编制经过科学论证；</w:t>
            </w:r>
          </w:p>
          <w:p>
            <w:pPr>
              <w:widowControl/>
              <w:rPr>
                <w:rFonts w:hint="eastAsia" w:eastAsia="宋体" w:cs="宋体"/>
                <w:color w:val="000000"/>
                <w:kern w:val="0"/>
                <w:sz w:val="20"/>
                <w:szCs w:val="20"/>
                <w:lang w:bidi="ar"/>
              </w:rPr>
            </w:pPr>
            <w:r>
              <w:rPr>
                <w:rFonts w:hint="eastAsia" w:eastAsia="宋体" w:cs="宋体"/>
                <w:color w:val="000000"/>
                <w:kern w:val="0"/>
                <w:sz w:val="20"/>
                <w:szCs w:val="20"/>
                <w:lang w:bidi="ar"/>
              </w:rPr>
              <w:t>②预算内容与项目内容匹配；</w:t>
            </w:r>
          </w:p>
          <w:p>
            <w:pPr>
              <w:widowControl/>
              <w:rPr>
                <w:rFonts w:hint="eastAsia" w:eastAsia="宋体" w:cs="宋体"/>
                <w:color w:val="000000"/>
                <w:kern w:val="0"/>
                <w:sz w:val="20"/>
                <w:szCs w:val="20"/>
                <w:lang w:bidi="ar"/>
              </w:rPr>
            </w:pPr>
            <w:r>
              <w:rPr>
                <w:rFonts w:hint="eastAsia" w:eastAsia="宋体" w:cs="宋体"/>
                <w:color w:val="000000"/>
                <w:kern w:val="0"/>
                <w:sz w:val="20"/>
                <w:szCs w:val="20"/>
                <w:lang w:bidi="ar"/>
              </w:rPr>
              <w:t>③预算额度测算依据充分，按照标准编制；</w:t>
            </w:r>
          </w:p>
          <w:p>
            <w:pPr>
              <w:widowControl/>
              <w:rPr>
                <w:rFonts w:hint="eastAsia" w:eastAsia="宋体" w:cs="宋体"/>
                <w:color w:val="000000"/>
                <w:kern w:val="0"/>
                <w:sz w:val="20"/>
                <w:szCs w:val="20"/>
                <w:lang w:bidi="ar"/>
              </w:rPr>
            </w:pPr>
            <w:r>
              <w:rPr>
                <w:rFonts w:hint="eastAsia" w:eastAsia="宋体" w:cs="宋体"/>
                <w:color w:val="000000"/>
                <w:kern w:val="0"/>
                <w:sz w:val="20"/>
                <w:szCs w:val="20"/>
                <w:lang w:bidi="ar"/>
              </w:rPr>
              <w:t>④根据项目的支出计划、采购合同及验收报告，预算资金量与实际工作任务相匹配。</w:t>
            </w:r>
          </w:p>
          <w:p>
            <w:pPr>
              <w:widowControl/>
              <w:rPr>
                <w:rFonts w:eastAsia="宋体" w:cs="宋体"/>
                <w:color w:val="000000"/>
                <w:kern w:val="0"/>
                <w:sz w:val="20"/>
                <w:szCs w:val="20"/>
                <w:lang w:bidi="ar"/>
              </w:rPr>
            </w:pP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continue"/>
            <w:vAlign w:val="center"/>
          </w:tcPr>
          <w:p>
            <w:pPr>
              <w:widowControl/>
              <w:jc w:val="center"/>
              <w:rPr>
                <w:rFonts w:eastAsia="宋体" w:cs="宋体"/>
                <w:color w:val="000000"/>
                <w:kern w:val="0"/>
                <w:sz w:val="20"/>
                <w:szCs w:val="20"/>
                <w:lang w:bidi="ar"/>
              </w:rPr>
            </w:pPr>
          </w:p>
        </w:tc>
        <w:tc>
          <w:tcPr>
            <w:tcW w:w="183" w:type="pct"/>
            <w:vMerge w:val="continue"/>
            <w:vAlign w:val="center"/>
          </w:tcPr>
          <w:p>
            <w:pPr>
              <w:widowControl/>
              <w:jc w:val="center"/>
              <w:rPr>
                <w:rFonts w:eastAsia="宋体" w:cs="宋体"/>
                <w:color w:val="000000"/>
                <w:kern w:val="0"/>
                <w:sz w:val="20"/>
                <w:szCs w:val="20"/>
                <w:lang w:bidi="ar"/>
              </w:rPr>
            </w:pP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资金分配</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合理性</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4</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项目预算资金分配是否有测算依据，与补助单位或地方实际是否相适应，用以反映和考核项目预算资金分配的科学性、合理性情况。</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合理</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①预算资金分配依据是否充分，占50%权重分；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②资金分配额度是否合理，与项目单位或地方实际是否相适应，占50%权重分；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符合一项得对应得权重分，否则扣除对应权重分。</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合理</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4</w:t>
            </w:r>
          </w:p>
        </w:tc>
        <w:tc>
          <w:tcPr>
            <w:tcW w:w="1511" w:type="pct"/>
            <w:shd w:val="clear" w:color="auto" w:fill="auto"/>
            <w:vAlign w:val="center"/>
          </w:tcPr>
          <w:p>
            <w:pPr>
              <w:widowControl/>
              <w:rPr>
                <w:rFonts w:hint="eastAsia" w:eastAsia="宋体" w:cs="宋体"/>
                <w:color w:val="000000"/>
                <w:kern w:val="0"/>
                <w:sz w:val="20"/>
                <w:szCs w:val="20"/>
                <w:lang w:bidi="ar"/>
              </w:rPr>
            </w:pPr>
            <w:r>
              <w:rPr>
                <w:rFonts w:hint="eastAsia" w:eastAsia="宋体" w:cs="宋体"/>
                <w:color w:val="000000"/>
                <w:kern w:val="0"/>
                <w:sz w:val="20"/>
                <w:szCs w:val="20"/>
                <w:lang w:bidi="ar"/>
              </w:rPr>
              <w:t>根据《河北省现代职业教育发展专项资金管理办法》（冀财教〔2020〕87号）、资金分配因素文件以及访谈了解，</w:t>
            </w:r>
          </w:p>
          <w:p>
            <w:pPr>
              <w:widowControl/>
              <w:rPr>
                <w:rFonts w:hint="eastAsia" w:eastAsia="宋体" w:cs="宋体"/>
                <w:color w:val="000000"/>
                <w:kern w:val="0"/>
                <w:sz w:val="20"/>
                <w:szCs w:val="20"/>
                <w:lang w:bidi="ar"/>
              </w:rPr>
            </w:pPr>
            <w:r>
              <w:rPr>
                <w:rFonts w:hint="eastAsia" w:eastAsia="宋体" w:cs="宋体"/>
                <w:color w:val="000000"/>
                <w:kern w:val="0"/>
                <w:sz w:val="20"/>
                <w:szCs w:val="20"/>
                <w:lang w:bidi="ar"/>
              </w:rPr>
              <w:t>①根据支出计划等资料，预算资金按照审批程序和权限分配，实施科学决策、集体研究，分配依据充分；</w:t>
            </w:r>
          </w:p>
          <w:p>
            <w:pPr>
              <w:widowControl/>
              <w:rPr>
                <w:rFonts w:hint="eastAsia" w:eastAsia="宋体" w:cs="宋体"/>
                <w:color w:val="000000"/>
                <w:kern w:val="0"/>
                <w:sz w:val="20"/>
                <w:szCs w:val="20"/>
                <w:lang w:bidi="ar"/>
              </w:rPr>
            </w:pPr>
            <w:r>
              <w:rPr>
                <w:rFonts w:hint="eastAsia" w:eastAsia="宋体" w:cs="宋体"/>
                <w:color w:val="000000"/>
                <w:kern w:val="0"/>
                <w:sz w:val="20"/>
                <w:szCs w:val="20"/>
                <w:lang w:bidi="ar"/>
              </w:rPr>
              <w:t>②根据资金分配因素文件，资金分配额度与项目单位或地方实际相适应。</w:t>
            </w:r>
          </w:p>
          <w:p>
            <w:pPr>
              <w:widowControl/>
              <w:rPr>
                <w:rFonts w:eastAsia="宋体" w:cs="宋体"/>
                <w:color w:val="000000"/>
                <w:kern w:val="0"/>
                <w:sz w:val="20"/>
                <w:szCs w:val="20"/>
                <w:lang w:bidi="ar"/>
              </w:rPr>
            </w:pP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项目过程（11分）</w:t>
            </w:r>
          </w:p>
        </w:tc>
        <w:tc>
          <w:tcPr>
            <w:tcW w:w="275"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资金</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管理</w:t>
            </w:r>
          </w:p>
        </w:tc>
        <w:tc>
          <w:tcPr>
            <w:tcW w:w="183"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6</w:t>
            </w: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资金到位率</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2</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实际到位资金与计划投入资金的比率，用以反映和考核资金落实情况对项目实施的总体保障程度。</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实际到位资金：本年度内财政局落实到教育和体育局的资金；预算资金：本年度内预算安排到教育和体育局的资金。</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资金到位率≤100%，未对项目开展造成不良影响，得分=指标分值×资金到位率；</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资金到位率﹤100%，对项目开展造成不良影响，得分等于0。</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2</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关于提前下达2022年现代职业教育质量提升计划资金预算的通知》（保财教〔2021〕49号）及其批复文件、《关于下达2022年中央现代职业教育质量提升计划补助资金预算的通知》（保财教〔2022〕53号）及其批复文件，预算资金2700000元，实际到位资金2700000元，资金到位率100%。</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continue"/>
            <w:vAlign w:val="center"/>
          </w:tcPr>
          <w:p>
            <w:pPr>
              <w:widowControl/>
              <w:jc w:val="center"/>
              <w:rPr>
                <w:rFonts w:eastAsia="宋体" w:cs="宋体"/>
                <w:color w:val="000000"/>
                <w:kern w:val="0"/>
                <w:sz w:val="20"/>
                <w:szCs w:val="20"/>
                <w:lang w:bidi="ar"/>
              </w:rPr>
            </w:pPr>
          </w:p>
        </w:tc>
        <w:tc>
          <w:tcPr>
            <w:tcW w:w="183" w:type="pct"/>
            <w:vMerge w:val="continue"/>
            <w:vAlign w:val="center"/>
          </w:tcPr>
          <w:p>
            <w:pPr>
              <w:widowControl/>
              <w:jc w:val="center"/>
              <w:rPr>
                <w:rFonts w:eastAsia="宋体" w:cs="宋体"/>
                <w:color w:val="000000"/>
                <w:kern w:val="0"/>
                <w:sz w:val="20"/>
                <w:szCs w:val="20"/>
                <w:lang w:bidi="ar"/>
              </w:rPr>
            </w:pP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预算执行率</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2</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项目预算资金是否按照计划执行，用以反映和考核预算执行情况。</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预算执行率=100%得满分；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预算执行率＜100%，得分=指标分值×预算执行率。</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2</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根据项目明细账以及资金执行状况，本项目“事业支出-财政拨款支出”科目借方实际发生额2700000元，实际到位资金2700000元，预算执行率100%。</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continue"/>
            <w:vAlign w:val="center"/>
          </w:tcPr>
          <w:p>
            <w:pPr>
              <w:widowControl/>
              <w:jc w:val="center"/>
              <w:rPr>
                <w:rFonts w:eastAsia="宋体" w:cs="宋体"/>
                <w:color w:val="000000"/>
                <w:kern w:val="0"/>
                <w:sz w:val="20"/>
                <w:szCs w:val="20"/>
                <w:lang w:bidi="ar"/>
              </w:rPr>
            </w:pPr>
          </w:p>
        </w:tc>
        <w:tc>
          <w:tcPr>
            <w:tcW w:w="183" w:type="pct"/>
            <w:vMerge w:val="continue"/>
            <w:vAlign w:val="center"/>
          </w:tcPr>
          <w:p>
            <w:pPr>
              <w:widowControl/>
              <w:jc w:val="center"/>
              <w:rPr>
                <w:rFonts w:eastAsia="宋体" w:cs="宋体"/>
                <w:color w:val="000000"/>
                <w:kern w:val="0"/>
                <w:sz w:val="20"/>
                <w:szCs w:val="20"/>
                <w:lang w:bidi="ar"/>
              </w:rPr>
            </w:pP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资金使用</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合规性</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2</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项目资金使用是否符合相关的财务管理制度规定，用以反映和考核项目资金的规范运行情况。</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合规</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 xml:space="preserve">①是否符合国家财经法规和财务管理制度以及有关专项资金管理办法的规定，占25%权重分； </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 xml:space="preserve">②资金的拨付是否有完整的审批程序和手续，占25%权重分； </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 xml:space="preserve">③是否符合项目预算批复或合同规定的用途，占25%权重分； </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④是否存在截留、挤占、挪用、虚列支出等情况，占25%权重分。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符合一项得对应得权重分，否则扣除对应权重分。</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合规</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2</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教育和体育局提供的《保定市徐水区教育和体育局关于进一步规范中小学校幼儿园资金使用管理办法（试行）》（徐教财〔2022〕4号）以及徐水区职业教育中心专项资金管理制度，①项目符合国家财经法规和财务管理制度以及有关专项资金管理办法的规定；</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②根据资金拨付申请表及请示文件，资金的拨付有完整的审批程序和手续；</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③符合项目预算批复或合同规定的用途；</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④根据资金</w:t>
            </w:r>
            <w:r>
              <w:rPr>
                <w:rFonts w:hint="eastAsia" w:eastAsia="宋体" w:cs="宋体"/>
                <w:color w:val="000000"/>
                <w:kern w:val="0"/>
                <w:sz w:val="20"/>
                <w:szCs w:val="20"/>
                <w:lang w:eastAsia="zh-CN" w:bidi="ar"/>
              </w:rPr>
              <w:t>明细账</w:t>
            </w:r>
            <w:r>
              <w:rPr>
                <w:rFonts w:hint="eastAsia" w:eastAsia="宋体" w:cs="宋体"/>
                <w:color w:val="000000"/>
                <w:kern w:val="0"/>
                <w:sz w:val="20"/>
                <w:szCs w:val="20"/>
                <w:lang w:bidi="ar"/>
              </w:rPr>
              <w:t>、记账凭证、支付凭证等资料，不存在截留、挤占、挪用、虚列支出等情况。</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组织</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实施</w:t>
            </w:r>
          </w:p>
        </w:tc>
        <w:tc>
          <w:tcPr>
            <w:tcW w:w="183"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5</w:t>
            </w: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管理制度</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健全性</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2</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项目实施单位的业务管理制度是否健全，用以反映和考核业务管理制度对项目顺利实施的保障情况。</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健全</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 xml:space="preserve">①是否已制定或具有相应项目的业务管理制度，占50%权重分； </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②相关业务管理制度是否合法、合规、完整，占50%权重分。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符合一项得对应得权重分，否则扣除对应权重分。</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健全</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2</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提供的资料，①保定市徐水区职业教育中心制定了专项资金管理制度、采购管理制度以及固定资产管理制度，且其管理制度符合《保定市徐水区教育和体育局关于进一步规范中小学校幼儿园资金使用管理办法（试行）》（徐教财〔2022〕4号）；</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②徐水区职业教育中心专项资金管理制度、采购管理制度、固定资产管理制度合法、合规、完整。</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continue"/>
            <w:vAlign w:val="center"/>
          </w:tcPr>
          <w:p>
            <w:pPr>
              <w:widowControl/>
              <w:jc w:val="center"/>
              <w:rPr>
                <w:rFonts w:eastAsia="宋体" w:cs="宋体"/>
                <w:color w:val="000000"/>
                <w:kern w:val="0"/>
                <w:sz w:val="20"/>
                <w:szCs w:val="20"/>
                <w:lang w:bidi="ar"/>
              </w:rPr>
            </w:pPr>
          </w:p>
        </w:tc>
        <w:tc>
          <w:tcPr>
            <w:tcW w:w="183" w:type="pct"/>
            <w:vMerge w:val="continue"/>
            <w:vAlign w:val="center"/>
          </w:tcPr>
          <w:p>
            <w:pPr>
              <w:widowControl/>
              <w:jc w:val="center"/>
              <w:rPr>
                <w:rFonts w:eastAsia="宋体" w:cs="宋体"/>
                <w:color w:val="000000"/>
                <w:kern w:val="0"/>
                <w:sz w:val="20"/>
                <w:szCs w:val="20"/>
                <w:lang w:bidi="ar"/>
              </w:rPr>
            </w:pP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制度执行</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有效性</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项目实施是否符合相关业务管理规定，用以反映和考核业务管理制度的有效执行情况。</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有效</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 xml:space="preserve">①项目是否遵守相关法律法规和业务管理规定，占30%权重分；    </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②项目是否按核准的采购程序进行采购，占30%权重分；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③项目合同书、验收报告等资料是否齐全并及时归档，占40%权重分；符合一项得对应得权重分，否则扣除对应权重分。</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有效</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根据项目资料的结果：</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①项目遵守相关法律法规和业务管理规定；</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②根据项目的政府采购申请、招标文件，项目按核准的采购程序进行采购；</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③根据子项目的采购合同及验收报告，项目合同书、验收报告等资料齐全并及时归档。</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项目产出（44分）</w:t>
            </w:r>
          </w:p>
        </w:tc>
        <w:tc>
          <w:tcPr>
            <w:tcW w:w="275"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产出</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数量</w:t>
            </w:r>
          </w:p>
        </w:tc>
        <w:tc>
          <w:tcPr>
            <w:tcW w:w="183"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18</w:t>
            </w: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教学质量提升设备购置数量完成率</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反映教学质量提升设备购置的数量的实现程度。</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实际完成率≥计划值，得100%权重分；</w:t>
            </w:r>
            <w:r>
              <w:rPr>
                <w:rFonts w:hint="eastAsia" w:eastAsia="宋体" w:cs="宋体"/>
                <w:color w:val="000000"/>
                <w:kern w:val="0"/>
                <w:sz w:val="20"/>
                <w:szCs w:val="20"/>
                <w:lang w:bidi="ar"/>
              </w:rPr>
              <w:br w:type="page"/>
            </w:r>
            <w:r>
              <w:rPr>
                <w:rFonts w:hint="eastAsia" w:eastAsia="宋体" w:cs="宋体"/>
                <w:color w:val="000000"/>
                <w:kern w:val="0"/>
                <w:sz w:val="20"/>
                <w:szCs w:val="20"/>
                <w:lang w:bidi="ar"/>
              </w:rPr>
              <w:t>实际完成率＜100%，得分=指标分值×实际完成率。</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120.60%</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根据项目的支出计划、采购合同及验收报告，教学质量提升项目计划购置500台教学设备、打造3个实训室，实际完成购置603台教学设备、打造了3个实训室，实际完成率120.60%。</w:t>
            </w:r>
            <w:r>
              <w:rPr>
                <w:rFonts w:hint="eastAsia" w:eastAsia="宋体" w:cs="宋体"/>
                <w:color w:val="000000"/>
                <w:kern w:val="0"/>
                <w:sz w:val="20"/>
                <w:szCs w:val="20"/>
                <w:lang w:bidi="ar"/>
              </w:rPr>
              <w:br w:type="page"/>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continue"/>
            <w:vAlign w:val="center"/>
          </w:tcPr>
          <w:p>
            <w:pPr>
              <w:widowControl/>
              <w:jc w:val="center"/>
              <w:rPr>
                <w:rFonts w:eastAsia="宋体" w:cs="宋体"/>
                <w:color w:val="000000"/>
                <w:kern w:val="0"/>
                <w:sz w:val="20"/>
                <w:szCs w:val="20"/>
                <w:lang w:bidi="ar"/>
              </w:rPr>
            </w:pPr>
          </w:p>
        </w:tc>
        <w:tc>
          <w:tcPr>
            <w:tcW w:w="183" w:type="pct"/>
            <w:vMerge w:val="continue"/>
            <w:vAlign w:val="center"/>
          </w:tcPr>
          <w:p>
            <w:pPr>
              <w:widowControl/>
              <w:jc w:val="center"/>
              <w:rPr>
                <w:rFonts w:eastAsia="宋体" w:cs="宋体"/>
                <w:color w:val="000000"/>
                <w:kern w:val="0"/>
                <w:sz w:val="20"/>
                <w:szCs w:val="20"/>
                <w:lang w:bidi="ar"/>
              </w:rPr>
            </w:pP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图书购置数量完成率</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反映图书购置数量的实现程度。</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实际完成率≥计划值，得100%权重分；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实际完成率＜100%，得分=指标分值×实际完成率。</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根据项目的支出计划及现场访谈了解，图书购置项目计划购置40000册；根据采购合同及验收报告，实际购置3951种图书，共计40000册，实际完成率100%。</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continue"/>
            <w:vAlign w:val="center"/>
          </w:tcPr>
          <w:p>
            <w:pPr>
              <w:widowControl/>
              <w:jc w:val="center"/>
              <w:rPr>
                <w:rFonts w:eastAsia="宋体" w:cs="宋体"/>
                <w:color w:val="000000"/>
                <w:kern w:val="0"/>
                <w:sz w:val="20"/>
                <w:szCs w:val="20"/>
                <w:lang w:bidi="ar"/>
              </w:rPr>
            </w:pPr>
          </w:p>
        </w:tc>
        <w:tc>
          <w:tcPr>
            <w:tcW w:w="183" w:type="pct"/>
            <w:vMerge w:val="continue"/>
            <w:vAlign w:val="center"/>
          </w:tcPr>
          <w:p>
            <w:pPr>
              <w:widowControl/>
              <w:jc w:val="center"/>
              <w:rPr>
                <w:rFonts w:eastAsia="宋体" w:cs="宋体"/>
                <w:color w:val="000000"/>
                <w:kern w:val="0"/>
                <w:sz w:val="20"/>
                <w:szCs w:val="20"/>
                <w:lang w:bidi="ar"/>
              </w:rPr>
            </w:pP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图书馆配套设备购置数量完成率</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反映图书馆配套设备购置数量的实现程度。</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该项共11种设备，每种占10%权重分，实际完成率≥计划值，得相应权重分；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实际完成率＜100%，扣相应权重分，扣完为止。</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80%</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2.4</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根据项目的支出计划、采购合同及验收报告，本项目购置了11种图书馆配套设备，其他种类实际产出数≥计划数，除以下项目：</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①图书馆配套设备购置项目计划购置书架40组，实际购置15组，实际完成率为37.5%，扣10%权重分；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②计划购置电脑30台，实际购置电脑0台，实际完成率为0%，扣10%权重分。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根据评分规则，该指标得80%权重分。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continue"/>
            <w:vAlign w:val="center"/>
          </w:tcPr>
          <w:p>
            <w:pPr>
              <w:widowControl/>
              <w:jc w:val="center"/>
              <w:rPr>
                <w:rFonts w:eastAsia="宋体" w:cs="宋体"/>
                <w:color w:val="000000"/>
                <w:kern w:val="0"/>
                <w:sz w:val="20"/>
                <w:szCs w:val="20"/>
                <w:lang w:bidi="ar"/>
              </w:rPr>
            </w:pPr>
          </w:p>
        </w:tc>
        <w:tc>
          <w:tcPr>
            <w:tcW w:w="183" w:type="pct"/>
            <w:vMerge w:val="continue"/>
            <w:vAlign w:val="center"/>
          </w:tcPr>
          <w:p>
            <w:pPr>
              <w:widowControl/>
              <w:jc w:val="center"/>
              <w:rPr>
                <w:rFonts w:eastAsia="宋体" w:cs="宋体"/>
                <w:color w:val="000000"/>
                <w:kern w:val="0"/>
                <w:sz w:val="20"/>
                <w:szCs w:val="20"/>
                <w:lang w:bidi="ar"/>
              </w:rPr>
            </w:pP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幼儿保育卫生保健实训室设备购置数量完成率</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反映幼儿保育卫生保健实训室设备购置数量的实现程度。</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实际完成率≥计划值，得100%权重分；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实际完成率＜100%，得分=指标分值×实际完成率。</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w:t>
            </w:r>
            <w:r>
              <w:rPr>
                <w:rFonts w:eastAsia="宋体" w:cs="宋体"/>
                <w:color w:val="000000"/>
                <w:kern w:val="0"/>
                <w:sz w:val="20"/>
                <w:szCs w:val="20"/>
                <w:lang w:bidi="ar"/>
              </w:rPr>
              <w:t>00</w:t>
            </w:r>
            <w:r>
              <w:rPr>
                <w:rFonts w:hint="eastAsia" w:eastAsia="宋体" w:cs="宋体"/>
                <w:color w:val="000000"/>
                <w:kern w:val="0"/>
                <w:sz w:val="20"/>
                <w:szCs w:val="20"/>
                <w:lang w:bidi="ar"/>
              </w:rPr>
              <w:t>%</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项目的采购合同、验收报告及基础数据表，本项目计划购置交互平板、急救箱、智能膳食营养模型等12种教学设备，实际购置16种教学设备，新增了教具柜、空调、立式身高体重仪、卧式身高体重仪4种设备，实际完成率≥计划值。</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continue"/>
            <w:vAlign w:val="center"/>
          </w:tcPr>
          <w:p>
            <w:pPr>
              <w:widowControl/>
              <w:jc w:val="center"/>
              <w:rPr>
                <w:rFonts w:eastAsia="宋体" w:cs="宋体"/>
                <w:color w:val="000000"/>
                <w:kern w:val="0"/>
                <w:sz w:val="20"/>
                <w:szCs w:val="20"/>
                <w:lang w:bidi="ar"/>
              </w:rPr>
            </w:pPr>
          </w:p>
        </w:tc>
        <w:tc>
          <w:tcPr>
            <w:tcW w:w="183" w:type="pct"/>
            <w:vMerge w:val="continue"/>
            <w:vAlign w:val="center"/>
          </w:tcPr>
          <w:p>
            <w:pPr>
              <w:widowControl/>
              <w:jc w:val="center"/>
              <w:rPr>
                <w:rFonts w:eastAsia="宋体" w:cs="宋体"/>
                <w:color w:val="000000"/>
                <w:kern w:val="0"/>
                <w:sz w:val="20"/>
                <w:szCs w:val="20"/>
                <w:lang w:bidi="ar"/>
              </w:rPr>
            </w:pP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幼儿保育卫生保健实训室工程量完工率</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反映幼儿保育卫生保健实训室工程量完工的实现程度。</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实际完成率≥计划值，得100%权重分；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实际完成率＜100%，得分=指标分值×实际完成率。</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根据项目的采购合同、验收报告及基础数据表，本项目计划建设一间卫生保健实训室，建设内容包括地面修复、墙面粉刷、墙皮处理、线路改造等，实际完工一间实训室，计划工程量都已完成，实际完成率100%。</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continue"/>
            <w:vAlign w:val="center"/>
          </w:tcPr>
          <w:p>
            <w:pPr>
              <w:widowControl/>
              <w:jc w:val="center"/>
              <w:rPr>
                <w:rFonts w:eastAsia="宋体" w:cs="宋体"/>
                <w:color w:val="000000"/>
                <w:kern w:val="0"/>
                <w:sz w:val="20"/>
                <w:szCs w:val="20"/>
                <w:lang w:bidi="ar"/>
              </w:rPr>
            </w:pPr>
          </w:p>
        </w:tc>
        <w:tc>
          <w:tcPr>
            <w:tcW w:w="183" w:type="pct"/>
            <w:vMerge w:val="continue"/>
            <w:vAlign w:val="center"/>
          </w:tcPr>
          <w:p>
            <w:pPr>
              <w:widowControl/>
              <w:jc w:val="center"/>
              <w:rPr>
                <w:rFonts w:eastAsia="宋体" w:cs="宋体"/>
                <w:color w:val="000000"/>
                <w:kern w:val="0"/>
                <w:sz w:val="20"/>
                <w:szCs w:val="20"/>
                <w:lang w:bidi="ar"/>
              </w:rPr>
            </w:pP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幼儿保育舞蹈实训室工程量完工率</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反映幼儿保育舞蹈实训室工程量完工的实现程度。</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实际完成率≥计划值，得100%权重分；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实际完成率＜100%，得分=指标分值×实际完成率。</w:t>
            </w:r>
          </w:p>
        </w:tc>
        <w:tc>
          <w:tcPr>
            <w:tcW w:w="275" w:type="pct"/>
            <w:shd w:val="clear" w:color="auto" w:fill="auto"/>
            <w:vAlign w:val="center"/>
          </w:tcPr>
          <w:p>
            <w:pPr>
              <w:widowControl/>
              <w:jc w:val="center"/>
              <w:rPr>
                <w:rFonts w:eastAsia="宋体" w:cs="宋体"/>
                <w:color w:val="000000"/>
                <w:kern w:val="0"/>
                <w:sz w:val="20"/>
                <w:szCs w:val="20"/>
                <w:lang w:bidi="ar"/>
              </w:rPr>
            </w:pPr>
            <w:r>
              <w:rPr>
                <w:rFonts w:eastAsia="宋体" w:cs="宋体"/>
                <w:color w:val="000000"/>
                <w:kern w:val="0"/>
                <w:sz w:val="20"/>
                <w:szCs w:val="20"/>
                <w:lang w:bidi="ar"/>
              </w:rPr>
              <w:t>10</w:t>
            </w:r>
            <w:r>
              <w:rPr>
                <w:rFonts w:hint="eastAsia" w:eastAsia="宋体" w:cs="宋体"/>
                <w:color w:val="000000"/>
                <w:kern w:val="0"/>
                <w:sz w:val="20"/>
                <w:szCs w:val="20"/>
                <w:lang w:bidi="ar"/>
              </w:rPr>
              <w:t>0%</w:t>
            </w:r>
          </w:p>
        </w:tc>
        <w:tc>
          <w:tcPr>
            <w:tcW w:w="278" w:type="pct"/>
            <w:shd w:val="clear" w:color="auto" w:fill="auto"/>
            <w:vAlign w:val="center"/>
          </w:tcPr>
          <w:p>
            <w:pPr>
              <w:widowControl/>
              <w:jc w:val="center"/>
              <w:rPr>
                <w:rFonts w:eastAsia="宋体" w:cs="宋体"/>
                <w:color w:val="000000"/>
                <w:kern w:val="0"/>
                <w:sz w:val="20"/>
                <w:szCs w:val="20"/>
                <w:lang w:bidi="ar"/>
              </w:rPr>
            </w:pPr>
            <w:r>
              <w:rPr>
                <w:rFonts w:eastAsia="宋体" w:cs="宋体"/>
                <w:color w:val="000000"/>
                <w:kern w:val="0"/>
                <w:sz w:val="20"/>
                <w:szCs w:val="20"/>
                <w:lang w:bidi="ar"/>
              </w:rPr>
              <w:t>3</w:t>
            </w:r>
          </w:p>
        </w:tc>
        <w:tc>
          <w:tcPr>
            <w:tcW w:w="1511" w:type="pct"/>
            <w:shd w:val="clear" w:color="auto" w:fill="auto"/>
            <w:vAlign w:val="center"/>
          </w:tcPr>
          <w:p>
            <w:pPr>
              <w:widowControl/>
              <w:rPr>
                <w:rFonts w:hint="eastAsia" w:eastAsia="宋体" w:cs="宋体"/>
                <w:color w:val="000000"/>
                <w:kern w:val="0"/>
                <w:sz w:val="20"/>
                <w:szCs w:val="20"/>
                <w:lang w:bidi="ar"/>
              </w:rPr>
            </w:pPr>
            <w:r>
              <w:rPr>
                <w:rFonts w:hint="eastAsia" w:eastAsia="宋体" w:cs="宋体"/>
                <w:color w:val="000000"/>
                <w:kern w:val="0"/>
                <w:sz w:val="20"/>
                <w:szCs w:val="20"/>
                <w:lang w:bidi="ar"/>
              </w:rPr>
              <w:t>根据项目的采购合同、验收报告及基础数据表、招标控制价审核公告，本项目计划建设一间舞蹈实训室，建设内容包括拆除玻璃隔断、拆除墙面展板、购置储物柜、购置塑胶地面、购置LED条形灯等，支出计划为116378.86元；实际完工一间实训室，采购合同金额为116378.86元，与支出计划一致。</w:t>
            </w:r>
          </w:p>
          <w:p>
            <w:pPr>
              <w:widowControl/>
              <w:rPr>
                <w:rFonts w:eastAsia="宋体" w:cs="宋体"/>
                <w:color w:val="000000"/>
                <w:kern w:val="0"/>
                <w:sz w:val="20"/>
                <w:szCs w:val="20"/>
                <w:lang w:bidi="ar"/>
              </w:rPr>
            </w:pP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产出</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质量</w:t>
            </w:r>
          </w:p>
        </w:tc>
        <w:tc>
          <w:tcPr>
            <w:tcW w:w="183"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6</w:t>
            </w: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设备质量达标率</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2</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反映产出质量目标的实现程度。</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质量达标率=100%，得100%权重分；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质量达标率＜100%，每有一个设备质量不达标，扣50%权重分，扣完为止。</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2</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根据验收报告，设备购置履约验收结论性意见为合格，质量达标率为100%。</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continue"/>
            <w:vAlign w:val="center"/>
          </w:tcPr>
          <w:p>
            <w:pPr>
              <w:widowControl/>
              <w:jc w:val="center"/>
              <w:rPr>
                <w:rFonts w:eastAsia="宋体" w:cs="宋体"/>
                <w:color w:val="000000"/>
                <w:kern w:val="0"/>
                <w:sz w:val="20"/>
                <w:szCs w:val="20"/>
                <w:lang w:bidi="ar"/>
              </w:rPr>
            </w:pPr>
          </w:p>
        </w:tc>
        <w:tc>
          <w:tcPr>
            <w:tcW w:w="183" w:type="pct"/>
            <w:vMerge w:val="continue"/>
            <w:vAlign w:val="center"/>
          </w:tcPr>
          <w:p>
            <w:pPr>
              <w:widowControl/>
              <w:jc w:val="center"/>
              <w:rPr>
                <w:rFonts w:eastAsia="宋体" w:cs="宋体"/>
                <w:color w:val="000000"/>
                <w:kern w:val="0"/>
                <w:sz w:val="20"/>
                <w:szCs w:val="20"/>
                <w:lang w:bidi="ar"/>
              </w:rPr>
            </w:pP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图书质量合格率</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2</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反映图书质量目标的实现程度。</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质量合格率，得100%权重分；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质量合格率＜100%，每有一本图书质量不合格，扣50%权重分，扣完为止。</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2</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根据验收报告，图书采购项目履约验收结论性意见为合格，质量合格率为100%。</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continue"/>
            <w:vAlign w:val="center"/>
          </w:tcPr>
          <w:p>
            <w:pPr>
              <w:widowControl/>
              <w:jc w:val="center"/>
              <w:rPr>
                <w:rFonts w:eastAsia="宋体" w:cs="宋体"/>
                <w:color w:val="000000"/>
                <w:kern w:val="0"/>
                <w:sz w:val="20"/>
                <w:szCs w:val="20"/>
                <w:lang w:bidi="ar"/>
              </w:rPr>
            </w:pPr>
          </w:p>
        </w:tc>
        <w:tc>
          <w:tcPr>
            <w:tcW w:w="183" w:type="pct"/>
            <w:vMerge w:val="continue"/>
            <w:vAlign w:val="center"/>
          </w:tcPr>
          <w:p>
            <w:pPr>
              <w:widowControl/>
              <w:jc w:val="center"/>
              <w:rPr>
                <w:rFonts w:eastAsia="宋体" w:cs="宋体"/>
                <w:color w:val="000000"/>
                <w:kern w:val="0"/>
                <w:sz w:val="20"/>
                <w:szCs w:val="20"/>
                <w:lang w:bidi="ar"/>
              </w:rPr>
            </w:pP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实训室工程验收合格率</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2</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反映设备的操作使用合规情况。</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验收合格率=100%，得100%权重分；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验收合格率＜100%，每有一个工程验收不合格，扣50%权重分，扣完为止。</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2</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根据验收报告，实训室工程履约验收结论性意见为合格，验收合格率为100%。</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产出</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时效</w:t>
            </w:r>
          </w:p>
        </w:tc>
        <w:tc>
          <w:tcPr>
            <w:tcW w:w="183"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8</w:t>
            </w: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设备购置完成及时率</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4</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反映设备购置时效目标的实现程度。</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按计划完成得100%权重分；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每有一个采购项目未按时完成，扣20%权重分，扣完为止。</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60%</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2.4</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根据项目采购合同及验收报告，</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①质量提升项目A包于7月7日签订合同，约定验收日期为7月27日，实际验收日期为9月21日，扣20%权重分；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②质量提升项目B包于7月7日签订合同，约定验收日期为7月27日，实际验收日期为9月21日，扣20%权重分；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③图书采购项目于8月28日签订合同，实际验收时间为9月23日；</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④图书馆配套购置项目于8月23日签订合同，约定工期为30日，实际验收时间为9月23日；</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⑤幼儿保育卫生保健实训室建设项目于9月15日签订合同，约定于9月22日前交货，实际验收时间为9月21日；</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⑥幼儿保育舞蹈实训室建设项目于9月10日签订合同，合同约定于9月20日前验收，实际验收时间为9月18日。</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根据评分规则，该指标得60%权重分。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continue"/>
            <w:vAlign w:val="center"/>
          </w:tcPr>
          <w:p>
            <w:pPr>
              <w:widowControl/>
              <w:jc w:val="center"/>
              <w:rPr>
                <w:rFonts w:eastAsia="宋体" w:cs="宋体"/>
                <w:color w:val="000000"/>
                <w:kern w:val="0"/>
                <w:sz w:val="20"/>
                <w:szCs w:val="20"/>
                <w:lang w:bidi="ar"/>
              </w:rPr>
            </w:pPr>
          </w:p>
        </w:tc>
        <w:tc>
          <w:tcPr>
            <w:tcW w:w="183" w:type="pct"/>
            <w:vMerge w:val="continue"/>
            <w:vAlign w:val="center"/>
          </w:tcPr>
          <w:p>
            <w:pPr>
              <w:widowControl/>
              <w:jc w:val="center"/>
              <w:rPr>
                <w:rFonts w:eastAsia="宋体" w:cs="宋体"/>
                <w:color w:val="000000"/>
                <w:kern w:val="0"/>
                <w:sz w:val="20"/>
                <w:szCs w:val="20"/>
                <w:lang w:bidi="ar"/>
              </w:rPr>
            </w:pP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工程验收及时率</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4</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反映工程验收时效目标的实现程度。</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按计划完成得100%权重分；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每有一个采购项目未按时完成，扣20%权重分，扣完为止。</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4</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根据项目采购合同及验收报告，</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①幼儿保育卫生保健实训室建设工程计划完成时间为9月22日，实际完成时间为9月21日；</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②幼儿保育舞蹈实训室设备采购项目计划完成时间为9月20日，实际完成时间为9月18日。</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产出</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成本</w:t>
            </w:r>
          </w:p>
        </w:tc>
        <w:tc>
          <w:tcPr>
            <w:tcW w:w="183"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12</w:t>
            </w: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教学质量提升设备购置预算控制数</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反映教学质量提升设备购置的预算控制数。</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有效控制</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实际支出≤计划成本，得满分；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实际支出＞计划成本，不得分。</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有效</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控制</w:t>
            </w:r>
          </w:p>
        </w:tc>
        <w:tc>
          <w:tcPr>
            <w:tcW w:w="278" w:type="pct"/>
            <w:shd w:val="clear" w:color="auto" w:fill="auto"/>
            <w:vAlign w:val="center"/>
          </w:tcPr>
          <w:p>
            <w:pPr>
              <w:widowControl/>
              <w:jc w:val="center"/>
              <w:rPr>
                <w:rFonts w:eastAsia="宋体" w:cs="宋体"/>
                <w:color w:val="000000"/>
                <w:kern w:val="0"/>
                <w:sz w:val="20"/>
                <w:szCs w:val="20"/>
                <w:lang w:bidi="ar"/>
              </w:rPr>
            </w:pPr>
            <w:r>
              <w:rPr>
                <w:rFonts w:eastAsia="宋体" w:cs="宋体"/>
                <w:color w:val="000000"/>
                <w:kern w:val="0"/>
                <w:sz w:val="20"/>
                <w:szCs w:val="20"/>
                <w:lang w:bidi="ar"/>
              </w:rPr>
              <w:t>3</w:t>
            </w:r>
          </w:p>
        </w:tc>
        <w:tc>
          <w:tcPr>
            <w:tcW w:w="1511" w:type="pct"/>
            <w:shd w:val="clear" w:color="auto" w:fill="auto"/>
            <w:vAlign w:val="center"/>
          </w:tcPr>
          <w:p>
            <w:pPr>
              <w:widowControl/>
              <w:rPr>
                <w:rFonts w:eastAsia="宋体" w:cs="宋体"/>
                <w:color w:val="000000"/>
                <w:kern w:val="0"/>
                <w:sz w:val="20"/>
                <w:szCs w:val="20"/>
                <w:lang w:bidi="ar"/>
              </w:rPr>
            </w:pPr>
            <w:bookmarkStart w:id="21" w:name="_Hlk141450865"/>
            <w:r>
              <w:rPr>
                <w:rFonts w:hint="eastAsia" w:eastAsia="宋体" w:cs="宋体"/>
                <w:color w:val="000000"/>
                <w:kern w:val="0"/>
                <w:sz w:val="20"/>
                <w:szCs w:val="20"/>
                <w:lang w:bidi="ar"/>
              </w:rPr>
              <w:t>根据项目的支出计划及采购合同、验收报告，教学质量提升项目计划成本3</w:t>
            </w:r>
            <w:r>
              <w:rPr>
                <w:rFonts w:eastAsia="宋体" w:cs="宋体"/>
                <w:color w:val="000000"/>
                <w:kern w:val="0"/>
                <w:sz w:val="20"/>
                <w:szCs w:val="20"/>
                <w:lang w:bidi="ar"/>
              </w:rPr>
              <w:t>20</w:t>
            </w:r>
            <w:r>
              <w:rPr>
                <w:rFonts w:hint="eastAsia" w:eastAsia="宋体" w:cs="宋体"/>
                <w:color w:val="000000"/>
                <w:kern w:val="0"/>
                <w:sz w:val="20"/>
                <w:szCs w:val="20"/>
                <w:lang w:bidi="ar"/>
              </w:rPr>
              <w:t>万，实际支出3</w:t>
            </w:r>
            <w:r>
              <w:rPr>
                <w:rFonts w:eastAsia="宋体" w:cs="宋体"/>
                <w:color w:val="000000"/>
                <w:kern w:val="0"/>
                <w:sz w:val="20"/>
                <w:szCs w:val="20"/>
                <w:lang w:bidi="ar"/>
              </w:rPr>
              <w:t>20</w:t>
            </w:r>
            <w:r>
              <w:rPr>
                <w:rFonts w:hint="eastAsia" w:eastAsia="宋体" w:cs="宋体"/>
                <w:color w:val="000000"/>
                <w:kern w:val="0"/>
                <w:sz w:val="20"/>
                <w:szCs w:val="20"/>
                <w:lang w:bidi="ar"/>
              </w:rPr>
              <w:t>万，该项目专项资金批复2</w:t>
            </w:r>
            <w:r>
              <w:rPr>
                <w:rFonts w:eastAsia="宋体" w:cs="宋体"/>
                <w:color w:val="000000"/>
                <w:kern w:val="0"/>
                <w:sz w:val="20"/>
                <w:szCs w:val="20"/>
                <w:lang w:bidi="ar"/>
              </w:rPr>
              <w:t>00</w:t>
            </w:r>
            <w:r>
              <w:rPr>
                <w:rFonts w:hint="eastAsia" w:eastAsia="宋体" w:cs="宋体"/>
                <w:color w:val="000000"/>
                <w:kern w:val="0"/>
                <w:sz w:val="20"/>
                <w:szCs w:val="20"/>
                <w:lang w:bidi="ar"/>
              </w:rPr>
              <w:t>万，未超出预算。</w:t>
            </w:r>
          </w:p>
          <w:p>
            <w:pPr>
              <w:rPr>
                <w:lang w:bidi="ar"/>
              </w:rPr>
            </w:pPr>
            <w:r>
              <w:rPr>
                <w:rFonts w:hint="eastAsia" w:eastAsia="宋体" w:cs="宋体"/>
                <w:color w:val="000000"/>
                <w:kern w:val="0"/>
                <w:sz w:val="20"/>
                <w:szCs w:val="20"/>
                <w:lang w:bidi="ar"/>
              </w:rPr>
              <w:t>根据评分规则，该指标得100%权重分。</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continue"/>
            <w:vAlign w:val="center"/>
          </w:tcPr>
          <w:p>
            <w:pPr>
              <w:widowControl/>
              <w:jc w:val="center"/>
              <w:rPr>
                <w:rFonts w:eastAsia="宋体" w:cs="宋体"/>
                <w:color w:val="000000"/>
                <w:kern w:val="0"/>
                <w:sz w:val="20"/>
                <w:szCs w:val="20"/>
                <w:lang w:bidi="ar"/>
              </w:rPr>
            </w:pPr>
          </w:p>
        </w:tc>
        <w:tc>
          <w:tcPr>
            <w:tcW w:w="183" w:type="pct"/>
            <w:vMerge w:val="continue"/>
            <w:vAlign w:val="center"/>
          </w:tcPr>
          <w:p>
            <w:pPr>
              <w:widowControl/>
              <w:jc w:val="center"/>
              <w:rPr>
                <w:rFonts w:eastAsia="宋体" w:cs="宋体"/>
                <w:color w:val="000000"/>
                <w:kern w:val="0"/>
                <w:sz w:val="20"/>
                <w:szCs w:val="20"/>
                <w:lang w:bidi="ar"/>
              </w:rPr>
            </w:pP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图书购置预算控制数</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反映图书购置的预算控制数。</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有效控制</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实际支出≤计划成本，得满分；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实际支出＞计划成本，不得分。</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有效</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控制</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根据项目的支出计划及采购合同、验收报告，实际支出与计划成本相符，为2</w:t>
            </w:r>
            <w:r>
              <w:rPr>
                <w:rFonts w:eastAsia="宋体" w:cs="宋体"/>
                <w:color w:val="000000"/>
                <w:kern w:val="0"/>
                <w:sz w:val="20"/>
                <w:szCs w:val="20"/>
                <w:lang w:bidi="ar"/>
              </w:rPr>
              <w:t>80800</w:t>
            </w:r>
            <w:r>
              <w:rPr>
                <w:rFonts w:hint="eastAsia" w:eastAsia="宋体" w:cs="宋体"/>
                <w:color w:val="000000"/>
                <w:kern w:val="0"/>
                <w:sz w:val="20"/>
                <w:szCs w:val="20"/>
                <w:lang w:bidi="ar"/>
              </w:rPr>
              <w:t>元，图书购置未超出预算。</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continue"/>
            <w:vAlign w:val="center"/>
          </w:tcPr>
          <w:p>
            <w:pPr>
              <w:widowControl/>
              <w:jc w:val="center"/>
              <w:rPr>
                <w:rFonts w:eastAsia="宋体" w:cs="宋体"/>
                <w:color w:val="000000"/>
                <w:kern w:val="0"/>
                <w:sz w:val="20"/>
                <w:szCs w:val="20"/>
                <w:lang w:bidi="ar"/>
              </w:rPr>
            </w:pPr>
          </w:p>
        </w:tc>
        <w:tc>
          <w:tcPr>
            <w:tcW w:w="183" w:type="pct"/>
            <w:vMerge w:val="continue"/>
            <w:vAlign w:val="center"/>
          </w:tcPr>
          <w:p>
            <w:pPr>
              <w:widowControl/>
              <w:jc w:val="center"/>
              <w:rPr>
                <w:rFonts w:eastAsia="宋体" w:cs="宋体"/>
                <w:color w:val="000000"/>
                <w:kern w:val="0"/>
                <w:sz w:val="20"/>
                <w:szCs w:val="20"/>
                <w:lang w:bidi="ar"/>
              </w:rPr>
            </w:pP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图书馆配套设备购置预算控制数</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反映图书馆配套设备购置的预算控制数。</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有效控制</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该项共1</w:t>
            </w:r>
            <w:r>
              <w:rPr>
                <w:rFonts w:eastAsia="宋体" w:cs="宋体"/>
                <w:color w:val="000000"/>
                <w:kern w:val="0"/>
                <w:sz w:val="20"/>
                <w:szCs w:val="20"/>
                <w:lang w:bidi="ar"/>
              </w:rPr>
              <w:t>0</w:t>
            </w:r>
            <w:r>
              <w:rPr>
                <w:rFonts w:hint="eastAsia" w:eastAsia="宋体" w:cs="宋体"/>
                <w:color w:val="000000"/>
                <w:kern w:val="0"/>
                <w:sz w:val="20"/>
                <w:szCs w:val="20"/>
                <w:lang w:bidi="ar"/>
              </w:rPr>
              <w:t>种设备，每种占10%权重分，实际支出≤计划成本，得相应权重分；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实际支出＞计划成本，扣相应权重分，扣完为止。</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未有效控制</w:t>
            </w:r>
          </w:p>
        </w:tc>
        <w:tc>
          <w:tcPr>
            <w:tcW w:w="278" w:type="pct"/>
            <w:shd w:val="clear" w:color="auto" w:fill="auto"/>
            <w:vAlign w:val="center"/>
          </w:tcPr>
          <w:p>
            <w:pPr>
              <w:widowControl/>
              <w:jc w:val="center"/>
              <w:rPr>
                <w:rFonts w:eastAsia="宋体" w:cs="宋体"/>
                <w:color w:val="000000"/>
                <w:kern w:val="0"/>
                <w:sz w:val="20"/>
                <w:szCs w:val="20"/>
                <w:lang w:bidi="ar"/>
              </w:rPr>
            </w:pPr>
            <w:r>
              <w:rPr>
                <w:rFonts w:eastAsia="宋体" w:cs="宋体"/>
                <w:color w:val="000000"/>
                <w:kern w:val="0"/>
                <w:sz w:val="20"/>
                <w:szCs w:val="20"/>
                <w:lang w:bidi="ar"/>
              </w:rPr>
              <w:t>2.7</w:t>
            </w:r>
          </w:p>
        </w:tc>
        <w:tc>
          <w:tcPr>
            <w:tcW w:w="1511" w:type="pct"/>
            <w:shd w:val="clear" w:color="auto" w:fill="auto"/>
            <w:vAlign w:val="center"/>
          </w:tcPr>
          <w:p>
            <w:pPr>
              <w:widowControl/>
              <w:rPr>
                <w:rFonts w:hint="eastAsia" w:eastAsia="宋体" w:cs="宋体"/>
                <w:color w:val="000000"/>
                <w:kern w:val="0"/>
                <w:sz w:val="20"/>
                <w:szCs w:val="20"/>
                <w:lang w:bidi="ar"/>
              </w:rPr>
            </w:pPr>
            <w:r>
              <w:rPr>
                <w:rFonts w:hint="eastAsia" w:eastAsia="宋体" w:cs="宋体"/>
                <w:color w:val="000000"/>
                <w:kern w:val="0"/>
                <w:sz w:val="20"/>
                <w:szCs w:val="20"/>
                <w:lang w:bidi="ar"/>
              </w:rPr>
              <w:t>根据项目的支出计划、采购合同及验收报告，本项目购置了1</w:t>
            </w:r>
            <w:r>
              <w:rPr>
                <w:rFonts w:eastAsia="宋体" w:cs="宋体"/>
                <w:color w:val="000000"/>
                <w:kern w:val="0"/>
                <w:sz w:val="20"/>
                <w:szCs w:val="20"/>
                <w:lang w:bidi="ar"/>
              </w:rPr>
              <w:t>0</w:t>
            </w:r>
            <w:r>
              <w:rPr>
                <w:rFonts w:hint="eastAsia" w:eastAsia="宋体" w:cs="宋体"/>
                <w:color w:val="000000"/>
                <w:kern w:val="0"/>
                <w:sz w:val="20"/>
                <w:szCs w:val="20"/>
                <w:lang w:bidi="ar"/>
              </w:rPr>
              <w:t>种图书馆配套设备，其他种类实际产出数≥计划数，除以下项目：</w:t>
            </w:r>
          </w:p>
          <w:p>
            <w:pPr>
              <w:widowControl/>
              <w:rPr>
                <w:rFonts w:hint="eastAsia" w:eastAsia="宋体" w:cs="宋体"/>
                <w:color w:val="000000"/>
                <w:kern w:val="0"/>
                <w:sz w:val="20"/>
                <w:szCs w:val="20"/>
                <w:lang w:bidi="ar"/>
              </w:rPr>
            </w:pPr>
            <w:r>
              <w:rPr>
                <w:rFonts w:hint="eastAsia" w:eastAsia="宋体" w:cs="宋体"/>
                <w:color w:val="000000"/>
                <w:kern w:val="0"/>
                <w:sz w:val="20"/>
                <w:szCs w:val="20"/>
                <w:lang w:bidi="ar"/>
              </w:rPr>
              <w:t>①计划购置图书管理系统0套，实际购置1套，超出预算，扣10%权重分。</w:t>
            </w:r>
          </w:p>
          <w:p>
            <w:pPr>
              <w:widowControl/>
              <w:rPr>
                <w:rFonts w:eastAsia="宋体" w:cs="宋体"/>
                <w:color w:val="000000"/>
                <w:kern w:val="0"/>
                <w:sz w:val="20"/>
                <w:szCs w:val="20"/>
                <w:lang w:bidi="ar"/>
              </w:rPr>
            </w:pPr>
            <w:r>
              <w:rPr>
                <w:rFonts w:hint="eastAsia" w:eastAsia="宋体" w:cs="宋体"/>
                <w:color w:val="000000"/>
                <w:kern w:val="0"/>
                <w:sz w:val="20"/>
                <w:szCs w:val="20"/>
                <w:lang w:bidi="ar"/>
              </w:rPr>
              <w:t>根据评分规则，该指标得90%权重分。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continue"/>
            <w:vAlign w:val="center"/>
          </w:tcPr>
          <w:p>
            <w:pPr>
              <w:widowControl/>
              <w:jc w:val="center"/>
              <w:rPr>
                <w:rFonts w:eastAsia="宋体" w:cs="宋体"/>
                <w:color w:val="000000"/>
                <w:kern w:val="0"/>
                <w:sz w:val="20"/>
                <w:szCs w:val="20"/>
                <w:lang w:bidi="ar"/>
              </w:rPr>
            </w:pPr>
          </w:p>
        </w:tc>
        <w:tc>
          <w:tcPr>
            <w:tcW w:w="183" w:type="pct"/>
            <w:vMerge w:val="continue"/>
            <w:vAlign w:val="center"/>
          </w:tcPr>
          <w:p>
            <w:pPr>
              <w:widowControl/>
              <w:jc w:val="center"/>
              <w:rPr>
                <w:rFonts w:eastAsia="宋体" w:cs="宋体"/>
                <w:color w:val="000000"/>
                <w:kern w:val="0"/>
                <w:sz w:val="20"/>
                <w:szCs w:val="20"/>
                <w:lang w:bidi="ar"/>
              </w:rPr>
            </w:pP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教室文化建设装修预算控制数</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3</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反映教室文化建设装修预算控制数。</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有效</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控制</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该项共两个实训室建设项目，各占50%权重分；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实际支出≤计划成本，得相应权重分；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实际支出＞计划成本，扣相应权重分。</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有效</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控制</w:t>
            </w:r>
          </w:p>
        </w:tc>
        <w:tc>
          <w:tcPr>
            <w:tcW w:w="278" w:type="pct"/>
            <w:shd w:val="clear" w:color="auto" w:fill="auto"/>
            <w:vAlign w:val="center"/>
          </w:tcPr>
          <w:p>
            <w:pPr>
              <w:widowControl/>
              <w:jc w:val="center"/>
              <w:rPr>
                <w:rFonts w:eastAsia="宋体" w:cs="宋体"/>
                <w:color w:val="000000"/>
                <w:kern w:val="0"/>
                <w:sz w:val="20"/>
                <w:szCs w:val="20"/>
                <w:lang w:bidi="ar"/>
              </w:rPr>
            </w:pPr>
            <w:r>
              <w:rPr>
                <w:rFonts w:eastAsia="宋体" w:cs="宋体"/>
                <w:color w:val="000000"/>
                <w:kern w:val="0"/>
                <w:sz w:val="20"/>
                <w:szCs w:val="20"/>
                <w:lang w:bidi="ar"/>
              </w:rPr>
              <w:t>3</w:t>
            </w:r>
          </w:p>
        </w:tc>
        <w:tc>
          <w:tcPr>
            <w:tcW w:w="1511" w:type="pct"/>
            <w:shd w:val="clear" w:color="auto" w:fill="auto"/>
            <w:vAlign w:val="center"/>
          </w:tcPr>
          <w:p>
            <w:pPr>
              <w:widowControl/>
              <w:rPr>
                <w:rFonts w:hint="eastAsia" w:eastAsia="宋体" w:cs="宋体"/>
                <w:color w:val="000000"/>
                <w:kern w:val="0"/>
                <w:sz w:val="20"/>
                <w:szCs w:val="20"/>
                <w:lang w:bidi="ar"/>
              </w:rPr>
            </w:pPr>
            <w:r>
              <w:rPr>
                <w:rFonts w:hint="eastAsia" w:eastAsia="宋体" w:cs="宋体"/>
                <w:color w:val="000000"/>
                <w:kern w:val="0"/>
                <w:sz w:val="20"/>
                <w:szCs w:val="20"/>
                <w:lang w:bidi="ar"/>
              </w:rPr>
              <w:t>根据项目的采购合同、验收报告及基础数据表，</w:t>
            </w:r>
          </w:p>
          <w:p>
            <w:pPr>
              <w:widowControl/>
              <w:rPr>
                <w:rFonts w:hint="eastAsia" w:eastAsia="宋体" w:cs="宋体"/>
                <w:color w:val="000000"/>
                <w:kern w:val="0"/>
                <w:sz w:val="20"/>
                <w:szCs w:val="20"/>
                <w:lang w:bidi="ar"/>
              </w:rPr>
            </w:pPr>
            <w:r>
              <w:rPr>
                <w:rFonts w:hint="eastAsia" w:eastAsia="宋体" w:cs="宋体"/>
                <w:color w:val="000000"/>
                <w:kern w:val="0"/>
                <w:sz w:val="20"/>
                <w:szCs w:val="20"/>
                <w:lang w:bidi="ar"/>
              </w:rPr>
              <w:t>①卫生保健实训室建设项目计划购置交互平板、急救箱、智能膳食营养模型等13种教学设备，以及空调、多功能操作台、教具柜三种设备，与实际购置设备一致；</w:t>
            </w:r>
          </w:p>
          <w:p>
            <w:pPr>
              <w:widowControl/>
              <w:rPr>
                <w:rFonts w:hint="eastAsia" w:eastAsia="宋体" w:cs="宋体"/>
                <w:color w:val="000000"/>
                <w:kern w:val="0"/>
                <w:sz w:val="20"/>
                <w:szCs w:val="20"/>
                <w:lang w:bidi="ar"/>
              </w:rPr>
            </w:pPr>
            <w:r>
              <w:rPr>
                <w:rFonts w:hint="eastAsia" w:eastAsia="宋体" w:cs="宋体"/>
                <w:color w:val="000000"/>
                <w:kern w:val="0"/>
                <w:sz w:val="20"/>
                <w:szCs w:val="20"/>
                <w:lang w:bidi="ar"/>
              </w:rPr>
              <w:t>②舞蹈实训室建设项目计划拆除玻璃隔断、拆除墙面展板、购置储物柜、购置塑胶地面、购置LED条形灯等，实际完工与计划相符。</w:t>
            </w:r>
          </w:p>
          <w:p>
            <w:pPr>
              <w:widowControl/>
              <w:rPr>
                <w:rFonts w:eastAsia="宋体" w:cs="宋体"/>
                <w:color w:val="000000"/>
                <w:kern w:val="0"/>
                <w:sz w:val="20"/>
                <w:szCs w:val="20"/>
                <w:lang w:bidi="ar"/>
              </w:rPr>
            </w:pP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项目效益（26分）</w:t>
            </w:r>
          </w:p>
        </w:tc>
        <w:tc>
          <w:tcPr>
            <w:tcW w:w="275"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社会</w:t>
            </w:r>
          </w:p>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效益</w:t>
            </w:r>
          </w:p>
        </w:tc>
        <w:tc>
          <w:tcPr>
            <w:tcW w:w="183"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w:t>
            </w: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设备购置及装修后使用率</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5</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项目实施所产生的效益。</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达到目标值得满分，否则酌情扣分。</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5</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根据基础数据表，购置的设备及图书已全部投入使用。</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continue"/>
            <w:vAlign w:val="center"/>
          </w:tcPr>
          <w:p>
            <w:pPr>
              <w:widowControl/>
              <w:jc w:val="center"/>
              <w:rPr>
                <w:rFonts w:eastAsia="宋体" w:cs="宋体"/>
                <w:color w:val="000000"/>
                <w:kern w:val="0"/>
                <w:sz w:val="20"/>
                <w:szCs w:val="20"/>
                <w:lang w:bidi="ar"/>
              </w:rPr>
            </w:pPr>
          </w:p>
        </w:tc>
        <w:tc>
          <w:tcPr>
            <w:tcW w:w="183" w:type="pct"/>
            <w:vMerge w:val="continue"/>
            <w:vAlign w:val="center"/>
          </w:tcPr>
          <w:p>
            <w:pPr>
              <w:widowControl/>
              <w:jc w:val="center"/>
              <w:rPr>
                <w:rFonts w:eastAsia="宋体" w:cs="宋体"/>
                <w:color w:val="000000"/>
                <w:kern w:val="0"/>
                <w:sz w:val="20"/>
                <w:szCs w:val="20"/>
                <w:lang w:bidi="ar"/>
              </w:rPr>
            </w:pP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“1+X”证书通过率</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5</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反映学生报名河北省中职生技能比赛或1+X证书的情况。</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①通过率≥90%，得5分；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②70%≤通过率＜90%，得3分；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③60%≤通过率≤70%，得2分；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④通过率＜60%，得0分。</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5</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根据基础数据表，</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①2022年职业教育中心报名“1+X”的学生有180人，175人通过考试，5人因疫情未参加考试，通过率100%；</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②2023年报名人数160人，其中30人于第一学期通过考试，其余130人于秋季参加考试，通过率100%。</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可持续影响</w:t>
            </w:r>
          </w:p>
        </w:tc>
        <w:tc>
          <w:tcPr>
            <w:tcW w:w="183" w:type="pct"/>
            <w:vMerge w:val="restar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w:t>
            </w: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招生情况</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5</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反映新生入学情况。</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上升</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实际招生人数≥往年招生人数，得满分；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实际招生人数＜往年招生人数，酌情扣分。</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上升</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5</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根据基础数据表，职业教育中心2021年实际招生人数1677人，2022年实际招生人数1741人，招生人数≥往年招生人数。</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vMerge w:val="continue"/>
            <w:vAlign w:val="center"/>
          </w:tcPr>
          <w:p>
            <w:pPr>
              <w:widowControl/>
              <w:jc w:val="center"/>
              <w:rPr>
                <w:rFonts w:eastAsia="宋体" w:cs="宋体"/>
                <w:color w:val="000000"/>
                <w:kern w:val="0"/>
                <w:sz w:val="20"/>
                <w:szCs w:val="20"/>
                <w:lang w:bidi="ar"/>
              </w:rPr>
            </w:pPr>
          </w:p>
        </w:tc>
        <w:tc>
          <w:tcPr>
            <w:tcW w:w="183" w:type="pct"/>
            <w:vMerge w:val="continue"/>
            <w:vAlign w:val="center"/>
          </w:tcPr>
          <w:p>
            <w:pPr>
              <w:widowControl/>
              <w:jc w:val="center"/>
              <w:rPr>
                <w:rFonts w:eastAsia="宋体" w:cs="宋体"/>
                <w:color w:val="000000"/>
                <w:kern w:val="0"/>
                <w:sz w:val="20"/>
                <w:szCs w:val="20"/>
                <w:lang w:bidi="ar"/>
              </w:rPr>
            </w:pP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应届生就业情况</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5</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反映毕业生就业情况。</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上升</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就业人数≥往年就业人数，得满分；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就业人数＜往年就业人数，酌情扣分。</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上升</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5</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根据基础数据表，职业教育中心2021年实际就业人数200人，2022年实际就业人数285人，就业人数≥往年就业人数。</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vMerge w:val="continue"/>
            <w:vAlign w:val="center"/>
          </w:tcPr>
          <w:p>
            <w:pPr>
              <w:widowControl/>
              <w:jc w:val="center"/>
              <w:rPr>
                <w:rFonts w:eastAsia="宋体" w:cs="宋体"/>
                <w:color w:val="000000"/>
                <w:kern w:val="0"/>
                <w:sz w:val="20"/>
                <w:szCs w:val="20"/>
                <w:lang w:bidi="ar"/>
              </w:rPr>
            </w:pP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满意度</w:t>
            </w:r>
          </w:p>
        </w:tc>
        <w:tc>
          <w:tcPr>
            <w:tcW w:w="183"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6</w:t>
            </w:r>
          </w:p>
        </w:tc>
        <w:tc>
          <w:tcPr>
            <w:tcW w:w="41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学生及教职工满意度</w:t>
            </w:r>
          </w:p>
        </w:tc>
        <w:tc>
          <w:tcPr>
            <w:tcW w:w="184"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6</w:t>
            </w:r>
          </w:p>
        </w:tc>
        <w:tc>
          <w:tcPr>
            <w:tcW w:w="459"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反映学生及教职工对项目实施效果的满意程度。</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100%</w:t>
            </w:r>
          </w:p>
        </w:tc>
        <w:tc>
          <w:tcPr>
            <w:tcW w:w="87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①满意度≥90%，得6分；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②80%≤满意度＜90%，得4分；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③60%≤满意度≤80%，得2分；</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④满意度＜60%，得0分。</w:t>
            </w:r>
          </w:p>
        </w:tc>
        <w:tc>
          <w:tcPr>
            <w:tcW w:w="275"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96.95%</w:t>
            </w:r>
          </w:p>
        </w:tc>
        <w:tc>
          <w:tcPr>
            <w:tcW w:w="278" w:type="pct"/>
            <w:shd w:val="clear" w:color="auto" w:fill="auto"/>
            <w:vAlign w:val="center"/>
          </w:tcPr>
          <w:p>
            <w:pPr>
              <w:widowControl/>
              <w:jc w:val="center"/>
              <w:rPr>
                <w:rFonts w:eastAsia="宋体" w:cs="宋体"/>
                <w:color w:val="000000"/>
                <w:kern w:val="0"/>
                <w:sz w:val="20"/>
                <w:szCs w:val="20"/>
                <w:lang w:bidi="ar"/>
              </w:rPr>
            </w:pPr>
            <w:r>
              <w:rPr>
                <w:rFonts w:hint="eastAsia" w:eastAsia="宋体" w:cs="宋体"/>
                <w:color w:val="000000"/>
                <w:kern w:val="0"/>
                <w:sz w:val="20"/>
                <w:szCs w:val="20"/>
                <w:lang w:bidi="ar"/>
              </w:rPr>
              <w:t>6</w:t>
            </w:r>
          </w:p>
        </w:tc>
        <w:tc>
          <w:tcPr>
            <w:tcW w:w="1511" w:type="pct"/>
            <w:shd w:val="clear" w:color="auto" w:fill="auto"/>
            <w:vAlign w:val="center"/>
          </w:tcPr>
          <w:p>
            <w:pPr>
              <w:widowControl/>
              <w:rPr>
                <w:rFonts w:eastAsia="宋体" w:cs="宋体"/>
                <w:color w:val="000000"/>
                <w:kern w:val="0"/>
                <w:sz w:val="20"/>
                <w:szCs w:val="20"/>
                <w:lang w:bidi="ar"/>
              </w:rPr>
            </w:pPr>
            <w:r>
              <w:rPr>
                <w:rFonts w:hint="eastAsia" w:eastAsia="宋体" w:cs="宋体"/>
                <w:color w:val="000000"/>
                <w:kern w:val="0"/>
                <w:sz w:val="20"/>
                <w:szCs w:val="20"/>
                <w:lang w:bidi="ar"/>
              </w:rPr>
              <w:t>根据满意度调查问卷，本次发放177份问卷，回收177份有效问卷，学生及教职工对于职业教育中心质量提升项目的整体满意程度为96.95%。</w:t>
            </w:r>
            <w:r>
              <w:rPr>
                <w:rFonts w:hint="eastAsia" w:eastAsia="宋体" w:cs="宋体"/>
                <w:color w:val="000000"/>
                <w:kern w:val="0"/>
                <w:sz w:val="20"/>
                <w:szCs w:val="20"/>
                <w:lang w:bidi="ar"/>
              </w:rPr>
              <w:br w:type="textWrapping"/>
            </w:r>
            <w:r>
              <w:rPr>
                <w:rFonts w:hint="eastAsia" w:eastAsia="宋体" w:cs="宋体"/>
                <w:color w:val="000000"/>
                <w:kern w:val="0"/>
                <w:sz w:val="20"/>
                <w:szCs w:val="20"/>
                <w:lang w:bidi="ar"/>
              </w:rPr>
              <w:t>根据评分规则，该指标得100%权重分。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 w:type="pct"/>
            <w:shd w:val="clear" w:color="auto" w:fill="auto"/>
            <w:vAlign w:val="center"/>
          </w:tcPr>
          <w:p>
            <w:pPr>
              <w:widowControl/>
              <w:jc w:val="center"/>
              <w:rPr>
                <w:rFonts w:eastAsia="宋体" w:cs="宋体"/>
                <w:b/>
                <w:bCs/>
                <w:color w:val="000000"/>
                <w:kern w:val="0"/>
                <w:sz w:val="20"/>
                <w:szCs w:val="20"/>
                <w:lang w:bidi="ar"/>
              </w:rPr>
            </w:pPr>
            <w:r>
              <w:rPr>
                <w:rFonts w:hint="eastAsia" w:eastAsia="宋体" w:cs="宋体"/>
                <w:b/>
                <w:bCs/>
                <w:color w:val="000000"/>
                <w:kern w:val="0"/>
                <w:sz w:val="20"/>
                <w:szCs w:val="20"/>
                <w:lang w:bidi="ar"/>
              </w:rPr>
              <w:t>总体</w:t>
            </w:r>
          </w:p>
          <w:p>
            <w:pPr>
              <w:widowControl/>
              <w:jc w:val="center"/>
              <w:rPr>
                <w:rFonts w:eastAsia="宋体" w:cs="宋体"/>
                <w:b/>
                <w:bCs/>
                <w:color w:val="000000"/>
                <w:kern w:val="0"/>
                <w:sz w:val="20"/>
                <w:szCs w:val="20"/>
                <w:lang w:bidi="ar"/>
              </w:rPr>
            </w:pPr>
            <w:r>
              <w:rPr>
                <w:rFonts w:hint="eastAsia" w:eastAsia="宋体" w:cs="宋体"/>
                <w:b/>
                <w:bCs/>
                <w:color w:val="000000"/>
                <w:kern w:val="0"/>
                <w:sz w:val="20"/>
                <w:szCs w:val="20"/>
                <w:lang w:bidi="ar"/>
              </w:rPr>
              <w:t>评价</w:t>
            </w:r>
          </w:p>
        </w:tc>
        <w:tc>
          <w:tcPr>
            <w:tcW w:w="275" w:type="pct"/>
            <w:shd w:val="clear" w:color="auto" w:fill="auto"/>
            <w:vAlign w:val="center"/>
          </w:tcPr>
          <w:p>
            <w:pPr>
              <w:widowControl/>
              <w:jc w:val="center"/>
              <w:rPr>
                <w:rFonts w:eastAsia="宋体" w:cs="宋体"/>
                <w:b/>
                <w:bCs/>
                <w:color w:val="000000"/>
                <w:kern w:val="0"/>
                <w:sz w:val="20"/>
                <w:szCs w:val="20"/>
                <w:lang w:bidi="ar"/>
              </w:rPr>
            </w:pPr>
          </w:p>
        </w:tc>
        <w:tc>
          <w:tcPr>
            <w:tcW w:w="183" w:type="pct"/>
            <w:shd w:val="clear" w:color="auto" w:fill="auto"/>
            <w:vAlign w:val="center"/>
          </w:tcPr>
          <w:p>
            <w:pPr>
              <w:widowControl/>
              <w:jc w:val="center"/>
              <w:rPr>
                <w:rFonts w:eastAsia="宋体" w:cs="宋体"/>
                <w:b/>
                <w:bCs/>
                <w:color w:val="000000"/>
                <w:kern w:val="0"/>
                <w:sz w:val="20"/>
                <w:szCs w:val="20"/>
                <w:lang w:bidi="ar"/>
              </w:rPr>
            </w:pPr>
            <w:r>
              <w:rPr>
                <w:rFonts w:hint="eastAsia" w:eastAsia="宋体" w:cs="宋体"/>
                <w:b/>
                <w:bCs/>
                <w:color w:val="000000"/>
                <w:kern w:val="0"/>
                <w:sz w:val="20"/>
                <w:szCs w:val="20"/>
                <w:lang w:bidi="ar"/>
              </w:rPr>
              <w:t>100</w:t>
            </w:r>
          </w:p>
        </w:tc>
        <w:tc>
          <w:tcPr>
            <w:tcW w:w="414" w:type="pct"/>
            <w:shd w:val="clear" w:color="auto" w:fill="auto"/>
            <w:vAlign w:val="center"/>
          </w:tcPr>
          <w:p>
            <w:pPr>
              <w:widowControl/>
              <w:jc w:val="center"/>
              <w:rPr>
                <w:rFonts w:eastAsia="宋体" w:cs="宋体"/>
                <w:b/>
                <w:bCs/>
                <w:color w:val="000000"/>
                <w:kern w:val="0"/>
                <w:sz w:val="20"/>
                <w:szCs w:val="20"/>
                <w:lang w:bidi="ar"/>
              </w:rPr>
            </w:pPr>
          </w:p>
        </w:tc>
        <w:tc>
          <w:tcPr>
            <w:tcW w:w="184" w:type="pct"/>
            <w:shd w:val="clear" w:color="auto" w:fill="auto"/>
            <w:vAlign w:val="center"/>
          </w:tcPr>
          <w:p>
            <w:pPr>
              <w:widowControl/>
              <w:jc w:val="center"/>
              <w:rPr>
                <w:rFonts w:eastAsia="宋体" w:cs="宋体"/>
                <w:b/>
                <w:bCs/>
                <w:color w:val="000000"/>
                <w:kern w:val="0"/>
                <w:sz w:val="20"/>
                <w:szCs w:val="20"/>
                <w:lang w:bidi="ar"/>
              </w:rPr>
            </w:pPr>
            <w:r>
              <w:rPr>
                <w:rFonts w:hint="eastAsia" w:eastAsia="宋体" w:cs="宋体"/>
                <w:b/>
                <w:bCs/>
                <w:color w:val="000000"/>
                <w:kern w:val="0"/>
                <w:sz w:val="20"/>
                <w:szCs w:val="20"/>
                <w:lang w:bidi="ar"/>
              </w:rPr>
              <w:t>100</w:t>
            </w:r>
          </w:p>
        </w:tc>
        <w:tc>
          <w:tcPr>
            <w:tcW w:w="459" w:type="pct"/>
            <w:shd w:val="clear" w:color="auto" w:fill="auto"/>
            <w:vAlign w:val="center"/>
          </w:tcPr>
          <w:p>
            <w:pPr>
              <w:widowControl/>
              <w:jc w:val="center"/>
              <w:rPr>
                <w:rFonts w:eastAsia="宋体" w:cs="宋体"/>
                <w:b/>
                <w:bCs/>
                <w:color w:val="000000"/>
                <w:kern w:val="0"/>
                <w:sz w:val="20"/>
                <w:szCs w:val="20"/>
                <w:lang w:bidi="ar"/>
              </w:rPr>
            </w:pPr>
          </w:p>
        </w:tc>
        <w:tc>
          <w:tcPr>
            <w:tcW w:w="275" w:type="pct"/>
            <w:shd w:val="clear" w:color="auto" w:fill="auto"/>
            <w:vAlign w:val="center"/>
          </w:tcPr>
          <w:p>
            <w:pPr>
              <w:widowControl/>
              <w:jc w:val="center"/>
              <w:rPr>
                <w:rFonts w:eastAsia="宋体" w:cs="宋体"/>
                <w:b/>
                <w:bCs/>
                <w:color w:val="000000"/>
                <w:kern w:val="0"/>
                <w:sz w:val="20"/>
                <w:szCs w:val="20"/>
                <w:lang w:bidi="ar"/>
              </w:rPr>
            </w:pPr>
          </w:p>
        </w:tc>
        <w:tc>
          <w:tcPr>
            <w:tcW w:w="871" w:type="pct"/>
            <w:shd w:val="clear" w:color="auto" w:fill="auto"/>
            <w:vAlign w:val="center"/>
          </w:tcPr>
          <w:p>
            <w:pPr>
              <w:widowControl/>
              <w:jc w:val="center"/>
              <w:rPr>
                <w:rFonts w:eastAsia="宋体" w:cs="宋体"/>
                <w:b/>
                <w:bCs/>
                <w:color w:val="000000"/>
                <w:kern w:val="0"/>
                <w:sz w:val="20"/>
                <w:szCs w:val="20"/>
                <w:lang w:bidi="ar"/>
              </w:rPr>
            </w:pPr>
            <w:r>
              <w:rPr>
                <w:rFonts w:hint="eastAsia" w:eastAsia="宋体" w:cs="宋体"/>
                <w:b/>
                <w:bCs/>
                <w:color w:val="000000"/>
                <w:kern w:val="0"/>
                <w:sz w:val="20"/>
                <w:szCs w:val="20"/>
                <w:lang w:bidi="ar"/>
              </w:rPr>
              <w:t>　</w:t>
            </w:r>
          </w:p>
        </w:tc>
        <w:tc>
          <w:tcPr>
            <w:tcW w:w="275" w:type="pct"/>
            <w:shd w:val="clear" w:color="auto" w:fill="auto"/>
            <w:vAlign w:val="center"/>
          </w:tcPr>
          <w:p>
            <w:pPr>
              <w:widowControl/>
              <w:jc w:val="center"/>
              <w:rPr>
                <w:rFonts w:eastAsia="宋体" w:cs="宋体"/>
                <w:b/>
                <w:bCs/>
                <w:color w:val="000000"/>
                <w:kern w:val="0"/>
                <w:sz w:val="20"/>
                <w:szCs w:val="20"/>
                <w:lang w:bidi="ar"/>
              </w:rPr>
            </w:pPr>
            <w:r>
              <w:rPr>
                <w:rFonts w:hint="eastAsia" w:eastAsia="宋体" w:cs="宋体"/>
                <w:b/>
                <w:bCs/>
                <w:color w:val="000000"/>
                <w:kern w:val="0"/>
                <w:sz w:val="20"/>
                <w:szCs w:val="20"/>
                <w:lang w:bidi="ar"/>
              </w:rPr>
              <w:t>　</w:t>
            </w:r>
          </w:p>
        </w:tc>
        <w:tc>
          <w:tcPr>
            <w:tcW w:w="278" w:type="pct"/>
            <w:shd w:val="clear" w:color="auto" w:fill="auto"/>
            <w:vAlign w:val="center"/>
          </w:tcPr>
          <w:p>
            <w:pPr>
              <w:widowControl/>
              <w:jc w:val="center"/>
              <w:rPr>
                <w:rFonts w:eastAsia="宋体" w:cs="宋体"/>
                <w:b/>
                <w:bCs/>
                <w:color w:val="000000"/>
                <w:kern w:val="0"/>
                <w:sz w:val="20"/>
                <w:szCs w:val="20"/>
                <w:lang w:bidi="ar"/>
              </w:rPr>
            </w:pPr>
            <w:r>
              <w:rPr>
                <w:rFonts w:eastAsia="宋体" w:cs="宋体"/>
                <w:b/>
                <w:bCs/>
                <w:color w:val="000000"/>
                <w:kern w:val="0"/>
                <w:sz w:val="20"/>
                <w:szCs w:val="20"/>
                <w:lang w:bidi="ar"/>
              </w:rPr>
              <w:t>95.40</w:t>
            </w:r>
          </w:p>
        </w:tc>
        <w:tc>
          <w:tcPr>
            <w:tcW w:w="1511" w:type="pct"/>
            <w:shd w:val="clear" w:color="auto" w:fill="auto"/>
            <w:vAlign w:val="center"/>
          </w:tcPr>
          <w:p>
            <w:pPr>
              <w:widowControl/>
              <w:jc w:val="left"/>
              <w:rPr>
                <w:rFonts w:eastAsia="宋体" w:cs="宋体"/>
                <w:b/>
                <w:bCs/>
                <w:color w:val="000000"/>
                <w:kern w:val="0"/>
                <w:sz w:val="20"/>
                <w:szCs w:val="20"/>
                <w:lang w:bidi="ar"/>
              </w:rPr>
            </w:pPr>
            <w:r>
              <w:rPr>
                <w:rFonts w:hint="eastAsia" w:eastAsia="宋体" w:cs="宋体"/>
                <w:b/>
                <w:bCs/>
                <w:color w:val="000000"/>
                <w:kern w:val="0"/>
                <w:sz w:val="20"/>
                <w:szCs w:val="20"/>
                <w:lang w:bidi="ar"/>
              </w:rPr>
              <w:t>　</w:t>
            </w:r>
          </w:p>
        </w:tc>
      </w:tr>
    </w:tbl>
    <w:p>
      <w:pPr>
        <w:sectPr>
          <w:pgSz w:w="16838" w:h="11906" w:orient="landscape"/>
          <w:pgMar w:top="1797" w:right="1440" w:bottom="1797" w:left="1440" w:header="851" w:footer="992" w:gutter="0"/>
          <w:cols w:space="425" w:num="1"/>
          <w:docGrid w:type="linesAndChars" w:linePitch="312" w:charSpace="0"/>
        </w:sectPr>
      </w:pPr>
    </w:p>
    <w:p>
      <w:pPr>
        <w:pStyle w:val="3"/>
        <w:jc w:val="left"/>
        <w:rPr>
          <w:b w:val="0"/>
          <w:bCs/>
        </w:rPr>
      </w:pPr>
      <w:bookmarkStart w:id="22" w:name="_Toc142381569"/>
      <w:r>
        <w:rPr>
          <w:rFonts w:hint="eastAsia"/>
          <w:b w:val="0"/>
          <w:bCs/>
        </w:rPr>
        <w:t>附件2 满意度调查问卷分析报告</w:t>
      </w:r>
      <w:bookmarkEnd w:id="22"/>
    </w:p>
    <w:p>
      <w:pPr>
        <w:jc w:val="center"/>
        <w:rPr>
          <w:b/>
          <w:bCs/>
          <w:sz w:val="30"/>
          <w:szCs w:val="30"/>
        </w:rPr>
      </w:pPr>
      <w:r>
        <w:rPr>
          <w:rFonts w:hint="eastAsia"/>
          <w:b/>
          <w:bCs/>
          <w:sz w:val="30"/>
          <w:szCs w:val="30"/>
        </w:rPr>
        <w:t>2022年徐水区现代职业教育质量提升计划中央资金项目</w:t>
      </w:r>
    </w:p>
    <w:p>
      <w:pPr>
        <w:jc w:val="center"/>
        <w:rPr>
          <w:b/>
          <w:bCs/>
          <w:sz w:val="30"/>
          <w:szCs w:val="30"/>
        </w:rPr>
      </w:pPr>
      <w:r>
        <w:rPr>
          <w:rFonts w:hint="eastAsia"/>
          <w:b/>
          <w:bCs/>
          <w:sz w:val="30"/>
          <w:szCs w:val="30"/>
        </w:rPr>
        <w:t>绩效评价受益对象调查问卷报告</w:t>
      </w:r>
    </w:p>
    <w:p>
      <w:pPr>
        <w:spacing w:line="500" w:lineRule="exact"/>
        <w:ind w:firstLine="482" w:firstLineChars="200"/>
        <w:jc w:val="left"/>
        <w:rPr>
          <w:rFonts w:cs="Times New Roman"/>
          <w:b/>
          <w:sz w:val="24"/>
        </w:rPr>
      </w:pPr>
      <w:r>
        <w:rPr>
          <w:rFonts w:cs="Times New Roman"/>
          <w:b/>
          <w:sz w:val="24"/>
        </w:rPr>
        <w:t>一、调研</w:t>
      </w:r>
      <w:r>
        <w:rPr>
          <w:rFonts w:hint="eastAsia" w:cs="Times New Roman"/>
          <w:b/>
          <w:sz w:val="24"/>
        </w:rPr>
        <w:t>设计</w:t>
      </w:r>
    </w:p>
    <w:p>
      <w:pPr>
        <w:spacing w:line="500" w:lineRule="exact"/>
        <w:ind w:firstLine="482" w:firstLineChars="200"/>
        <w:jc w:val="left"/>
        <w:rPr>
          <w:rFonts w:cs="Times New Roman"/>
          <w:b/>
          <w:sz w:val="24"/>
        </w:rPr>
      </w:pPr>
      <w:r>
        <w:rPr>
          <w:rFonts w:cs="Times New Roman"/>
          <w:b/>
          <w:sz w:val="24"/>
        </w:rPr>
        <w:t>（一）调研对象</w:t>
      </w:r>
    </w:p>
    <w:p>
      <w:pPr>
        <w:spacing w:line="500" w:lineRule="exact"/>
        <w:ind w:firstLine="480" w:firstLineChars="200"/>
        <w:jc w:val="left"/>
        <w:rPr>
          <w:rFonts w:cs="Times New Roman"/>
          <w:b/>
          <w:bCs/>
          <w:sz w:val="24"/>
        </w:rPr>
      </w:pPr>
      <w:r>
        <w:rPr>
          <w:rFonts w:cs="Times New Roman"/>
          <w:sz w:val="24"/>
        </w:rPr>
        <w:t>本次调研对象为2022年现代职业教育质量提升计划中央资金项目</w:t>
      </w:r>
      <w:r>
        <w:rPr>
          <w:rFonts w:hint="eastAsia" w:cs="Times New Roman"/>
          <w:sz w:val="24"/>
        </w:rPr>
        <w:t>的受益学生及教职工。</w:t>
      </w:r>
    </w:p>
    <w:p>
      <w:pPr>
        <w:spacing w:line="500" w:lineRule="exact"/>
        <w:ind w:firstLine="482" w:firstLineChars="200"/>
        <w:jc w:val="left"/>
        <w:rPr>
          <w:rFonts w:cs="Times New Roman"/>
          <w:b/>
          <w:sz w:val="24"/>
        </w:rPr>
      </w:pPr>
      <w:r>
        <w:rPr>
          <w:rFonts w:hint="eastAsia" w:cs="Times New Roman"/>
          <w:b/>
          <w:sz w:val="24"/>
        </w:rPr>
        <w:t>（二）</w:t>
      </w:r>
      <w:r>
        <w:rPr>
          <w:rFonts w:cs="Times New Roman"/>
          <w:b/>
          <w:sz w:val="24"/>
        </w:rPr>
        <w:t>调研方法与抽样方式</w:t>
      </w:r>
    </w:p>
    <w:p>
      <w:pPr>
        <w:spacing w:line="500" w:lineRule="exact"/>
        <w:ind w:firstLine="482" w:firstLineChars="200"/>
        <w:jc w:val="left"/>
        <w:rPr>
          <w:rFonts w:cs="Times New Roman"/>
          <w:b/>
          <w:sz w:val="24"/>
        </w:rPr>
      </w:pPr>
      <w:r>
        <w:rPr>
          <w:rFonts w:hint="eastAsia" w:cs="Times New Roman"/>
          <w:b/>
          <w:sz w:val="24"/>
        </w:rPr>
        <w:t>1.</w:t>
      </w:r>
      <w:r>
        <w:rPr>
          <w:rFonts w:cs="Times New Roman"/>
          <w:b/>
          <w:sz w:val="24"/>
        </w:rPr>
        <w:t>调研方法</w:t>
      </w:r>
    </w:p>
    <w:p>
      <w:pPr>
        <w:spacing w:line="500" w:lineRule="exact"/>
        <w:ind w:firstLine="480" w:firstLineChars="200"/>
        <w:jc w:val="left"/>
        <w:rPr>
          <w:rFonts w:cs="Times New Roman"/>
          <w:sz w:val="24"/>
        </w:rPr>
      </w:pPr>
      <w:r>
        <w:rPr>
          <w:rFonts w:cs="Times New Roman"/>
          <w:sz w:val="24"/>
        </w:rPr>
        <w:t>针对上述问卷对象开展问卷调查，在全面调研开展之前先进行论证，根据论证结果对问卷和抽样方式进行一次修改调整。</w:t>
      </w:r>
    </w:p>
    <w:p>
      <w:pPr>
        <w:spacing w:line="500" w:lineRule="exact"/>
        <w:ind w:firstLine="482" w:firstLineChars="200"/>
        <w:jc w:val="left"/>
        <w:rPr>
          <w:rFonts w:cs="Times New Roman"/>
          <w:b/>
          <w:sz w:val="24"/>
        </w:rPr>
      </w:pPr>
      <w:r>
        <w:rPr>
          <w:rFonts w:hint="eastAsia" w:cs="Times New Roman"/>
          <w:b/>
          <w:sz w:val="24"/>
        </w:rPr>
        <w:t>2.</w:t>
      </w:r>
      <w:r>
        <w:rPr>
          <w:rFonts w:cs="Times New Roman"/>
          <w:b/>
          <w:sz w:val="24"/>
        </w:rPr>
        <w:t>抽样方式</w:t>
      </w:r>
    </w:p>
    <w:p>
      <w:pPr>
        <w:spacing w:line="500" w:lineRule="exact"/>
        <w:ind w:firstLine="480" w:firstLineChars="200"/>
        <w:jc w:val="left"/>
        <w:rPr>
          <w:rFonts w:cs="Times New Roman"/>
          <w:sz w:val="24"/>
        </w:rPr>
      </w:pPr>
      <w:r>
        <w:rPr>
          <w:rFonts w:hint="eastAsia" w:cs="Times New Roman"/>
          <w:sz w:val="24"/>
        </w:rPr>
        <w:t>本次问卷抽样向</w:t>
      </w:r>
      <w:r>
        <w:rPr>
          <w:rFonts w:cs="Times New Roman"/>
          <w:sz w:val="24"/>
        </w:rPr>
        <w:t>2022年现代职业教育质量提升计划中央资金项目</w:t>
      </w:r>
      <w:r>
        <w:rPr>
          <w:rFonts w:hint="eastAsia" w:cs="Times New Roman"/>
          <w:sz w:val="24"/>
        </w:rPr>
        <w:t>的受益学生及教职工按比例抽取，通过二维码在线填写问卷，计划发放问卷177份。实际回收177份问卷，回收率为</w:t>
      </w:r>
      <w:r>
        <w:rPr>
          <w:rFonts w:cs="Times New Roman"/>
          <w:sz w:val="24"/>
        </w:rPr>
        <w:t>100</w:t>
      </w:r>
      <w:r>
        <w:rPr>
          <w:rFonts w:hint="eastAsia" w:cs="Times New Roman"/>
          <w:sz w:val="24"/>
        </w:rPr>
        <w:t>%。</w:t>
      </w:r>
    </w:p>
    <w:p>
      <w:pPr>
        <w:spacing w:line="500" w:lineRule="exact"/>
        <w:ind w:firstLine="482" w:firstLineChars="200"/>
        <w:jc w:val="left"/>
        <w:rPr>
          <w:rFonts w:cs="Times New Roman"/>
          <w:b/>
          <w:sz w:val="24"/>
        </w:rPr>
      </w:pPr>
      <w:r>
        <w:rPr>
          <w:rFonts w:hint="eastAsia" w:cs="Times New Roman"/>
          <w:b/>
          <w:sz w:val="24"/>
        </w:rPr>
        <w:t>二、</w:t>
      </w:r>
      <w:r>
        <w:rPr>
          <w:rFonts w:cs="Times New Roman"/>
          <w:b/>
          <w:sz w:val="24"/>
        </w:rPr>
        <w:t>问卷的发放和回收</w:t>
      </w:r>
    </w:p>
    <w:p>
      <w:pPr>
        <w:spacing w:line="500" w:lineRule="exact"/>
        <w:ind w:firstLine="480" w:firstLineChars="200"/>
        <w:jc w:val="left"/>
        <w:rPr>
          <w:rFonts w:cs="Times New Roman"/>
          <w:sz w:val="24"/>
        </w:rPr>
      </w:pPr>
      <w:r>
        <w:rPr>
          <w:rFonts w:hint="eastAsia" w:cs="Times New Roman"/>
          <w:sz w:val="24"/>
        </w:rPr>
        <w:t>为给调研对象创造良好的作答环境、保证调研的科学性和严谨性，在徐水区教育和体育局的协调配合下，组织安排线上扫描二维码的形式发放问卷及收集。</w:t>
      </w:r>
    </w:p>
    <w:p>
      <w:pPr>
        <w:spacing w:line="500" w:lineRule="exact"/>
        <w:ind w:firstLine="482" w:firstLineChars="200"/>
        <w:rPr>
          <w:rFonts w:cs="Times New Roman"/>
          <w:b/>
          <w:sz w:val="24"/>
        </w:rPr>
      </w:pPr>
      <w:r>
        <w:rPr>
          <w:rFonts w:hint="eastAsia" w:cs="Times New Roman"/>
          <w:b/>
          <w:sz w:val="24"/>
        </w:rPr>
        <w:t>三</w:t>
      </w:r>
      <w:r>
        <w:rPr>
          <w:rFonts w:cs="Times New Roman"/>
          <w:b/>
          <w:sz w:val="24"/>
        </w:rPr>
        <w:t>、调查问卷的信度与效度分析</w:t>
      </w:r>
    </w:p>
    <w:p>
      <w:pPr>
        <w:spacing w:line="500" w:lineRule="exact"/>
        <w:ind w:firstLine="482" w:firstLineChars="200"/>
        <w:rPr>
          <w:rFonts w:cs="Times New Roman"/>
          <w:b/>
          <w:sz w:val="24"/>
        </w:rPr>
      </w:pPr>
      <w:r>
        <w:rPr>
          <w:rFonts w:cs="Times New Roman"/>
          <w:b/>
          <w:sz w:val="24"/>
        </w:rPr>
        <w:t>1.信度分析</w:t>
      </w:r>
    </w:p>
    <w:p>
      <w:pPr>
        <w:pStyle w:val="18"/>
        <w:ind w:firstLine="480"/>
        <w:rPr>
          <w:sz w:val="24"/>
          <w:szCs w:val="24"/>
        </w:rPr>
      </w:pPr>
      <w:r>
        <w:rPr>
          <w:sz w:val="24"/>
          <w:szCs w:val="24"/>
        </w:rPr>
        <w:t>信度（Reliability）是指测量结果的一致性、稳定性及可靠性。本次问卷调查运用克朗巴哈信度系数法（Cronbach α）来测量满意度问题的信度，其计算公式为：</w:t>
      </w:r>
    </w:p>
    <w:p>
      <w:pPr>
        <w:jc w:val="center"/>
        <w:rPr>
          <w:rFonts w:eastAsiaTheme="minorEastAsia"/>
          <w:sz w:val="21"/>
          <w:szCs w:val="22"/>
        </w:rPr>
      </w:pPr>
      <w:r>
        <w:rPr>
          <w:rFonts w:eastAsiaTheme="minorEastAsia"/>
          <w:sz w:val="21"/>
          <w:szCs w:val="22"/>
        </w:rPr>
        <w:drawing>
          <wp:inline distT="0" distB="0" distL="0" distR="0">
            <wp:extent cx="2401570" cy="1296035"/>
            <wp:effectExtent l="0" t="0" r="11430" b="1206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5"/>
                    <a:srcRect/>
                    <a:stretch>
                      <a:fillRect/>
                    </a:stretch>
                  </pic:blipFill>
                  <pic:spPr>
                    <a:xfrm>
                      <a:off x="0" y="0"/>
                      <a:ext cx="2401570" cy="1296035"/>
                    </a:xfrm>
                    <a:prstGeom prst="rect">
                      <a:avLst/>
                    </a:prstGeom>
                    <a:noFill/>
                    <a:ln w="9525">
                      <a:noFill/>
                      <a:miter lim="800000"/>
                      <a:headEnd/>
                      <a:tailEnd/>
                    </a:ln>
                  </pic:spPr>
                </pic:pic>
              </a:graphicData>
            </a:graphic>
          </wp:inline>
        </w:drawing>
      </w:r>
    </w:p>
    <w:p>
      <w:pPr>
        <w:pStyle w:val="18"/>
        <w:ind w:firstLine="480"/>
        <w:rPr>
          <w:sz w:val="24"/>
          <w:szCs w:val="24"/>
        </w:rPr>
      </w:pPr>
      <w:r>
        <w:rPr>
          <w:sz w:val="24"/>
          <w:szCs w:val="24"/>
        </w:rPr>
        <w:t>其中</w:t>
      </w:r>
      <w:r>
        <w:rPr>
          <w:sz w:val="24"/>
          <w:szCs w:val="24"/>
        </w:rPr>
        <w:drawing>
          <wp:inline distT="0" distB="0" distL="0" distR="0">
            <wp:extent cx="142875" cy="142875"/>
            <wp:effectExtent l="0" t="0" r="952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2875" cy="142875"/>
                    </a:xfrm>
                    <a:prstGeom prst="rect">
                      <a:avLst/>
                    </a:prstGeom>
                    <a:noFill/>
                    <a:ln>
                      <a:noFill/>
                    </a:ln>
                  </pic:spPr>
                </pic:pic>
              </a:graphicData>
            </a:graphic>
          </wp:inline>
        </w:drawing>
      </w:r>
      <w:r>
        <w:rPr>
          <w:sz w:val="24"/>
          <w:szCs w:val="24"/>
        </w:rPr>
        <w:t>表示问卷中问题的数目，</w:t>
      </w:r>
      <w:r>
        <w:rPr>
          <w:sz w:val="24"/>
          <w:szCs w:val="24"/>
        </w:rPr>
        <w:drawing>
          <wp:inline distT="0" distB="0" distL="0" distR="0">
            <wp:extent cx="190500" cy="2190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sz w:val="24"/>
          <w:szCs w:val="24"/>
        </w:rPr>
        <w:t>为第</w:t>
      </w:r>
      <w:r>
        <w:rPr>
          <w:sz w:val="24"/>
          <w:szCs w:val="24"/>
        </w:rPr>
        <w:drawing>
          <wp:inline distT="0" distB="0" distL="0" distR="0">
            <wp:extent cx="85725" cy="142875"/>
            <wp:effectExtent l="0" t="0" r="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725" cy="142875"/>
                    </a:xfrm>
                    <a:prstGeom prst="rect">
                      <a:avLst/>
                    </a:prstGeom>
                    <a:noFill/>
                    <a:ln>
                      <a:noFill/>
                    </a:ln>
                  </pic:spPr>
                </pic:pic>
              </a:graphicData>
            </a:graphic>
          </wp:inline>
        </w:drawing>
      </w:r>
      <w:r>
        <w:rPr>
          <w:sz w:val="24"/>
          <w:szCs w:val="24"/>
        </w:rPr>
        <w:t>个问题得分的方差，</w:t>
      </w:r>
      <w:r>
        <w:rPr>
          <w:sz w:val="24"/>
          <w:szCs w:val="24"/>
        </w:rPr>
        <w:drawing>
          <wp:inline distT="0" distB="0" distL="0" distR="0">
            <wp:extent cx="190500" cy="2190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r>
        <w:rPr>
          <w:sz w:val="24"/>
          <w:szCs w:val="24"/>
        </w:rPr>
        <w:t>为总得分的方差。</w:t>
      </w:r>
    </w:p>
    <w:p>
      <w:pPr>
        <w:pStyle w:val="18"/>
        <w:ind w:firstLine="480"/>
        <w:rPr>
          <w:sz w:val="24"/>
          <w:szCs w:val="24"/>
        </w:rPr>
      </w:pPr>
      <w:r>
        <w:rPr>
          <w:sz w:val="24"/>
          <w:szCs w:val="24"/>
        </w:rPr>
        <w:t>通常，克朗巴哈系数的值在0和1之间。通常情况下，信度系数在0.9以上，则认为量表的内在信度高；信度系数在0.8～0.9之间，则表示量表信度较高；信度系数在0.7～0.8之间，表示量表具有相当的信度；信度系数不超过0.7，一般认为内部一致信度不足。</w:t>
      </w:r>
    </w:p>
    <w:p>
      <w:pPr>
        <w:pStyle w:val="18"/>
        <w:ind w:firstLine="480"/>
        <w:rPr>
          <w:sz w:val="24"/>
          <w:szCs w:val="24"/>
        </w:rPr>
      </w:pPr>
      <w:r>
        <w:rPr>
          <w:sz w:val="24"/>
          <w:szCs w:val="24"/>
        </w:rPr>
        <w:t>分析结果显示，本次徐水区2022年现代职业教育质量提升计划中央资金项目的信度为0.97</w:t>
      </w:r>
      <w:r>
        <w:rPr>
          <w:rFonts w:hint="eastAsia"/>
          <w:sz w:val="24"/>
          <w:szCs w:val="24"/>
        </w:rPr>
        <w:t>。</w:t>
      </w:r>
    </w:p>
    <w:p>
      <w:pPr>
        <w:spacing w:before="120" w:after="60" w:line="500" w:lineRule="exact"/>
        <w:ind w:firstLine="482" w:firstLineChars="200"/>
        <w:rPr>
          <w:rFonts w:cs="Times New Roman"/>
          <w:b/>
          <w:sz w:val="24"/>
        </w:rPr>
      </w:pPr>
      <w:r>
        <w:rPr>
          <w:rFonts w:cs="Times New Roman"/>
          <w:b/>
          <w:sz w:val="24"/>
        </w:rPr>
        <w:t>2.效度分析</w:t>
      </w:r>
    </w:p>
    <w:p>
      <w:pPr>
        <w:pStyle w:val="18"/>
        <w:ind w:firstLine="480"/>
        <w:rPr>
          <w:sz w:val="24"/>
          <w:szCs w:val="24"/>
        </w:rPr>
      </w:pPr>
      <w:r>
        <w:rPr>
          <w:sz w:val="24"/>
          <w:szCs w:val="24"/>
        </w:rPr>
        <w:t>效度（Validity）用于评价量表的准确度、有效性和正确性，即检验问卷是否能简洁、准确地描述抽样数据的属性和特征以及它们之间的复杂关系。本次问卷调查运用相关系数来估算满意度问题的效度。其计算公式为：</w:t>
      </w:r>
    </w:p>
    <w:p>
      <w:pPr>
        <w:widowControl/>
        <w:jc w:val="center"/>
        <w:rPr>
          <w:rFonts w:eastAsia="宋体" w:cs="宋体"/>
          <w:kern w:val="0"/>
          <w:sz w:val="24"/>
        </w:rPr>
      </w:pPr>
      <w:r>
        <w:rPr>
          <w:rFonts w:eastAsia="宋体" w:cs="宋体"/>
          <w:kern w:val="0"/>
          <w:sz w:val="24"/>
        </w:rPr>
        <w:drawing>
          <wp:inline distT="0" distB="0" distL="0" distR="0">
            <wp:extent cx="1788795" cy="803275"/>
            <wp:effectExtent l="0" t="0" r="1905" b="9525"/>
            <wp:docPr id="39" name="图片 39" descr="C:\Users\guhj.guhj-PC\AppData\Roaming\Tencent\Users\272031237\QQ\WinTemp\RichOle\2TI[4LD0HV7YK@`SS2C4E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guhj.guhj-PC\AppData\Roaming\Tencent\Users\272031237\QQ\WinTemp\RichOle\2TI[4LD0HV7YK@`SS2C4EML.png"/>
                    <pic:cNvPicPr>
                      <a:picLocks noChangeAspect="1" noChangeArrowheads="1"/>
                    </pic:cNvPicPr>
                  </pic:nvPicPr>
                  <pic:blipFill>
                    <a:blip r:embed="rId10"/>
                    <a:srcRect/>
                    <a:stretch>
                      <a:fillRect/>
                    </a:stretch>
                  </pic:blipFill>
                  <pic:spPr>
                    <a:xfrm>
                      <a:off x="0" y="0"/>
                      <a:ext cx="1788795" cy="803275"/>
                    </a:xfrm>
                    <a:prstGeom prst="rect">
                      <a:avLst/>
                    </a:prstGeom>
                    <a:noFill/>
                    <a:ln w="9525">
                      <a:noFill/>
                      <a:miter lim="800000"/>
                      <a:headEnd/>
                      <a:tailEnd/>
                    </a:ln>
                  </pic:spPr>
                </pic:pic>
              </a:graphicData>
            </a:graphic>
          </wp:inline>
        </w:drawing>
      </w:r>
    </w:p>
    <w:p>
      <w:pPr>
        <w:pStyle w:val="18"/>
        <w:ind w:firstLine="480"/>
        <w:rPr>
          <w:bCs/>
          <w:sz w:val="24"/>
          <w:szCs w:val="24"/>
        </w:rPr>
      </w:pPr>
      <w:r>
        <w:rPr>
          <w:bCs/>
          <w:sz w:val="24"/>
          <w:szCs w:val="24"/>
        </w:rPr>
        <w:t>其中，</w:t>
      </w:r>
      <w:r>
        <w:rPr>
          <w:sz w:val="24"/>
          <w:szCs w:val="24"/>
        </w:rPr>
        <w:drawing>
          <wp:inline distT="0" distB="0" distL="0" distR="0">
            <wp:extent cx="600075" cy="2476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bCs/>
          <w:sz w:val="24"/>
          <w:szCs w:val="24"/>
        </w:rPr>
        <w:t>，表示题目得分偏差；</w:t>
      </w:r>
      <w:r>
        <w:rPr>
          <w:sz w:val="24"/>
          <w:szCs w:val="24"/>
        </w:rPr>
        <w:drawing>
          <wp:inline distT="0" distB="0" distL="0" distR="0">
            <wp:extent cx="600075" cy="2476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0075" cy="247650"/>
                    </a:xfrm>
                    <a:prstGeom prst="rect">
                      <a:avLst/>
                    </a:prstGeom>
                    <a:noFill/>
                    <a:ln>
                      <a:noFill/>
                    </a:ln>
                  </pic:spPr>
                </pic:pic>
              </a:graphicData>
            </a:graphic>
          </wp:inline>
        </w:drawing>
      </w:r>
      <w:r>
        <w:rPr>
          <w:bCs/>
          <w:sz w:val="24"/>
          <w:szCs w:val="24"/>
        </w:rPr>
        <w:t>，表示问卷得分偏差。</w:t>
      </w:r>
    </w:p>
    <w:p>
      <w:pPr>
        <w:spacing w:line="500" w:lineRule="exact"/>
        <w:ind w:firstLine="480" w:firstLineChars="200"/>
        <w:rPr>
          <w:rFonts w:cs="Times New Roman"/>
          <w:kern w:val="0"/>
          <w:sz w:val="24"/>
        </w:rPr>
      </w:pPr>
      <w:r>
        <w:rPr>
          <w:rFonts w:cs="Times New Roman"/>
          <w:bCs/>
          <w:sz w:val="24"/>
        </w:rPr>
        <w:t>通常，相关系数的值介于</w:t>
      </w:r>
      <w:r>
        <w:rPr>
          <w:rFonts w:eastAsia="微软雅黑" w:cs="Times New Roman"/>
          <w:sz w:val="24"/>
        </w:rPr>
        <w:t>–</w:t>
      </w:r>
      <w:r>
        <w:rPr>
          <w:rFonts w:cs="Times New Roman"/>
          <w:sz w:val="24"/>
        </w:rPr>
        <w:t>1</w:t>
      </w:r>
      <w:r>
        <w:rPr>
          <w:rFonts w:cs="Times New Roman"/>
          <w:bCs/>
          <w:sz w:val="24"/>
        </w:rPr>
        <w:t>与</w:t>
      </w:r>
      <w:r>
        <w:rPr>
          <w:rFonts w:cs="Times New Roman"/>
          <w:sz w:val="24"/>
        </w:rPr>
        <w:t>+1</w:t>
      </w:r>
      <w:r>
        <w:rPr>
          <w:rFonts w:cs="Times New Roman"/>
          <w:bCs/>
          <w:sz w:val="24"/>
        </w:rPr>
        <w:t>之间。</w:t>
      </w:r>
      <w:r>
        <w:rPr>
          <w:rFonts w:cs="Times New Roman"/>
          <w:kern w:val="0"/>
          <w:sz w:val="24"/>
        </w:rPr>
        <w:t>即</w:t>
      </w:r>
      <w:r>
        <w:rPr>
          <w:rFonts w:cs="Times New Roman"/>
          <w:kern w:val="0"/>
          <w:sz w:val="24"/>
        </w:rPr>
        <w:drawing>
          <wp:inline distT="0" distB="0" distL="0" distR="0">
            <wp:extent cx="695325" cy="161925"/>
            <wp:effectExtent l="0" t="0" r="0" b="254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95325" cy="161925"/>
                    </a:xfrm>
                    <a:prstGeom prst="rect">
                      <a:avLst/>
                    </a:prstGeom>
                    <a:noFill/>
                    <a:ln>
                      <a:noFill/>
                    </a:ln>
                  </pic:spPr>
                </pic:pic>
              </a:graphicData>
            </a:graphic>
          </wp:inline>
        </w:drawing>
      </w:r>
      <w:r>
        <w:rPr>
          <w:rFonts w:cs="Times New Roman"/>
          <w:kern w:val="0"/>
          <w:sz w:val="24"/>
        </w:rPr>
        <w:t>。其中，</w:t>
      </w:r>
      <w:r>
        <w:rPr>
          <w:rFonts w:cs="Times New Roman"/>
          <w:kern w:val="0"/>
          <w:sz w:val="24"/>
        </w:rPr>
        <w:drawing>
          <wp:inline distT="0" distB="0" distL="0" distR="0">
            <wp:extent cx="342900" cy="18097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cs="Times New Roman"/>
          <w:kern w:val="0"/>
          <w:sz w:val="24"/>
        </w:rPr>
        <w:t>表示两变量正相关；</w:t>
      </w:r>
      <w:r>
        <w:rPr>
          <w:rFonts w:cs="Times New Roman"/>
          <w:kern w:val="0"/>
          <w:sz w:val="24"/>
        </w:rPr>
        <w:drawing>
          <wp:inline distT="0" distB="0" distL="0" distR="0">
            <wp:extent cx="342900" cy="1809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2900" cy="180975"/>
                    </a:xfrm>
                    <a:prstGeom prst="rect">
                      <a:avLst/>
                    </a:prstGeom>
                    <a:noFill/>
                    <a:ln>
                      <a:noFill/>
                    </a:ln>
                  </pic:spPr>
                </pic:pic>
              </a:graphicData>
            </a:graphic>
          </wp:inline>
        </w:drawing>
      </w:r>
      <w:r>
        <w:rPr>
          <w:rFonts w:cs="Times New Roman"/>
          <w:kern w:val="0"/>
          <w:sz w:val="24"/>
        </w:rPr>
        <w:t>表示两变量负相关；</w:t>
      </w:r>
      <w:r>
        <w:rPr>
          <w:rFonts w:cs="Times New Roman"/>
          <w:kern w:val="0"/>
          <w:sz w:val="24"/>
        </w:rPr>
        <w:drawing>
          <wp:inline distT="0" distB="0" distL="0" distR="0">
            <wp:extent cx="400050" cy="2476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00050" cy="247650"/>
                    </a:xfrm>
                    <a:prstGeom prst="rect">
                      <a:avLst/>
                    </a:prstGeom>
                    <a:noFill/>
                    <a:ln>
                      <a:noFill/>
                    </a:ln>
                  </pic:spPr>
                </pic:pic>
              </a:graphicData>
            </a:graphic>
          </wp:inline>
        </w:drawing>
      </w:r>
      <w:r>
        <w:rPr>
          <w:rFonts w:cs="Times New Roman"/>
          <w:kern w:val="0"/>
          <w:sz w:val="24"/>
        </w:rPr>
        <w:t>表示两变量间不存在线性相关关系；</w:t>
      </w:r>
      <w:r>
        <w:rPr>
          <w:rFonts w:cs="Times New Roman"/>
          <w:kern w:val="0"/>
          <w:sz w:val="24"/>
        </w:rPr>
        <w:drawing>
          <wp:inline distT="0" distB="0" distL="0" distR="0">
            <wp:extent cx="361950" cy="2476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1950" cy="247650"/>
                    </a:xfrm>
                    <a:prstGeom prst="rect">
                      <a:avLst/>
                    </a:prstGeom>
                    <a:noFill/>
                    <a:ln>
                      <a:noFill/>
                    </a:ln>
                  </pic:spPr>
                </pic:pic>
              </a:graphicData>
            </a:graphic>
          </wp:inline>
        </w:drawing>
      </w:r>
      <w:r>
        <w:rPr>
          <w:rFonts w:cs="Times New Roman"/>
          <w:kern w:val="0"/>
          <w:sz w:val="24"/>
        </w:rPr>
        <w:t>表示两变量为完全线性相关；</w:t>
      </w:r>
      <w:r>
        <w:rPr>
          <w:rFonts w:cs="Times New Roman"/>
          <w:kern w:val="0"/>
          <w:sz w:val="24"/>
        </w:rPr>
        <w:drawing>
          <wp:inline distT="0" distB="0" distL="0" distR="0">
            <wp:extent cx="581025" cy="2476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81025" cy="247650"/>
                    </a:xfrm>
                    <a:prstGeom prst="rect">
                      <a:avLst/>
                    </a:prstGeom>
                    <a:noFill/>
                    <a:ln>
                      <a:noFill/>
                    </a:ln>
                  </pic:spPr>
                </pic:pic>
              </a:graphicData>
            </a:graphic>
          </wp:inline>
        </w:drawing>
      </w:r>
      <w:r>
        <w:rPr>
          <w:rFonts w:cs="Times New Roman"/>
          <w:kern w:val="0"/>
          <w:sz w:val="24"/>
        </w:rPr>
        <w:t>表示两变量存在一定程度的线性相关，其中</w:t>
      </w:r>
      <w:r>
        <w:rPr>
          <w:rFonts w:cs="Times New Roman"/>
          <w:kern w:val="0"/>
          <w:sz w:val="24"/>
        </w:rPr>
        <w:drawing>
          <wp:inline distT="0" distB="0" distL="0" distR="0">
            <wp:extent cx="723900" cy="2476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23900" cy="247650"/>
                    </a:xfrm>
                    <a:prstGeom prst="rect">
                      <a:avLst/>
                    </a:prstGeom>
                    <a:noFill/>
                    <a:ln>
                      <a:noFill/>
                    </a:ln>
                  </pic:spPr>
                </pic:pic>
              </a:graphicData>
            </a:graphic>
          </wp:inline>
        </w:drawing>
      </w:r>
      <w:r>
        <w:rPr>
          <w:rFonts w:cs="Times New Roman"/>
          <w:kern w:val="0"/>
          <w:sz w:val="24"/>
        </w:rPr>
        <w:t>为微弱相关，</w:t>
      </w:r>
      <w:r>
        <w:rPr>
          <w:rFonts w:cs="Times New Roman"/>
          <w:kern w:val="0"/>
          <w:sz w:val="24"/>
        </w:rPr>
        <w:drawing>
          <wp:inline distT="0" distB="0" distL="0" distR="0">
            <wp:extent cx="847725" cy="2476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cs="Times New Roman"/>
          <w:kern w:val="0"/>
          <w:sz w:val="24"/>
        </w:rPr>
        <w:t>为低度相关，</w:t>
      </w:r>
      <w:r>
        <w:rPr>
          <w:rFonts w:cs="Times New Roman"/>
          <w:kern w:val="0"/>
          <w:sz w:val="24"/>
        </w:rPr>
        <w:drawing>
          <wp:inline distT="0" distB="0" distL="0" distR="0">
            <wp:extent cx="847725" cy="2476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847725" cy="247650"/>
                    </a:xfrm>
                    <a:prstGeom prst="rect">
                      <a:avLst/>
                    </a:prstGeom>
                    <a:noFill/>
                    <a:ln>
                      <a:noFill/>
                    </a:ln>
                  </pic:spPr>
                </pic:pic>
              </a:graphicData>
            </a:graphic>
          </wp:inline>
        </w:drawing>
      </w:r>
      <w:r>
        <w:rPr>
          <w:rFonts w:cs="Times New Roman"/>
          <w:kern w:val="0"/>
          <w:sz w:val="24"/>
        </w:rPr>
        <w:t>为显著相关，</w:t>
      </w:r>
      <w:r>
        <w:rPr>
          <w:rFonts w:cs="Times New Roman"/>
          <w:kern w:val="0"/>
          <w:sz w:val="24"/>
        </w:rPr>
        <w:drawing>
          <wp:inline distT="0" distB="0" distL="0" distR="0">
            <wp:extent cx="695325" cy="2476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95325" cy="247650"/>
                    </a:xfrm>
                    <a:prstGeom prst="rect">
                      <a:avLst/>
                    </a:prstGeom>
                    <a:noFill/>
                    <a:ln>
                      <a:noFill/>
                    </a:ln>
                  </pic:spPr>
                </pic:pic>
              </a:graphicData>
            </a:graphic>
          </wp:inline>
        </w:drawing>
      </w:r>
      <w:r>
        <w:rPr>
          <w:rFonts w:cs="Times New Roman"/>
          <w:kern w:val="0"/>
          <w:sz w:val="24"/>
        </w:rPr>
        <w:t>为高度相关。</w:t>
      </w:r>
    </w:p>
    <w:p>
      <w:pPr>
        <w:pStyle w:val="18"/>
        <w:ind w:firstLine="480"/>
        <w:rPr>
          <w:bCs/>
          <w:sz w:val="24"/>
          <w:szCs w:val="24"/>
        </w:rPr>
      </w:pPr>
      <w:r>
        <w:rPr>
          <w:bCs/>
          <w:sz w:val="24"/>
          <w:szCs w:val="24"/>
        </w:rPr>
        <w:t>调查数据计算结果表明，此次问卷效度较高，因此能够很好地反映的满意程度，有关问卷效度请见附表</w:t>
      </w:r>
      <w:r>
        <w:rPr>
          <w:sz w:val="24"/>
          <w:szCs w:val="24"/>
        </w:rPr>
        <w:t>1</w:t>
      </w:r>
      <w:r>
        <w:rPr>
          <w:bCs/>
          <w:sz w:val="24"/>
          <w:szCs w:val="24"/>
        </w:rPr>
        <w:t>。</w:t>
      </w:r>
    </w:p>
    <w:p>
      <w:pPr>
        <w:spacing w:line="500" w:lineRule="exact"/>
        <w:jc w:val="center"/>
        <w:rPr>
          <w:rFonts w:cs="Times New Roman"/>
          <w:b/>
          <w:bCs/>
          <w:sz w:val="22"/>
        </w:rPr>
      </w:pPr>
      <w:r>
        <w:rPr>
          <w:rFonts w:cs="Times New Roman"/>
          <w:b/>
          <w:bCs/>
          <w:sz w:val="22"/>
        </w:rPr>
        <w:t>附表1 徐水区2022年现代职业教育质量提升计划中央资金项目问卷效度汇总</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516" w:type="dxa"/>
            <w:shd w:val="clear" w:color="auto" w:fill="D8D8D8" w:themeFill="background1" w:themeFillShade="D9"/>
            <w:vAlign w:val="center"/>
          </w:tcPr>
          <w:p>
            <w:pPr>
              <w:spacing w:line="400" w:lineRule="exact"/>
              <w:jc w:val="center"/>
              <w:rPr>
                <w:rFonts w:cs="Times New Roman"/>
                <w:b/>
                <w:sz w:val="21"/>
                <w:szCs w:val="21"/>
              </w:rPr>
            </w:pPr>
            <w:r>
              <w:rPr>
                <w:rFonts w:cs="Times New Roman"/>
                <w:b/>
                <w:sz w:val="21"/>
                <w:szCs w:val="21"/>
              </w:rPr>
              <w:t>题目</w:t>
            </w:r>
          </w:p>
        </w:tc>
        <w:tc>
          <w:tcPr>
            <w:tcW w:w="1780" w:type="dxa"/>
            <w:shd w:val="clear" w:color="auto" w:fill="D8D8D8" w:themeFill="background1" w:themeFillShade="D9"/>
            <w:vAlign w:val="center"/>
          </w:tcPr>
          <w:p>
            <w:pPr>
              <w:pStyle w:val="18"/>
              <w:spacing w:line="400" w:lineRule="exact"/>
              <w:ind w:firstLine="0" w:firstLineChars="0"/>
              <w:jc w:val="center"/>
              <w:rPr>
                <w:b/>
                <w:sz w:val="21"/>
                <w:szCs w:val="21"/>
              </w:rPr>
            </w:pPr>
            <w:r>
              <w:rPr>
                <w:b/>
                <w:sz w:val="21"/>
                <w:szCs w:val="21"/>
              </w:rPr>
              <w:t>效度得分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vAlign w:val="center"/>
          </w:tcPr>
          <w:p>
            <w:pPr>
              <w:spacing w:line="400" w:lineRule="exact"/>
              <w:jc w:val="left"/>
              <w:rPr>
                <w:rFonts w:cs="Times New Roman"/>
                <w:sz w:val="21"/>
                <w:szCs w:val="21"/>
              </w:rPr>
            </w:pPr>
            <w:r>
              <w:rPr>
                <w:rFonts w:cs="Times New Roman"/>
                <w:sz w:val="21"/>
                <w:szCs w:val="21"/>
              </w:rPr>
              <w:t>您对实训室的配置、装修等文化环境的满意度评级是？</w:t>
            </w:r>
          </w:p>
        </w:tc>
        <w:tc>
          <w:tcPr>
            <w:tcW w:w="1780" w:type="dxa"/>
            <w:vAlign w:val="center"/>
          </w:tcPr>
          <w:p>
            <w:pPr>
              <w:widowControl/>
              <w:spacing w:line="400" w:lineRule="exact"/>
              <w:jc w:val="right"/>
              <w:rPr>
                <w:rFonts w:cs="Times New Roman"/>
                <w:sz w:val="21"/>
                <w:szCs w:val="21"/>
              </w:rPr>
            </w:pPr>
            <w:r>
              <w:rPr>
                <w:rFonts w:cs="Times New Roman"/>
                <w:sz w:val="21"/>
                <w:szCs w:val="21"/>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vAlign w:val="center"/>
          </w:tcPr>
          <w:p>
            <w:pPr>
              <w:spacing w:line="400" w:lineRule="exact"/>
              <w:jc w:val="left"/>
              <w:rPr>
                <w:rFonts w:cs="Times New Roman"/>
                <w:sz w:val="21"/>
                <w:szCs w:val="21"/>
              </w:rPr>
            </w:pPr>
            <w:r>
              <w:rPr>
                <w:rFonts w:cs="Times New Roman"/>
                <w:sz w:val="21"/>
                <w:szCs w:val="21"/>
              </w:rPr>
              <w:t>您认为职业教育质量提升对您的学习帮助程度如何？</w:t>
            </w:r>
          </w:p>
        </w:tc>
        <w:tc>
          <w:tcPr>
            <w:tcW w:w="1780" w:type="dxa"/>
            <w:vAlign w:val="center"/>
          </w:tcPr>
          <w:p>
            <w:pPr>
              <w:widowControl/>
              <w:spacing w:line="400" w:lineRule="exact"/>
              <w:jc w:val="right"/>
              <w:rPr>
                <w:rFonts w:cs="Times New Roman"/>
                <w:sz w:val="21"/>
                <w:szCs w:val="21"/>
              </w:rPr>
            </w:pPr>
            <w:r>
              <w:rPr>
                <w:rFonts w:cs="Times New Roman"/>
                <w:sz w:val="21"/>
                <w:szCs w:val="21"/>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vAlign w:val="center"/>
          </w:tcPr>
          <w:p>
            <w:pPr>
              <w:spacing w:line="400" w:lineRule="exact"/>
              <w:jc w:val="left"/>
              <w:rPr>
                <w:rFonts w:cs="Times New Roman"/>
                <w:sz w:val="21"/>
                <w:szCs w:val="21"/>
              </w:rPr>
            </w:pPr>
            <w:r>
              <w:rPr>
                <w:rFonts w:cs="Times New Roman"/>
                <w:sz w:val="21"/>
                <w:szCs w:val="21"/>
              </w:rPr>
              <w:t>您对新增的计算机设备、实训设备等教学资源的满意度评级是？</w:t>
            </w:r>
          </w:p>
        </w:tc>
        <w:tc>
          <w:tcPr>
            <w:tcW w:w="1780" w:type="dxa"/>
            <w:vAlign w:val="center"/>
          </w:tcPr>
          <w:p>
            <w:pPr>
              <w:widowControl/>
              <w:spacing w:line="400" w:lineRule="exact"/>
              <w:jc w:val="right"/>
              <w:rPr>
                <w:rFonts w:cs="Times New Roman"/>
                <w:sz w:val="21"/>
                <w:szCs w:val="21"/>
              </w:rPr>
            </w:pPr>
            <w:r>
              <w:rPr>
                <w:rFonts w:cs="Times New Roman"/>
                <w:sz w:val="21"/>
                <w:szCs w:val="21"/>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vAlign w:val="center"/>
          </w:tcPr>
          <w:p>
            <w:pPr>
              <w:spacing w:line="400" w:lineRule="exact"/>
              <w:jc w:val="left"/>
              <w:rPr>
                <w:rFonts w:cs="Times New Roman"/>
                <w:sz w:val="21"/>
                <w:szCs w:val="21"/>
              </w:rPr>
            </w:pPr>
            <w:r>
              <w:rPr>
                <w:rFonts w:cs="Times New Roman"/>
                <w:sz w:val="21"/>
                <w:szCs w:val="21"/>
              </w:rPr>
              <w:t>您对职业教育中心的设施整体满意度评级是？</w:t>
            </w:r>
          </w:p>
        </w:tc>
        <w:tc>
          <w:tcPr>
            <w:tcW w:w="1780" w:type="dxa"/>
            <w:vAlign w:val="center"/>
          </w:tcPr>
          <w:p>
            <w:pPr>
              <w:widowControl/>
              <w:spacing w:line="400" w:lineRule="exact"/>
              <w:jc w:val="right"/>
              <w:rPr>
                <w:rFonts w:cs="Times New Roman"/>
                <w:sz w:val="21"/>
                <w:szCs w:val="21"/>
              </w:rPr>
            </w:pPr>
            <w:r>
              <w:rPr>
                <w:rFonts w:cs="Times New Roman"/>
                <w:sz w:val="21"/>
                <w:szCs w:val="21"/>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vAlign w:val="center"/>
          </w:tcPr>
          <w:p>
            <w:pPr>
              <w:spacing w:line="400" w:lineRule="exact"/>
              <w:jc w:val="left"/>
              <w:rPr>
                <w:rFonts w:cs="Times New Roman"/>
                <w:sz w:val="21"/>
                <w:szCs w:val="21"/>
              </w:rPr>
            </w:pPr>
            <w:r>
              <w:rPr>
                <w:rFonts w:cs="Times New Roman"/>
                <w:sz w:val="21"/>
                <w:szCs w:val="21"/>
              </w:rPr>
              <w:t>您对新增的图书馆藏书、设施资源配置的满意度评级是？</w:t>
            </w:r>
          </w:p>
        </w:tc>
        <w:tc>
          <w:tcPr>
            <w:tcW w:w="1780" w:type="dxa"/>
            <w:vAlign w:val="center"/>
          </w:tcPr>
          <w:p>
            <w:pPr>
              <w:widowControl/>
              <w:spacing w:line="400" w:lineRule="exact"/>
              <w:jc w:val="right"/>
              <w:rPr>
                <w:rFonts w:cs="Times New Roman"/>
                <w:sz w:val="21"/>
                <w:szCs w:val="21"/>
              </w:rPr>
            </w:pPr>
            <w:r>
              <w:rPr>
                <w:rFonts w:cs="Times New Roman"/>
                <w:sz w:val="21"/>
                <w:szCs w:val="21"/>
              </w:rPr>
              <w:t>0.93</w:t>
            </w:r>
          </w:p>
        </w:tc>
      </w:tr>
    </w:tbl>
    <w:p>
      <w:pPr>
        <w:spacing w:line="500" w:lineRule="exact"/>
        <w:ind w:firstLine="482" w:firstLineChars="200"/>
        <w:rPr>
          <w:rFonts w:cs="Times New Roman"/>
          <w:b/>
          <w:sz w:val="24"/>
        </w:rPr>
      </w:pPr>
      <w:r>
        <w:rPr>
          <w:rFonts w:cs="Times New Roman"/>
          <w:b/>
          <w:sz w:val="24"/>
        </w:rPr>
        <w:t>五、调查问卷的分析</w:t>
      </w:r>
    </w:p>
    <w:p>
      <w:pPr>
        <w:pStyle w:val="18"/>
        <w:ind w:firstLine="480"/>
        <w:rPr>
          <w:sz w:val="24"/>
          <w:szCs w:val="24"/>
        </w:rPr>
      </w:pPr>
      <w:r>
        <w:rPr>
          <w:rFonts w:hint="eastAsia"/>
          <w:sz w:val="24"/>
          <w:szCs w:val="24"/>
        </w:rPr>
        <w:t>1.单选题</w:t>
      </w:r>
    </w:p>
    <w:p>
      <w:pPr>
        <w:pStyle w:val="18"/>
        <w:ind w:firstLine="480"/>
        <w:rPr>
          <w:sz w:val="24"/>
          <w:szCs w:val="24"/>
        </w:rPr>
      </w:pPr>
      <w:r>
        <w:rPr>
          <w:rFonts w:hint="eastAsia"/>
          <w:sz w:val="24"/>
          <w:szCs w:val="24"/>
        </w:rPr>
        <w:t>1)请问您的身份是？</w:t>
      </w:r>
    </w:p>
    <w:p>
      <w:pPr>
        <w:pStyle w:val="18"/>
        <w:ind w:firstLine="480"/>
        <w:rPr>
          <w:sz w:val="24"/>
          <w:szCs w:val="24"/>
        </w:rPr>
      </w:pPr>
      <w:r>
        <w:rPr>
          <w:rFonts w:hint="eastAsia"/>
          <w:sz w:val="24"/>
          <w:szCs w:val="24"/>
        </w:rPr>
        <w:t>在177份有效问卷中，被调查对象中选学生的比例为97.18%，选教职工的比例为2.82%，选其他的比例为0%。</w:t>
      </w:r>
    </w:p>
    <w:p>
      <w:pPr>
        <w:pStyle w:val="18"/>
        <w:ind w:firstLine="480"/>
        <w:rPr>
          <w:sz w:val="24"/>
          <w:szCs w:val="24"/>
        </w:rPr>
      </w:pPr>
      <w:r>
        <w:rPr>
          <w:rFonts w:hint="eastAsia"/>
          <w:sz w:val="24"/>
          <w:szCs w:val="24"/>
        </w:rPr>
        <w:t>2)请问您的专业是？</w:t>
      </w:r>
    </w:p>
    <w:p>
      <w:pPr>
        <w:pStyle w:val="18"/>
        <w:ind w:firstLine="480"/>
        <w:rPr>
          <w:sz w:val="24"/>
          <w:szCs w:val="24"/>
        </w:rPr>
      </w:pPr>
      <w:r>
        <w:rPr>
          <w:rFonts w:hint="eastAsia"/>
          <w:sz w:val="24"/>
          <w:szCs w:val="24"/>
        </w:rPr>
        <w:t>在177份有效问卷中，被调查对象中选计算机专业的比例为15.25%，选会计专业的比例为23.73%，选幼儿保育专业的比例为17.51%，选机加工专业的比例为28.25%，选其他的比例为15.25%。</w:t>
      </w:r>
    </w:p>
    <w:p>
      <w:pPr>
        <w:pStyle w:val="18"/>
        <w:ind w:firstLine="480"/>
        <w:rPr>
          <w:sz w:val="24"/>
          <w:szCs w:val="24"/>
        </w:rPr>
      </w:pPr>
      <w:r>
        <w:rPr>
          <w:rFonts w:hint="eastAsia"/>
          <w:sz w:val="24"/>
          <w:szCs w:val="24"/>
        </w:rPr>
        <w:t>2.满意度题</w:t>
      </w:r>
    </w:p>
    <w:p>
      <w:pPr>
        <w:pStyle w:val="18"/>
        <w:ind w:firstLine="480"/>
      </w:pPr>
      <w:r>
        <w:rPr>
          <w:rFonts w:hint="eastAsia"/>
          <w:sz w:val="24"/>
          <w:szCs w:val="24"/>
        </w:rPr>
        <w:t>根据问卷调查结果显示，受益对象的整体满意程度为96.95%，满意度水平较好。调查对象对问题按照满意度评分由高到低排序依次为：您对实训室的配置、装修等文化环境的满意度评级是？(96.61%)、您对新增的计算机设备、实训设备等教学资源的满意度评级是？(96.723%)、您对新增的图书馆藏书、设施资源配置的满意度评级是？(96.384%)、您对职业教育中心的设施整体满意度评级是？(97.627%)、您认为职业教育质量提升对您的学习帮助程度如何？(97.401%)。</w:t>
      </w:r>
    </w:p>
    <w:p>
      <w:pPr>
        <w:spacing w:line="500" w:lineRule="exact"/>
        <w:ind w:firstLine="482" w:firstLineChars="200"/>
        <w:rPr>
          <w:rFonts w:cs="Times New Roman"/>
          <w:b/>
          <w:sz w:val="24"/>
        </w:rPr>
      </w:pPr>
      <w:r>
        <w:rPr>
          <w:rFonts w:hint="eastAsia" w:cs="Times New Roman"/>
          <w:b/>
          <w:sz w:val="24"/>
        </w:rPr>
        <w:t>五、意见及建议</w:t>
      </w:r>
    </w:p>
    <w:p>
      <w:pPr>
        <w:pStyle w:val="18"/>
        <w:ind w:firstLine="480"/>
        <w:rPr>
          <w:sz w:val="24"/>
          <w:szCs w:val="24"/>
        </w:rPr>
      </w:pPr>
      <w:r>
        <w:rPr>
          <w:sz w:val="24"/>
          <w:szCs w:val="24"/>
        </w:rPr>
        <w:t>本次问卷调查的最后一部分设计了开放式问题，以收集</w:t>
      </w:r>
      <w:r>
        <w:rPr>
          <w:rFonts w:hint="eastAsia"/>
          <w:sz w:val="24"/>
          <w:szCs w:val="24"/>
        </w:rPr>
        <w:t>对徐水区2</w:t>
      </w:r>
      <w:r>
        <w:rPr>
          <w:sz w:val="24"/>
          <w:szCs w:val="24"/>
        </w:rPr>
        <w:t>022</w:t>
      </w:r>
      <w:r>
        <w:rPr>
          <w:rFonts w:hint="eastAsia"/>
          <w:sz w:val="24"/>
          <w:szCs w:val="24"/>
        </w:rPr>
        <w:t>年现代职业教育质量提升计划中央资金项目</w:t>
      </w:r>
      <w:r>
        <w:rPr>
          <w:sz w:val="24"/>
          <w:szCs w:val="24"/>
        </w:rPr>
        <w:t>的意见和建议，受访对象未予填写</w:t>
      </w:r>
      <w:r>
        <w:rPr>
          <w:rFonts w:hint="eastAsia"/>
          <w:sz w:val="24"/>
          <w:szCs w:val="24"/>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5259507"/>
      <w:docPartObj>
        <w:docPartGallery w:val="AutoText"/>
      </w:docPartObj>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wNjEyYjYxNTgyY2FkYTMwMzI4ZDc2OWQzZTkxYWQifQ=="/>
  </w:docVars>
  <w:rsids>
    <w:rsidRoot w:val="3CED382C"/>
    <w:rsid w:val="00063FCA"/>
    <w:rsid w:val="000D178D"/>
    <w:rsid w:val="00105C3B"/>
    <w:rsid w:val="001640EE"/>
    <w:rsid w:val="001A63FB"/>
    <w:rsid w:val="001D6C8B"/>
    <w:rsid w:val="001E1E20"/>
    <w:rsid w:val="001E241F"/>
    <w:rsid w:val="002E24E1"/>
    <w:rsid w:val="00320A61"/>
    <w:rsid w:val="00342DE6"/>
    <w:rsid w:val="00350ADE"/>
    <w:rsid w:val="00351A88"/>
    <w:rsid w:val="003755A3"/>
    <w:rsid w:val="003C537B"/>
    <w:rsid w:val="003E22F7"/>
    <w:rsid w:val="0041367F"/>
    <w:rsid w:val="00492CEC"/>
    <w:rsid w:val="004A79FB"/>
    <w:rsid w:val="004E339D"/>
    <w:rsid w:val="00505730"/>
    <w:rsid w:val="00551292"/>
    <w:rsid w:val="005D7520"/>
    <w:rsid w:val="005F6E3D"/>
    <w:rsid w:val="0063772D"/>
    <w:rsid w:val="006607C5"/>
    <w:rsid w:val="00712A8B"/>
    <w:rsid w:val="00736065"/>
    <w:rsid w:val="0074456D"/>
    <w:rsid w:val="007F73BE"/>
    <w:rsid w:val="00815863"/>
    <w:rsid w:val="00837C3E"/>
    <w:rsid w:val="008553FB"/>
    <w:rsid w:val="008727F0"/>
    <w:rsid w:val="00877BD6"/>
    <w:rsid w:val="00893036"/>
    <w:rsid w:val="008C3E31"/>
    <w:rsid w:val="00912959"/>
    <w:rsid w:val="0093049C"/>
    <w:rsid w:val="00943950"/>
    <w:rsid w:val="009475A9"/>
    <w:rsid w:val="009A64A9"/>
    <w:rsid w:val="00A15820"/>
    <w:rsid w:val="00A62AC2"/>
    <w:rsid w:val="00AB525A"/>
    <w:rsid w:val="00B05E47"/>
    <w:rsid w:val="00B21F4C"/>
    <w:rsid w:val="00B60509"/>
    <w:rsid w:val="00B6456C"/>
    <w:rsid w:val="00B80B55"/>
    <w:rsid w:val="00BA5DE4"/>
    <w:rsid w:val="00BB50A3"/>
    <w:rsid w:val="00BC22BD"/>
    <w:rsid w:val="00C14C69"/>
    <w:rsid w:val="00C633DD"/>
    <w:rsid w:val="00CB1121"/>
    <w:rsid w:val="00CD6506"/>
    <w:rsid w:val="00D60C0D"/>
    <w:rsid w:val="00DC43DA"/>
    <w:rsid w:val="00DD2EB0"/>
    <w:rsid w:val="00DD3FA7"/>
    <w:rsid w:val="00E66C6F"/>
    <w:rsid w:val="00E70A13"/>
    <w:rsid w:val="00F24F4A"/>
    <w:rsid w:val="00F25FAA"/>
    <w:rsid w:val="00F554F2"/>
    <w:rsid w:val="00F8751D"/>
    <w:rsid w:val="00F93852"/>
    <w:rsid w:val="00FA2E18"/>
    <w:rsid w:val="00FF0552"/>
    <w:rsid w:val="02DD00D7"/>
    <w:rsid w:val="05832D5D"/>
    <w:rsid w:val="05D7599E"/>
    <w:rsid w:val="08B64F74"/>
    <w:rsid w:val="0B705B32"/>
    <w:rsid w:val="12347949"/>
    <w:rsid w:val="13A12F42"/>
    <w:rsid w:val="13FF3EF7"/>
    <w:rsid w:val="15EB4733"/>
    <w:rsid w:val="198B6C64"/>
    <w:rsid w:val="1E2E6285"/>
    <w:rsid w:val="245E7774"/>
    <w:rsid w:val="24BE168D"/>
    <w:rsid w:val="25D80104"/>
    <w:rsid w:val="26510172"/>
    <w:rsid w:val="26F947D6"/>
    <w:rsid w:val="28551925"/>
    <w:rsid w:val="2BF14F08"/>
    <w:rsid w:val="2E7300E2"/>
    <w:rsid w:val="323E39E4"/>
    <w:rsid w:val="38BD38B5"/>
    <w:rsid w:val="397321C6"/>
    <w:rsid w:val="3B73533B"/>
    <w:rsid w:val="3C7B3067"/>
    <w:rsid w:val="3CED382C"/>
    <w:rsid w:val="3E4662FF"/>
    <w:rsid w:val="3F6B3E74"/>
    <w:rsid w:val="41644995"/>
    <w:rsid w:val="43CF7134"/>
    <w:rsid w:val="457F52D1"/>
    <w:rsid w:val="47113086"/>
    <w:rsid w:val="48F03CDA"/>
    <w:rsid w:val="49E2478A"/>
    <w:rsid w:val="52173BDE"/>
    <w:rsid w:val="52A0336E"/>
    <w:rsid w:val="538A2BEE"/>
    <w:rsid w:val="61C612DF"/>
    <w:rsid w:val="633B5253"/>
    <w:rsid w:val="63D537B6"/>
    <w:rsid w:val="64AD3F2E"/>
    <w:rsid w:val="64CD2738"/>
    <w:rsid w:val="661F0E5C"/>
    <w:rsid w:val="67E90042"/>
    <w:rsid w:val="67FB059A"/>
    <w:rsid w:val="68833924"/>
    <w:rsid w:val="709723BE"/>
    <w:rsid w:val="72D64389"/>
    <w:rsid w:val="737427E7"/>
    <w:rsid w:val="7E4F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3">
    <w:name w:val="heading 1"/>
    <w:basedOn w:val="1"/>
    <w:next w:val="1"/>
    <w:qFormat/>
    <w:uiPriority w:val="0"/>
    <w:pPr>
      <w:keepNext/>
      <w:keepLines/>
      <w:spacing w:line="360" w:lineRule="auto"/>
      <w:outlineLvl w:val="0"/>
    </w:pPr>
    <w:rPr>
      <w:rFonts w:eastAsia="黑体"/>
      <w:b/>
      <w:kern w:val="44"/>
    </w:rPr>
  </w:style>
  <w:style w:type="paragraph" w:styleId="4">
    <w:name w:val="heading 2"/>
    <w:basedOn w:val="1"/>
    <w:next w:val="1"/>
    <w:unhideWhenUsed/>
    <w:qFormat/>
    <w:uiPriority w:val="0"/>
    <w:pPr>
      <w:keepNext/>
      <w:keepLines/>
      <w:spacing w:line="360" w:lineRule="auto"/>
      <w:ind w:firstLine="640" w:firstLineChars="200"/>
      <w:outlineLvl w:val="1"/>
    </w:pPr>
  </w:style>
  <w:style w:type="paragraph" w:styleId="5">
    <w:name w:val="heading 3"/>
    <w:basedOn w:val="1"/>
    <w:next w:val="1"/>
    <w:unhideWhenUsed/>
    <w:qFormat/>
    <w:uiPriority w:val="0"/>
    <w:pPr>
      <w:keepNext/>
      <w:keepLines/>
      <w:spacing w:line="360" w:lineRule="auto"/>
      <w:ind w:firstLine="640" w:firstLineChars="200"/>
      <w:outlineLvl w:val="2"/>
    </w:pPr>
  </w:style>
  <w:style w:type="paragraph" w:styleId="6">
    <w:name w:val="heading 4"/>
    <w:basedOn w:val="1"/>
    <w:next w:val="1"/>
    <w:semiHidden/>
    <w:unhideWhenUsed/>
    <w:qFormat/>
    <w:uiPriority w:val="0"/>
    <w:pPr>
      <w:keepNext/>
      <w:keepLines/>
      <w:spacing w:line="360" w:lineRule="auto"/>
      <w:ind w:firstLine="640" w:firstLineChars="200"/>
      <w:outlineLvl w:val="3"/>
    </w:p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10"/>
    <w:pPr>
      <w:adjustRightInd w:val="0"/>
      <w:snapToGrid w:val="0"/>
      <w:spacing w:line="360" w:lineRule="auto"/>
      <w:ind w:firstLine="800" w:firstLineChars="200"/>
      <w:jc w:val="left"/>
      <w:outlineLvl w:val="0"/>
    </w:pPr>
    <w:rPr>
      <w:rFonts w:ascii="Arial" w:hAnsi="Arial" w:eastAsia="仿宋"/>
      <w:szCs w:val="32"/>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pPr>
      <w:spacing w:line="560" w:lineRule="exact"/>
    </w:pPr>
    <w:rPr>
      <w:sz w:val="28"/>
    </w:rPr>
  </w:style>
  <w:style w:type="paragraph" w:styleId="10">
    <w:name w:val="toc 2"/>
    <w:basedOn w:val="1"/>
    <w:next w:val="1"/>
    <w:qFormat/>
    <w:uiPriority w:val="39"/>
    <w:pPr>
      <w:spacing w:line="560" w:lineRule="exact"/>
      <w:ind w:left="420" w:leftChars="200"/>
    </w:pPr>
    <w:rPr>
      <w:sz w:val="28"/>
    </w:rPr>
  </w:style>
  <w:style w:type="table" w:styleId="12">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basedOn w:val="13"/>
    <w:unhideWhenUsed/>
    <w:uiPriority w:val="99"/>
    <w:rPr>
      <w:color w:val="0563C1" w:themeColor="hyperlink"/>
      <w:u w:val="single"/>
      <w14:textFill>
        <w14:solidFill>
          <w14:schemeClr w14:val="hlink"/>
        </w14:solidFill>
      </w14:textFill>
    </w:rPr>
  </w:style>
  <w:style w:type="paragraph" w:customStyle="1" w:styleId="16">
    <w:name w:val="WPSOffice手动目录 1"/>
    <w:qFormat/>
    <w:uiPriority w:val="0"/>
    <w:rPr>
      <w:rFonts w:asciiTheme="minorHAnsi" w:hAnsiTheme="minorHAnsi" w:eastAsiaTheme="minorEastAsia" w:cstheme="minorBidi"/>
      <w:lang w:val="en-US" w:eastAsia="zh-CN" w:bidi="ar-SA"/>
    </w:rPr>
  </w:style>
  <w:style w:type="paragraph" w:customStyle="1" w:styleId="1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8">
    <w:name w:val="闻政正文"/>
    <w:link w:val="22"/>
    <w:qFormat/>
    <w:uiPriority w:val="0"/>
    <w:pPr>
      <w:widowControl w:val="0"/>
      <w:spacing w:line="500" w:lineRule="exact"/>
      <w:ind w:firstLine="560" w:firstLineChars="200"/>
      <w:jc w:val="both"/>
    </w:pPr>
    <w:rPr>
      <w:rFonts w:ascii="Times New Roman" w:hAnsi="Times New Roman" w:eastAsia="仿宋_GB2312" w:cs="Times New Roman"/>
      <w:sz w:val="28"/>
      <w:szCs w:val="28"/>
      <w:lang w:val="en-US" w:eastAsia="zh-CN" w:bidi="ar-SA"/>
    </w:rPr>
  </w:style>
  <w:style w:type="paragraph" w:customStyle="1" w:styleId="19">
    <w:name w:val="闻政标题3"/>
    <w:basedOn w:val="5"/>
    <w:qFormat/>
    <w:uiPriority w:val="0"/>
    <w:pPr>
      <w:spacing w:before="120" w:after="60" w:line="500" w:lineRule="exact"/>
      <w:ind w:firstLine="0" w:firstLineChars="0"/>
      <w:jc w:val="left"/>
      <w:outlineLvl w:val="0"/>
    </w:pPr>
    <w:rPr>
      <w:rFonts w:ascii="黑体" w:hAnsi="黑体" w:eastAsia="黑体" w:cs="Times New Roman"/>
      <w:bCs/>
      <w:kern w:val="0"/>
      <w:szCs w:val="32"/>
    </w:rPr>
  </w:style>
  <w:style w:type="paragraph" w:customStyle="1" w:styleId="20">
    <w:name w:val="闻政标题5"/>
    <w:basedOn w:val="1"/>
    <w:qFormat/>
    <w:uiPriority w:val="0"/>
    <w:pPr>
      <w:spacing w:before="120" w:after="60" w:line="500" w:lineRule="exact"/>
      <w:ind w:firstLine="200" w:firstLineChars="200"/>
    </w:pPr>
    <w:rPr>
      <w:b/>
      <w:kern w:val="0"/>
      <w:sz w:val="28"/>
      <w:szCs w:val="28"/>
    </w:rPr>
  </w:style>
  <w:style w:type="character" w:customStyle="1" w:styleId="21">
    <w:name w:val="页脚 字符"/>
    <w:basedOn w:val="13"/>
    <w:link w:val="7"/>
    <w:qFormat/>
    <w:uiPriority w:val="99"/>
    <w:rPr>
      <w:rFonts w:eastAsia="仿宋_GB2312" w:cstheme="minorBidi"/>
      <w:kern w:val="2"/>
      <w:sz w:val="18"/>
      <w:szCs w:val="24"/>
    </w:rPr>
  </w:style>
  <w:style w:type="character" w:customStyle="1" w:styleId="22">
    <w:name w:val="闻政正文 Char"/>
    <w:link w:val="18"/>
    <w:qFormat/>
    <w:uiPriority w:val="0"/>
    <w:rPr>
      <w:rFonts w:eastAsia="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8.wmf"/><Relationship Id="rId21" Type="http://schemas.openxmlformats.org/officeDocument/2006/relationships/image" Target="media/image17.wmf"/><Relationship Id="rId20" Type="http://schemas.openxmlformats.org/officeDocument/2006/relationships/image" Target="media/image16.wmf"/><Relationship Id="rId2" Type="http://schemas.openxmlformats.org/officeDocument/2006/relationships/settings" Target="settings.xml"/><Relationship Id="rId19" Type="http://schemas.openxmlformats.org/officeDocument/2006/relationships/image" Target="media/image15.wmf"/><Relationship Id="rId18" Type="http://schemas.openxmlformats.org/officeDocument/2006/relationships/image" Target="media/image14.wmf"/><Relationship Id="rId17" Type="http://schemas.openxmlformats.org/officeDocument/2006/relationships/image" Target="media/image13.wmf"/><Relationship Id="rId16" Type="http://schemas.openxmlformats.org/officeDocument/2006/relationships/image" Target="media/image12.wmf"/><Relationship Id="rId15" Type="http://schemas.openxmlformats.org/officeDocument/2006/relationships/image" Target="media/image11.wmf"/><Relationship Id="rId14" Type="http://schemas.openxmlformats.org/officeDocument/2006/relationships/image" Target="media/image10.wmf"/><Relationship Id="rId13" Type="http://schemas.openxmlformats.org/officeDocument/2006/relationships/image" Target="media/image9.wmf"/><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C9A27-38B2-466F-BB58-507DA675FBB8}">
  <ds:schemaRefs/>
</ds:datastoreItem>
</file>

<file path=docProps/app.xml><?xml version="1.0" encoding="utf-8"?>
<Properties xmlns="http://schemas.openxmlformats.org/officeDocument/2006/extended-properties" xmlns:vt="http://schemas.openxmlformats.org/officeDocument/2006/docPropsVTypes">
  <Template>Normal</Template>
  <Pages>50</Pages>
  <Words>4285</Words>
  <Characters>24426</Characters>
  <Lines>203</Lines>
  <Paragraphs>57</Paragraphs>
  <TotalTime>299</TotalTime>
  <ScaleCrop>false</ScaleCrop>
  <LinksUpToDate>false</LinksUpToDate>
  <CharactersWithSpaces>28654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2023-07-27T06:39:00Z</dcterms:created>
  <dc:creator>Guo Yong</dc:creator>
  <cp:lastModifiedBy>user</cp:lastModifiedBy>
  <dcterms:modified xsi:type="dcterms:W3CDTF">2025-03-21T03:39:07Z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3484C0B7B5664AAB9A93D695CB10F69E_13</vt:lpwstr>
  </property>
</Properties>
</file>