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fldChar w:fldCharType="end"/>
      </w:r>
      <w:r>
        <w:fldChar w:fldCharType="end"/>
      </w:r>
      <w:r>
        <w:rPr>
          <w:rFonts w:hint="eastAsia"/>
          <w:lang w:val="en-US" w:eastAsia="zh-CN"/>
        </w:rPr>
        <w:t>9</w:t>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fldChar w:fldCharType="end"/>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r>
        <w:rPr>
          <w:rFonts w:hint="eastAsia"/>
          <w:lang w:val="en-US" w:eastAsia="zh-CN"/>
        </w:rPr>
        <w:t>4</w:t>
      </w:r>
    </w:p>
    <w:p>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end"/>
      </w:r>
      <w:r>
        <w:rPr>
          <w:rFonts w:hint="eastAsia"/>
          <w:lang w:val="en-US" w:eastAsia="zh-CN"/>
        </w:rPr>
        <w:t>52</w:t>
      </w:r>
    </w:p>
    <w:p>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fldChar w:fldCharType="end"/>
      </w:r>
      <w:r>
        <w:rPr>
          <w:rFonts w:hint="eastAsia"/>
          <w:lang w:val="en-US" w:eastAsia="zh-CN"/>
        </w:rPr>
        <w:t>52</w:t>
      </w:r>
    </w:p>
    <w:p>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fldChar w:fldCharType="end"/>
      </w:r>
      <w:r>
        <w:rPr>
          <w:rFonts w:hint="eastAsia"/>
          <w:lang w:val="en-US" w:eastAsia="zh-CN"/>
        </w:rPr>
        <w:t>53</w:t>
      </w:r>
    </w:p>
    <w:p>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bookmarkStart w:id="20" w:name="_GoBack"/>
      <w:bookmarkEnd w:id="20"/>
      <w:r>
        <w:tab/>
      </w:r>
      <w:r>
        <w:fldChar w:fldCharType="end"/>
      </w:r>
      <w:r>
        <w:rPr>
          <w:rFonts w:hint="eastAsia"/>
          <w:lang w:val="en-US" w:eastAsia="zh-CN"/>
        </w:rPr>
        <w:t>54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3098.22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366.12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3103.49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783.66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3098.22</w:t>
            </w:r>
          </w:p>
        </w:tc>
        <w:tc>
          <w:tcPr>
            <w:tcW w:w="4535" w:type="dxa"/>
            <w:vAlign w:val="center"/>
          </w:tcPr>
          <w:p>
            <w:pPr>
              <w:pStyle w:val="15"/>
            </w:pPr>
            <w:r>
              <w:t>本年支出合计</w:t>
            </w:r>
          </w:p>
        </w:tc>
        <w:tc>
          <w:tcPr>
            <w:tcW w:w="2126" w:type="dxa"/>
            <w:vAlign w:val="center"/>
          </w:tcPr>
          <w:p>
            <w:pPr>
              <w:pStyle w:val="16"/>
            </w:pPr>
            <w:r>
              <w:t>4464.32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1366.10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4464.32</w:t>
            </w:r>
          </w:p>
        </w:tc>
        <w:tc>
          <w:tcPr>
            <w:tcW w:w="4535" w:type="dxa"/>
            <w:vAlign w:val="center"/>
          </w:tcPr>
          <w:p>
            <w:pPr>
              <w:pStyle w:val="15"/>
            </w:pPr>
            <w:r>
              <w:t>支出总计</w:t>
            </w:r>
          </w:p>
        </w:tc>
        <w:tc>
          <w:tcPr>
            <w:tcW w:w="2126" w:type="dxa"/>
            <w:vAlign w:val="center"/>
          </w:tcPr>
          <w:p>
            <w:pPr>
              <w:pStyle w:val="16"/>
            </w:pPr>
            <w:r>
              <w:t>4464.32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4464.32</w:t>
            </w:r>
          </w:p>
        </w:tc>
        <w:tc>
          <w:tcPr>
            <w:tcW w:w="1134" w:type="dxa"/>
            <w:vAlign w:val="center"/>
          </w:tcPr>
          <w:p>
            <w:pPr>
              <w:pStyle w:val="16"/>
            </w:pPr>
            <w:r>
              <w:t>3098.22</w:t>
            </w:r>
          </w:p>
        </w:tc>
        <w:tc>
          <w:tcPr>
            <w:tcW w:w="1134" w:type="dxa"/>
            <w:vAlign w:val="center"/>
          </w:tcPr>
          <w:p>
            <w:pPr>
              <w:pStyle w:val="16"/>
            </w:pPr>
            <w:r>
              <w:t>3098.22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1366.10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366.12</w:t>
            </w:r>
          </w:p>
        </w:tc>
        <w:tc>
          <w:tcPr>
            <w:tcW w:w="1134" w:type="dxa"/>
            <w:vAlign w:val="center"/>
          </w:tcPr>
          <w:p>
            <w:pPr>
              <w:pStyle w:val="12"/>
            </w:pPr>
            <w:r>
              <w:t>366.12</w:t>
            </w:r>
          </w:p>
        </w:tc>
        <w:tc>
          <w:tcPr>
            <w:tcW w:w="1134" w:type="dxa"/>
            <w:vAlign w:val="center"/>
          </w:tcPr>
          <w:p>
            <w:pPr>
              <w:pStyle w:val="12"/>
            </w:pPr>
            <w:r>
              <w:t>366.12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366.12</w:t>
            </w:r>
          </w:p>
        </w:tc>
        <w:tc>
          <w:tcPr>
            <w:tcW w:w="1134" w:type="dxa"/>
            <w:vAlign w:val="center"/>
          </w:tcPr>
          <w:p>
            <w:pPr>
              <w:pStyle w:val="12"/>
            </w:pPr>
            <w:r>
              <w:t>366.12</w:t>
            </w:r>
          </w:p>
        </w:tc>
        <w:tc>
          <w:tcPr>
            <w:tcW w:w="1134" w:type="dxa"/>
            <w:vAlign w:val="center"/>
          </w:tcPr>
          <w:p>
            <w:pPr>
              <w:pStyle w:val="12"/>
            </w:pPr>
            <w:r>
              <w:t>366.12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55.60</w:t>
            </w:r>
          </w:p>
        </w:tc>
        <w:tc>
          <w:tcPr>
            <w:tcW w:w="1134" w:type="dxa"/>
            <w:vAlign w:val="center"/>
          </w:tcPr>
          <w:p>
            <w:pPr>
              <w:pStyle w:val="12"/>
            </w:pPr>
            <w:r>
              <w:t>55.60</w:t>
            </w:r>
          </w:p>
        </w:tc>
        <w:tc>
          <w:tcPr>
            <w:tcW w:w="1134" w:type="dxa"/>
            <w:vAlign w:val="center"/>
          </w:tcPr>
          <w:p>
            <w:pPr>
              <w:pStyle w:val="12"/>
            </w:pPr>
            <w:r>
              <w:t>55.60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129.96</w:t>
            </w:r>
          </w:p>
        </w:tc>
        <w:tc>
          <w:tcPr>
            <w:tcW w:w="1134" w:type="dxa"/>
            <w:vAlign w:val="center"/>
          </w:tcPr>
          <w:p>
            <w:pPr>
              <w:pStyle w:val="12"/>
            </w:pPr>
            <w:r>
              <w:t>129.96</w:t>
            </w:r>
          </w:p>
        </w:tc>
        <w:tc>
          <w:tcPr>
            <w:tcW w:w="1134" w:type="dxa"/>
            <w:vAlign w:val="center"/>
          </w:tcPr>
          <w:p>
            <w:pPr>
              <w:pStyle w:val="12"/>
            </w:pPr>
            <w:r>
              <w:t>129.96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180.56</w:t>
            </w:r>
          </w:p>
        </w:tc>
        <w:tc>
          <w:tcPr>
            <w:tcW w:w="1134" w:type="dxa"/>
            <w:vAlign w:val="center"/>
          </w:tcPr>
          <w:p>
            <w:pPr>
              <w:pStyle w:val="12"/>
            </w:pPr>
            <w:r>
              <w:t>180.56</w:t>
            </w:r>
          </w:p>
        </w:tc>
        <w:tc>
          <w:tcPr>
            <w:tcW w:w="1134" w:type="dxa"/>
            <w:vAlign w:val="center"/>
          </w:tcPr>
          <w:p>
            <w:pPr>
              <w:pStyle w:val="12"/>
            </w:pPr>
            <w:r>
              <w:t>180.56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62.24</w:t>
            </w:r>
          </w:p>
        </w:tc>
        <w:tc>
          <w:tcPr>
            <w:tcW w:w="1134" w:type="dxa"/>
            <w:vAlign w:val="center"/>
          </w:tcPr>
          <w:p>
            <w:pPr>
              <w:pStyle w:val="12"/>
            </w:pPr>
            <w:r>
              <w:t>62.24</w:t>
            </w:r>
          </w:p>
        </w:tc>
        <w:tc>
          <w:tcPr>
            <w:tcW w:w="1134" w:type="dxa"/>
            <w:vAlign w:val="center"/>
          </w:tcPr>
          <w:p>
            <w:pPr>
              <w:pStyle w:val="12"/>
            </w:pPr>
            <w:r>
              <w:t>62.24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62.24</w:t>
            </w:r>
          </w:p>
        </w:tc>
        <w:tc>
          <w:tcPr>
            <w:tcW w:w="1134" w:type="dxa"/>
            <w:vAlign w:val="center"/>
          </w:tcPr>
          <w:p>
            <w:pPr>
              <w:pStyle w:val="12"/>
            </w:pPr>
            <w:r>
              <w:t>62.24</w:t>
            </w:r>
          </w:p>
        </w:tc>
        <w:tc>
          <w:tcPr>
            <w:tcW w:w="1134" w:type="dxa"/>
            <w:vAlign w:val="center"/>
          </w:tcPr>
          <w:p>
            <w:pPr>
              <w:pStyle w:val="12"/>
            </w:pPr>
            <w:r>
              <w:t>62.24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62.24</w:t>
            </w:r>
          </w:p>
        </w:tc>
        <w:tc>
          <w:tcPr>
            <w:tcW w:w="1134" w:type="dxa"/>
            <w:vAlign w:val="center"/>
          </w:tcPr>
          <w:p>
            <w:pPr>
              <w:pStyle w:val="12"/>
            </w:pPr>
            <w:r>
              <w:t>62.24</w:t>
            </w:r>
          </w:p>
        </w:tc>
        <w:tc>
          <w:tcPr>
            <w:tcW w:w="1134" w:type="dxa"/>
            <w:vAlign w:val="center"/>
          </w:tcPr>
          <w:p>
            <w:pPr>
              <w:pStyle w:val="12"/>
            </w:pPr>
            <w:r>
              <w:t>62.24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3103.49</w:t>
            </w:r>
          </w:p>
        </w:tc>
        <w:tc>
          <w:tcPr>
            <w:tcW w:w="1134" w:type="dxa"/>
            <w:vAlign w:val="center"/>
          </w:tcPr>
          <w:p>
            <w:pPr>
              <w:pStyle w:val="12"/>
            </w:pPr>
            <w:r>
              <w:t>2521.05</w:t>
            </w:r>
          </w:p>
        </w:tc>
        <w:tc>
          <w:tcPr>
            <w:tcW w:w="1134" w:type="dxa"/>
            <w:vAlign w:val="center"/>
          </w:tcPr>
          <w:p>
            <w:pPr>
              <w:pStyle w:val="12"/>
            </w:pPr>
            <w:r>
              <w:t>2521.05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582.44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2838.05</w:t>
            </w:r>
          </w:p>
        </w:tc>
        <w:tc>
          <w:tcPr>
            <w:tcW w:w="1134" w:type="dxa"/>
            <w:vAlign w:val="center"/>
          </w:tcPr>
          <w:p>
            <w:pPr>
              <w:pStyle w:val="12"/>
            </w:pPr>
            <w:r>
              <w:t>2521.05</w:t>
            </w:r>
          </w:p>
        </w:tc>
        <w:tc>
          <w:tcPr>
            <w:tcW w:w="1134" w:type="dxa"/>
            <w:vAlign w:val="center"/>
          </w:tcPr>
          <w:p>
            <w:pPr>
              <w:pStyle w:val="12"/>
            </w:pPr>
            <w:r>
              <w:t>2521.05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2140101</w:t>
            </w:r>
          </w:p>
        </w:tc>
        <w:tc>
          <w:tcPr>
            <w:tcW w:w="1559" w:type="dxa"/>
            <w:vAlign w:val="center"/>
          </w:tcPr>
          <w:p>
            <w:pPr>
              <w:pStyle w:val="13"/>
            </w:pPr>
            <w:r>
              <w:t>行政运行</w:t>
            </w:r>
          </w:p>
        </w:tc>
        <w:tc>
          <w:tcPr>
            <w:tcW w:w="1134" w:type="dxa"/>
            <w:vAlign w:val="center"/>
          </w:tcPr>
          <w:p>
            <w:pPr>
              <w:pStyle w:val="12"/>
            </w:pPr>
            <w:r>
              <w:t>392.09</w:t>
            </w:r>
          </w:p>
        </w:tc>
        <w:tc>
          <w:tcPr>
            <w:tcW w:w="1134" w:type="dxa"/>
            <w:vAlign w:val="center"/>
          </w:tcPr>
          <w:p>
            <w:pPr>
              <w:pStyle w:val="12"/>
            </w:pPr>
            <w:r>
              <w:t>392.09</w:t>
            </w:r>
          </w:p>
        </w:tc>
        <w:tc>
          <w:tcPr>
            <w:tcW w:w="1134" w:type="dxa"/>
            <w:vAlign w:val="center"/>
          </w:tcPr>
          <w:p>
            <w:pPr>
              <w:pStyle w:val="12"/>
            </w:pPr>
            <w:r>
              <w:t>392.09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2140102</w:t>
            </w:r>
          </w:p>
        </w:tc>
        <w:tc>
          <w:tcPr>
            <w:tcW w:w="1559" w:type="dxa"/>
            <w:vAlign w:val="center"/>
          </w:tcPr>
          <w:p>
            <w:pPr>
              <w:pStyle w:val="13"/>
            </w:pPr>
            <w:r>
              <w:t>一般行政管理事务</w:t>
            </w:r>
          </w:p>
        </w:tc>
        <w:tc>
          <w:tcPr>
            <w:tcW w:w="1134" w:type="dxa"/>
            <w:vAlign w:val="center"/>
          </w:tcPr>
          <w:p>
            <w:pPr>
              <w:pStyle w:val="12"/>
            </w:pPr>
            <w:r>
              <w:t>14.55</w:t>
            </w:r>
          </w:p>
        </w:tc>
        <w:tc>
          <w:tcPr>
            <w:tcW w:w="1134" w:type="dxa"/>
            <w:vAlign w:val="center"/>
          </w:tcPr>
          <w:p>
            <w:pPr>
              <w:pStyle w:val="12"/>
            </w:pPr>
            <w:r>
              <w:t>14.55</w:t>
            </w:r>
          </w:p>
        </w:tc>
        <w:tc>
          <w:tcPr>
            <w:tcW w:w="1134" w:type="dxa"/>
            <w:vAlign w:val="center"/>
          </w:tcPr>
          <w:p>
            <w:pPr>
              <w:pStyle w:val="12"/>
            </w:pPr>
            <w:r>
              <w:t>14.55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1152.00</w:t>
            </w:r>
          </w:p>
        </w:tc>
        <w:tc>
          <w:tcPr>
            <w:tcW w:w="1134" w:type="dxa"/>
            <w:vAlign w:val="center"/>
          </w:tcPr>
          <w:p>
            <w:pPr>
              <w:pStyle w:val="12"/>
            </w:pPr>
            <w:r>
              <w:t>835.00</w:t>
            </w:r>
          </w:p>
        </w:tc>
        <w:tc>
          <w:tcPr>
            <w:tcW w:w="1134" w:type="dxa"/>
            <w:vAlign w:val="center"/>
          </w:tcPr>
          <w:p>
            <w:pPr>
              <w:pStyle w:val="12"/>
            </w:pPr>
            <w:r>
              <w:t>835.00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2140199</w:t>
            </w:r>
          </w:p>
        </w:tc>
        <w:tc>
          <w:tcPr>
            <w:tcW w:w="1559" w:type="dxa"/>
            <w:vAlign w:val="center"/>
          </w:tcPr>
          <w:p>
            <w:pPr>
              <w:pStyle w:val="13"/>
            </w:pPr>
            <w:r>
              <w:t>其他公路水路运输支出</w:t>
            </w:r>
          </w:p>
        </w:tc>
        <w:tc>
          <w:tcPr>
            <w:tcW w:w="1134" w:type="dxa"/>
            <w:vAlign w:val="center"/>
          </w:tcPr>
          <w:p>
            <w:pPr>
              <w:pStyle w:val="12"/>
            </w:pPr>
            <w:r>
              <w:t>1279.41</w:t>
            </w:r>
          </w:p>
        </w:tc>
        <w:tc>
          <w:tcPr>
            <w:tcW w:w="1134" w:type="dxa"/>
            <w:vAlign w:val="center"/>
          </w:tcPr>
          <w:p>
            <w:pPr>
              <w:pStyle w:val="12"/>
            </w:pPr>
            <w:r>
              <w:t>1279.41</w:t>
            </w:r>
          </w:p>
        </w:tc>
        <w:tc>
          <w:tcPr>
            <w:tcW w:w="1134" w:type="dxa"/>
            <w:vAlign w:val="center"/>
          </w:tcPr>
          <w:p>
            <w:pPr>
              <w:pStyle w:val="12"/>
            </w:pPr>
            <w:r>
              <w:t>1279.41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21499</w:t>
            </w:r>
          </w:p>
        </w:tc>
        <w:tc>
          <w:tcPr>
            <w:tcW w:w="1559" w:type="dxa"/>
            <w:vAlign w:val="center"/>
          </w:tcPr>
          <w:p>
            <w:pPr>
              <w:pStyle w:val="13"/>
            </w:pPr>
            <w:r>
              <w:t>其他交通运输支出</w:t>
            </w:r>
          </w:p>
        </w:tc>
        <w:tc>
          <w:tcPr>
            <w:tcW w:w="1134" w:type="dxa"/>
            <w:vAlign w:val="center"/>
          </w:tcPr>
          <w:p>
            <w:pPr>
              <w:pStyle w:val="12"/>
            </w:pPr>
            <w:r>
              <w:t>265.44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2149901</w:t>
            </w:r>
          </w:p>
        </w:tc>
        <w:tc>
          <w:tcPr>
            <w:tcW w:w="1559" w:type="dxa"/>
            <w:vAlign w:val="center"/>
          </w:tcPr>
          <w:p>
            <w:pPr>
              <w:pStyle w:val="13"/>
            </w:pPr>
            <w:r>
              <w:t>公共交通运营补助</w:t>
            </w:r>
          </w:p>
        </w:tc>
        <w:tc>
          <w:tcPr>
            <w:tcW w:w="1134" w:type="dxa"/>
            <w:vAlign w:val="center"/>
          </w:tcPr>
          <w:p>
            <w:pPr>
              <w:pStyle w:val="12"/>
            </w:pPr>
            <w:r>
              <w:t>265.44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148.81</w:t>
            </w:r>
          </w:p>
        </w:tc>
        <w:tc>
          <w:tcPr>
            <w:tcW w:w="1134" w:type="dxa"/>
            <w:vAlign w:val="center"/>
          </w:tcPr>
          <w:p>
            <w:pPr>
              <w:pStyle w:val="12"/>
            </w:pPr>
            <w:r>
              <w:t>148.81</w:t>
            </w:r>
          </w:p>
        </w:tc>
        <w:tc>
          <w:tcPr>
            <w:tcW w:w="1134" w:type="dxa"/>
            <w:vAlign w:val="center"/>
          </w:tcPr>
          <w:p>
            <w:pPr>
              <w:pStyle w:val="12"/>
            </w:pPr>
            <w:r>
              <w:t>148.81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148.81</w:t>
            </w:r>
          </w:p>
        </w:tc>
        <w:tc>
          <w:tcPr>
            <w:tcW w:w="1134" w:type="dxa"/>
            <w:vAlign w:val="center"/>
          </w:tcPr>
          <w:p>
            <w:pPr>
              <w:pStyle w:val="12"/>
            </w:pPr>
            <w:r>
              <w:t>148.81</w:t>
            </w:r>
          </w:p>
        </w:tc>
        <w:tc>
          <w:tcPr>
            <w:tcW w:w="1134" w:type="dxa"/>
            <w:vAlign w:val="center"/>
          </w:tcPr>
          <w:p>
            <w:pPr>
              <w:pStyle w:val="12"/>
            </w:pPr>
            <w:r>
              <w:t>148.81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148.81</w:t>
            </w:r>
          </w:p>
        </w:tc>
        <w:tc>
          <w:tcPr>
            <w:tcW w:w="1134" w:type="dxa"/>
            <w:vAlign w:val="center"/>
          </w:tcPr>
          <w:p>
            <w:pPr>
              <w:pStyle w:val="12"/>
            </w:pPr>
            <w:r>
              <w:t>148.81</w:t>
            </w:r>
          </w:p>
        </w:tc>
        <w:tc>
          <w:tcPr>
            <w:tcW w:w="1134" w:type="dxa"/>
            <w:vAlign w:val="center"/>
          </w:tcPr>
          <w:p>
            <w:pPr>
              <w:pStyle w:val="12"/>
            </w:pPr>
            <w:r>
              <w:t>148.81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783.66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783.66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783.66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783.66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2240704</w:t>
            </w:r>
          </w:p>
        </w:tc>
        <w:tc>
          <w:tcPr>
            <w:tcW w:w="1559" w:type="dxa"/>
            <w:vAlign w:val="center"/>
          </w:tcPr>
          <w:p>
            <w:pPr>
              <w:pStyle w:val="13"/>
            </w:pPr>
            <w:r>
              <w:t>自然灾害灾后重建补助</w:t>
            </w:r>
          </w:p>
        </w:tc>
        <w:tc>
          <w:tcPr>
            <w:tcW w:w="1134" w:type="dxa"/>
            <w:vAlign w:val="center"/>
          </w:tcPr>
          <w:p>
            <w:pPr>
              <w:pStyle w:val="12"/>
            </w:pPr>
            <w:r>
              <w:t>163.16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2240799</w:t>
            </w:r>
          </w:p>
        </w:tc>
        <w:tc>
          <w:tcPr>
            <w:tcW w:w="1559" w:type="dxa"/>
            <w:vAlign w:val="center"/>
          </w:tcPr>
          <w:p>
            <w:pPr>
              <w:pStyle w:val="13"/>
            </w:pPr>
            <w:r>
              <w:t>其他自然灾害救灾及恢复重建支出</w:t>
            </w:r>
          </w:p>
        </w:tc>
        <w:tc>
          <w:tcPr>
            <w:tcW w:w="1134" w:type="dxa"/>
            <w:vAlign w:val="center"/>
          </w:tcPr>
          <w:p>
            <w:pPr>
              <w:pStyle w:val="12"/>
            </w:pPr>
            <w:r>
              <w:t>620.50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620.50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4464.32</w:t>
            </w:r>
          </w:p>
        </w:tc>
        <w:tc>
          <w:tcPr>
            <w:tcW w:w="1361" w:type="dxa"/>
            <w:vAlign w:val="center"/>
          </w:tcPr>
          <w:p>
            <w:pPr>
              <w:pStyle w:val="16"/>
            </w:pPr>
            <w:r>
              <w:t>2248.67</w:t>
            </w:r>
          </w:p>
        </w:tc>
        <w:tc>
          <w:tcPr>
            <w:tcW w:w="1361" w:type="dxa"/>
            <w:vAlign w:val="center"/>
          </w:tcPr>
          <w:p>
            <w:pPr>
              <w:pStyle w:val="16"/>
            </w:pPr>
            <w:r>
              <w:t>2215.65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366.12</w:t>
            </w:r>
          </w:p>
        </w:tc>
        <w:tc>
          <w:tcPr>
            <w:tcW w:w="1361" w:type="dxa"/>
            <w:vAlign w:val="center"/>
          </w:tcPr>
          <w:p>
            <w:pPr>
              <w:pStyle w:val="12"/>
            </w:pPr>
            <w:r>
              <w:t>366.12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366.12</w:t>
            </w:r>
          </w:p>
        </w:tc>
        <w:tc>
          <w:tcPr>
            <w:tcW w:w="1361" w:type="dxa"/>
            <w:vAlign w:val="center"/>
          </w:tcPr>
          <w:p>
            <w:pPr>
              <w:pStyle w:val="12"/>
            </w:pPr>
            <w:r>
              <w:t>366.12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55.60</w:t>
            </w:r>
          </w:p>
        </w:tc>
        <w:tc>
          <w:tcPr>
            <w:tcW w:w="1361" w:type="dxa"/>
            <w:vAlign w:val="center"/>
          </w:tcPr>
          <w:p>
            <w:pPr>
              <w:pStyle w:val="12"/>
            </w:pPr>
            <w:r>
              <w:t>55.60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129.96</w:t>
            </w:r>
          </w:p>
        </w:tc>
        <w:tc>
          <w:tcPr>
            <w:tcW w:w="1361" w:type="dxa"/>
            <w:vAlign w:val="center"/>
          </w:tcPr>
          <w:p>
            <w:pPr>
              <w:pStyle w:val="12"/>
            </w:pPr>
            <w:r>
              <w:t>129.96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180.56</w:t>
            </w:r>
          </w:p>
        </w:tc>
        <w:tc>
          <w:tcPr>
            <w:tcW w:w="1361" w:type="dxa"/>
            <w:vAlign w:val="center"/>
          </w:tcPr>
          <w:p>
            <w:pPr>
              <w:pStyle w:val="12"/>
            </w:pPr>
            <w:r>
              <w:t>180.56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62.24</w:t>
            </w:r>
          </w:p>
        </w:tc>
        <w:tc>
          <w:tcPr>
            <w:tcW w:w="1361" w:type="dxa"/>
            <w:vAlign w:val="center"/>
          </w:tcPr>
          <w:p>
            <w:pPr>
              <w:pStyle w:val="12"/>
            </w:pPr>
            <w:r>
              <w:t>62.24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62.24</w:t>
            </w:r>
          </w:p>
        </w:tc>
        <w:tc>
          <w:tcPr>
            <w:tcW w:w="1361" w:type="dxa"/>
            <w:vAlign w:val="center"/>
          </w:tcPr>
          <w:p>
            <w:pPr>
              <w:pStyle w:val="12"/>
            </w:pPr>
            <w:r>
              <w:t>62.24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62.24</w:t>
            </w:r>
          </w:p>
        </w:tc>
        <w:tc>
          <w:tcPr>
            <w:tcW w:w="1361" w:type="dxa"/>
            <w:vAlign w:val="center"/>
          </w:tcPr>
          <w:p>
            <w:pPr>
              <w:pStyle w:val="12"/>
            </w:pPr>
            <w:r>
              <w:t>62.24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3103.49</w:t>
            </w:r>
          </w:p>
        </w:tc>
        <w:tc>
          <w:tcPr>
            <w:tcW w:w="1361" w:type="dxa"/>
            <w:vAlign w:val="center"/>
          </w:tcPr>
          <w:p>
            <w:pPr>
              <w:pStyle w:val="12"/>
            </w:pPr>
            <w:r>
              <w:t>1671.50</w:t>
            </w:r>
          </w:p>
        </w:tc>
        <w:tc>
          <w:tcPr>
            <w:tcW w:w="1361" w:type="dxa"/>
            <w:vAlign w:val="center"/>
          </w:tcPr>
          <w:p>
            <w:pPr>
              <w:pStyle w:val="12"/>
            </w:pPr>
            <w:r>
              <w:t>1431.99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2838.05</w:t>
            </w:r>
          </w:p>
        </w:tc>
        <w:tc>
          <w:tcPr>
            <w:tcW w:w="1361" w:type="dxa"/>
            <w:vAlign w:val="center"/>
          </w:tcPr>
          <w:p>
            <w:pPr>
              <w:pStyle w:val="12"/>
            </w:pPr>
            <w:r>
              <w:t>1671.50</w:t>
            </w:r>
          </w:p>
        </w:tc>
        <w:tc>
          <w:tcPr>
            <w:tcW w:w="1361" w:type="dxa"/>
            <w:vAlign w:val="center"/>
          </w:tcPr>
          <w:p>
            <w:pPr>
              <w:pStyle w:val="12"/>
            </w:pPr>
            <w:r>
              <w:t>1166.55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2140101</w:t>
            </w:r>
          </w:p>
        </w:tc>
        <w:tc>
          <w:tcPr>
            <w:tcW w:w="4535" w:type="dxa"/>
            <w:vAlign w:val="center"/>
          </w:tcPr>
          <w:p>
            <w:pPr>
              <w:pStyle w:val="13"/>
            </w:pPr>
            <w:r>
              <w:t>行政运行</w:t>
            </w:r>
          </w:p>
        </w:tc>
        <w:tc>
          <w:tcPr>
            <w:tcW w:w="1361" w:type="dxa"/>
            <w:vAlign w:val="center"/>
          </w:tcPr>
          <w:p>
            <w:pPr>
              <w:pStyle w:val="12"/>
            </w:pPr>
            <w:r>
              <w:t>392.09</w:t>
            </w:r>
          </w:p>
        </w:tc>
        <w:tc>
          <w:tcPr>
            <w:tcW w:w="1361" w:type="dxa"/>
            <w:vAlign w:val="center"/>
          </w:tcPr>
          <w:p>
            <w:pPr>
              <w:pStyle w:val="12"/>
            </w:pPr>
            <w:r>
              <w:t>392.09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2140102</w:t>
            </w:r>
          </w:p>
        </w:tc>
        <w:tc>
          <w:tcPr>
            <w:tcW w:w="4535" w:type="dxa"/>
            <w:vAlign w:val="center"/>
          </w:tcPr>
          <w:p>
            <w:pPr>
              <w:pStyle w:val="13"/>
            </w:pPr>
            <w:r>
              <w:t>一般行政管理事务</w:t>
            </w:r>
          </w:p>
        </w:tc>
        <w:tc>
          <w:tcPr>
            <w:tcW w:w="1361" w:type="dxa"/>
            <w:vAlign w:val="center"/>
          </w:tcPr>
          <w:p>
            <w:pPr>
              <w:pStyle w:val="12"/>
            </w:pPr>
            <w:r>
              <w:t>14.55</w:t>
            </w:r>
          </w:p>
        </w:tc>
        <w:tc>
          <w:tcPr>
            <w:tcW w:w="1361" w:type="dxa"/>
            <w:vAlign w:val="center"/>
          </w:tcPr>
          <w:p>
            <w:pPr>
              <w:pStyle w:val="12"/>
            </w:pPr>
          </w:p>
        </w:tc>
        <w:tc>
          <w:tcPr>
            <w:tcW w:w="1361" w:type="dxa"/>
            <w:vAlign w:val="center"/>
          </w:tcPr>
          <w:p>
            <w:pPr>
              <w:pStyle w:val="12"/>
            </w:pPr>
            <w:r>
              <w:t>14.55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1152.00</w:t>
            </w:r>
          </w:p>
        </w:tc>
        <w:tc>
          <w:tcPr>
            <w:tcW w:w="1361" w:type="dxa"/>
            <w:vAlign w:val="center"/>
          </w:tcPr>
          <w:p>
            <w:pPr>
              <w:pStyle w:val="12"/>
            </w:pPr>
          </w:p>
        </w:tc>
        <w:tc>
          <w:tcPr>
            <w:tcW w:w="1361" w:type="dxa"/>
            <w:vAlign w:val="center"/>
          </w:tcPr>
          <w:p>
            <w:pPr>
              <w:pStyle w:val="12"/>
            </w:pPr>
            <w:r>
              <w:t>1152.00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2140199</w:t>
            </w:r>
          </w:p>
        </w:tc>
        <w:tc>
          <w:tcPr>
            <w:tcW w:w="4535" w:type="dxa"/>
            <w:vAlign w:val="center"/>
          </w:tcPr>
          <w:p>
            <w:pPr>
              <w:pStyle w:val="13"/>
            </w:pPr>
            <w:r>
              <w:t>其他公路水路运输支出</w:t>
            </w:r>
          </w:p>
        </w:tc>
        <w:tc>
          <w:tcPr>
            <w:tcW w:w="1361" w:type="dxa"/>
            <w:vAlign w:val="center"/>
          </w:tcPr>
          <w:p>
            <w:pPr>
              <w:pStyle w:val="12"/>
            </w:pPr>
            <w:r>
              <w:t>1279.41</w:t>
            </w:r>
          </w:p>
        </w:tc>
        <w:tc>
          <w:tcPr>
            <w:tcW w:w="1361" w:type="dxa"/>
            <w:vAlign w:val="center"/>
          </w:tcPr>
          <w:p>
            <w:pPr>
              <w:pStyle w:val="12"/>
            </w:pPr>
            <w:r>
              <w:t>1279.41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21499</w:t>
            </w:r>
          </w:p>
        </w:tc>
        <w:tc>
          <w:tcPr>
            <w:tcW w:w="4535" w:type="dxa"/>
            <w:vAlign w:val="center"/>
          </w:tcPr>
          <w:p>
            <w:pPr>
              <w:pStyle w:val="13"/>
            </w:pPr>
            <w:r>
              <w:t>其他交通运输支出</w:t>
            </w:r>
          </w:p>
        </w:tc>
        <w:tc>
          <w:tcPr>
            <w:tcW w:w="1361" w:type="dxa"/>
            <w:vAlign w:val="center"/>
          </w:tcPr>
          <w:p>
            <w:pPr>
              <w:pStyle w:val="12"/>
            </w:pPr>
            <w:r>
              <w:t>265.44</w:t>
            </w:r>
          </w:p>
        </w:tc>
        <w:tc>
          <w:tcPr>
            <w:tcW w:w="1361" w:type="dxa"/>
            <w:vAlign w:val="center"/>
          </w:tcPr>
          <w:p>
            <w:pPr>
              <w:pStyle w:val="12"/>
            </w:pPr>
          </w:p>
        </w:tc>
        <w:tc>
          <w:tcPr>
            <w:tcW w:w="1361" w:type="dxa"/>
            <w:vAlign w:val="center"/>
          </w:tcPr>
          <w:p>
            <w:pPr>
              <w:pStyle w:val="12"/>
            </w:pPr>
            <w:r>
              <w:t>265.44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2149901</w:t>
            </w:r>
          </w:p>
        </w:tc>
        <w:tc>
          <w:tcPr>
            <w:tcW w:w="4535" w:type="dxa"/>
            <w:vAlign w:val="center"/>
          </w:tcPr>
          <w:p>
            <w:pPr>
              <w:pStyle w:val="13"/>
            </w:pPr>
            <w:r>
              <w:t>公共交通运营补助</w:t>
            </w:r>
          </w:p>
        </w:tc>
        <w:tc>
          <w:tcPr>
            <w:tcW w:w="1361" w:type="dxa"/>
            <w:vAlign w:val="center"/>
          </w:tcPr>
          <w:p>
            <w:pPr>
              <w:pStyle w:val="12"/>
            </w:pPr>
            <w:r>
              <w:t>265.44</w:t>
            </w:r>
          </w:p>
        </w:tc>
        <w:tc>
          <w:tcPr>
            <w:tcW w:w="1361" w:type="dxa"/>
            <w:vAlign w:val="center"/>
          </w:tcPr>
          <w:p>
            <w:pPr>
              <w:pStyle w:val="12"/>
            </w:pPr>
          </w:p>
        </w:tc>
        <w:tc>
          <w:tcPr>
            <w:tcW w:w="1361" w:type="dxa"/>
            <w:vAlign w:val="center"/>
          </w:tcPr>
          <w:p>
            <w:pPr>
              <w:pStyle w:val="12"/>
            </w:pPr>
            <w:r>
              <w:t>265.44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148.81</w:t>
            </w:r>
          </w:p>
        </w:tc>
        <w:tc>
          <w:tcPr>
            <w:tcW w:w="1361" w:type="dxa"/>
            <w:vAlign w:val="center"/>
          </w:tcPr>
          <w:p>
            <w:pPr>
              <w:pStyle w:val="12"/>
            </w:pPr>
            <w:r>
              <w:t>148.81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148.81</w:t>
            </w:r>
          </w:p>
        </w:tc>
        <w:tc>
          <w:tcPr>
            <w:tcW w:w="1361" w:type="dxa"/>
            <w:vAlign w:val="center"/>
          </w:tcPr>
          <w:p>
            <w:pPr>
              <w:pStyle w:val="12"/>
            </w:pPr>
            <w:r>
              <w:t>148.81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148.81</w:t>
            </w:r>
          </w:p>
        </w:tc>
        <w:tc>
          <w:tcPr>
            <w:tcW w:w="1361" w:type="dxa"/>
            <w:vAlign w:val="center"/>
          </w:tcPr>
          <w:p>
            <w:pPr>
              <w:pStyle w:val="12"/>
            </w:pPr>
            <w:r>
              <w:t>148.81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783.66</w:t>
            </w:r>
          </w:p>
        </w:tc>
        <w:tc>
          <w:tcPr>
            <w:tcW w:w="1361" w:type="dxa"/>
            <w:vAlign w:val="center"/>
          </w:tcPr>
          <w:p>
            <w:pPr>
              <w:pStyle w:val="12"/>
            </w:pPr>
          </w:p>
        </w:tc>
        <w:tc>
          <w:tcPr>
            <w:tcW w:w="1361" w:type="dxa"/>
            <w:vAlign w:val="center"/>
          </w:tcPr>
          <w:p>
            <w:pPr>
              <w:pStyle w:val="12"/>
            </w:pPr>
            <w:r>
              <w:t>783.66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783.66</w:t>
            </w:r>
          </w:p>
        </w:tc>
        <w:tc>
          <w:tcPr>
            <w:tcW w:w="1361" w:type="dxa"/>
            <w:vAlign w:val="center"/>
          </w:tcPr>
          <w:p>
            <w:pPr>
              <w:pStyle w:val="12"/>
            </w:pPr>
          </w:p>
        </w:tc>
        <w:tc>
          <w:tcPr>
            <w:tcW w:w="1361" w:type="dxa"/>
            <w:vAlign w:val="center"/>
          </w:tcPr>
          <w:p>
            <w:pPr>
              <w:pStyle w:val="12"/>
            </w:pPr>
            <w:r>
              <w:t>783.66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2240704</w:t>
            </w:r>
          </w:p>
        </w:tc>
        <w:tc>
          <w:tcPr>
            <w:tcW w:w="4535" w:type="dxa"/>
            <w:vAlign w:val="center"/>
          </w:tcPr>
          <w:p>
            <w:pPr>
              <w:pStyle w:val="13"/>
            </w:pPr>
            <w:r>
              <w:t>自然灾害灾后重建补助</w:t>
            </w:r>
          </w:p>
        </w:tc>
        <w:tc>
          <w:tcPr>
            <w:tcW w:w="1361" w:type="dxa"/>
            <w:vAlign w:val="center"/>
          </w:tcPr>
          <w:p>
            <w:pPr>
              <w:pStyle w:val="12"/>
            </w:pPr>
            <w:r>
              <w:t>163.16</w:t>
            </w:r>
          </w:p>
        </w:tc>
        <w:tc>
          <w:tcPr>
            <w:tcW w:w="1361" w:type="dxa"/>
            <w:vAlign w:val="center"/>
          </w:tcPr>
          <w:p>
            <w:pPr>
              <w:pStyle w:val="12"/>
            </w:pPr>
          </w:p>
        </w:tc>
        <w:tc>
          <w:tcPr>
            <w:tcW w:w="1361" w:type="dxa"/>
            <w:vAlign w:val="center"/>
          </w:tcPr>
          <w:p>
            <w:pPr>
              <w:pStyle w:val="12"/>
            </w:pPr>
            <w:r>
              <w:t>163.16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2240799</w:t>
            </w:r>
          </w:p>
        </w:tc>
        <w:tc>
          <w:tcPr>
            <w:tcW w:w="4535" w:type="dxa"/>
            <w:vAlign w:val="center"/>
          </w:tcPr>
          <w:p>
            <w:pPr>
              <w:pStyle w:val="13"/>
            </w:pPr>
            <w:r>
              <w:t>其他自然灾害救灾及恢复重建支出</w:t>
            </w:r>
          </w:p>
        </w:tc>
        <w:tc>
          <w:tcPr>
            <w:tcW w:w="1361" w:type="dxa"/>
            <w:vAlign w:val="center"/>
          </w:tcPr>
          <w:p>
            <w:pPr>
              <w:pStyle w:val="12"/>
            </w:pPr>
            <w:r>
              <w:t>620.50</w:t>
            </w:r>
          </w:p>
        </w:tc>
        <w:tc>
          <w:tcPr>
            <w:tcW w:w="1361" w:type="dxa"/>
            <w:vAlign w:val="center"/>
          </w:tcPr>
          <w:p>
            <w:pPr>
              <w:pStyle w:val="12"/>
            </w:pPr>
          </w:p>
        </w:tc>
        <w:tc>
          <w:tcPr>
            <w:tcW w:w="1361" w:type="dxa"/>
            <w:vAlign w:val="center"/>
          </w:tcPr>
          <w:p>
            <w:pPr>
              <w:pStyle w:val="12"/>
            </w:pPr>
            <w:r>
              <w:t>620.50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3098.22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366.12</w:t>
            </w:r>
          </w:p>
        </w:tc>
        <w:tc>
          <w:tcPr>
            <w:tcW w:w="1474" w:type="dxa"/>
            <w:vAlign w:val="center"/>
          </w:tcPr>
          <w:p>
            <w:pPr>
              <w:pStyle w:val="12"/>
            </w:pPr>
            <w:r>
              <w:t>366.12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62.24</w:t>
            </w:r>
          </w:p>
        </w:tc>
        <w:tc>
          <w:tcPr>
            <w:tcW w:w="1474" w:type="dxa"/>
            <w:vAlign w:val="center"/>
          </w:tcPr>
          <w:p>
            <w:pPr>
              <w:pStyle w:val="12"/>
            </w:pPr>
            <w:r>
              <w:t>62.24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3103.49</w:t>
            </w:r>
          </w:p>
        </w:tc>
        <w:tc>
          <w:tcPr>
            <w:tcW w:w="1474" w:type="dxa"/>
            <w:vAlign w:val="center"/>
          </w:tcPr>
          <w:p>
            <w:pPr>
              <w:pStyle w:val="12"/>
            </w:pPr>
            <w:r>
              <w:t>3103.49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148.81</w:t>
            </w:r>
          </w:p>
        </w:tc>
        <w:tc>
          <w:tcPr>
            <w:tcW w:w="1474" w:type="dxa"/>
            <w:vAlign w:val="center"/>
          </w:tcPr>
          <w:p>
            <w:pPr>
              <w:pStyle w:val="12"/>
            </w:pPr>
            <w:r>
              <w:t>148.81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783.66</w:t>
            </w:r>
          </w:p>
        </w:tc>
        <w:tc>
          <w:tcPr>
            <w:tcW w:w="1474" w:type="dxa"/>
            <w:vAlign w:val="center"/>
          </w:tcPr>
          <w:p>
            <w:pPr>
              <w:pStyle w:val="12"/>
            </w:pPr>
            <w:r>
              <w:t>783.66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3098.22</w:t>
            </w:r>
          </w:p>
        </w:tc>
        <w:tc>
          <w:tcPr>
            <w:tcW w:w="3402" w:type="dxa"/>
            <w:vAlign w:val="center"/>
          </w:tcPr>
          <w:p>
            <w:pPr>
              <w:pStyle w:val="15"/>
            </w:pPr>
            <w:r>
              <w:t>本年支出合计</w:t>
            </w:r>
          </w:p>
        </w:tc>
        <w:tc>
          <w:tcPr>
            <w:tcW w:w="1474" w:type="dxa"/>
            <w:vAlign w:val="center"/>
          </w:tcPr>
          <w:p>
            <w:pPr>
              <w:pStyle w:val="16"/>
            </w:pPr>
            <w:r>
              <w:t>4464.32</w:t>
            </w:r>
          </w:p>
        </w:tc>
        <w:tc>
          <w:tcPr>
            <w:tcW w:w="1474" w:type="dxa"/>
            <w:vAlign w:val="center"/>
          </w:tcPr>
          <w:p>
            <w:pPr>
              <w:pStyle w:val="16"/>
            </w:pPr>
            <w:r>
              <w:t>4464.32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1366.10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1366.10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4464.32</w:t>
            </w:r>
          </w:p>
        </w:tc>
        <w:tc>
          <w:tcPr>
            <w:tcW w:w="3402" w:type="dxa"/>
            <w:vAlign w:val="center"/>
          </w:tcPr>
          <w:p>
            <w:pPr>
              <w:pStyle w:val="15"/>
            </w:pPr>
            <w:r>
              <w:t>支出总计</w:t>
            </w:r>
          </w:p>
        </w:tc>
        <w:tc>
          <w:tcPr>
            <w:tcW w:w="1474" w:type="dxa"/>
            <w:vAlign w:val="center"/>
          </w:tcPr>
          <w:p>
            <w:pPr>
              <w:pStyle w:val="16"/>
            </w:pPr>
            <w:r>
              <w:t>4464.32</w:t>
            </w:r>
          </w:p>
        </w:tc>
        <w:tc>
          <w:tcPr>
            <w:tcW w:w="1474" w:type="dxa"/>
            <w:vAlign w:val="center"/>
          </w:tcPr>
          <w:p>
            <w:pPr>
              <w:pStyle w:val="16"/>
            </w:pPr>
            <w:r>
              <w:t>4464.32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4464.32</w:t>
            </w:r>
          </w:p>
        </w:tc>
        <w:tc>
          <w:tcPr>
            <w:tcW w:w="2551" w:type="dxa"/>
            <w:vAlign w:val="center"/>
          </w:tcPr>
          <w:p>
            <w:pPr>
              <w:pStyle w:val="16"/>
            </w:pPr>
            <w:r>
              <w:t>2248.67</w:t>
            </w:r>
          </w:p>
        </w:tc>
        <w:tc>
          <w:tcPr>
            <w:tcW w:w="2551" w:type="dxa"/>
            <w:vAlign w:val="center"/>
          </w:tcPr>
          <w:p>
            <w:pPr>
              <w:pStyle w:val="16"/>
            </w:pPr>
            <w:r>
              <w:t>2215.65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366.12</w:t>
            </w:r>
          </w:p>
        </w:tc>
        <w:tc>
          <w:tcPr>
            <w:tcW w:w="2551" w:type="dxa"/>
            <w:vAlign w:val="center"/>
          </w:tcPr>
          <w:p>
            <w:pPr>
              <w:pStyle w:val="12"/>
            </w:pPr>
            <w:r>
              <w:t>366.12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366.12</w:t>
            </w:r>
          </w:p>
        </w:tc>
        <w:tc>
          <w:tcPr>
            <w:tcW w:w="2551" w:type="dxa"/>
            <w:vAlign w:val="center"/>
          </w:tcPr>
          <w:p>
            <w:pPr>
              <w:pStyle w:val="12"/>
            </w:pPr>
            <w:r>
              <w:t>366.12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55.60</w:t>
            </w:r>
          </w:p>
        </w:tc>
        <w:tc>
          <w:tcPr>
            <w:tcW w:w="2551" w:type="dxa"/>
            <w:vAlign w:val="center"/>
          </w:tcPr>
          <w:p>
            <w:pPr>
              <w:pStyle w:val="12"/>
            </w:pPr>
            <w:r>
              <w:t>55.60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129.96</w:t>
            </w:r>
          </w:p>
        </w:tc>
        <w:tc>
          <w:tcPr>
            <w:tcW w:w="2551" w:type="dxa"/>
            <w:vAlign w:val="center"/>
          </w:tcPr>
          <w:p>
            <w:pPr>
              <w:pStyle w:val="12"/>
            </w:pPr>
            <w:r>
              <w:t>129.96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180.56</w:t>
            </w:r>
          </w:p>
        </w:tc>
        <w:tc>
          <w:tcPr>
            <w:tcW w:w="2551" w:type="dxa"/>
            <w:vAlign w:val="center"/>
          </w:tcPr>
          <w:p>
            <w:pPr>
              <w:pStyle w:val="12"/>
            </w:pPr>
            <w:r>
              <w:t>180.56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62.24</w:t>
            </w:r>
          </w:p>
        </w:tc>
        <w:tc>
          <w:tcPr>
            <w:tcW w:w="2551" w:type="dxa"/>
            <w:vAlign w:val="center"/>
          </w:tcPr>
          <w:p>
            <w:pPr>
              <w:pStyle w:val="12"/>
            </w:pPr>
            <w:r>
              <w:t>62.24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62.24</w:t>
            </w:r>
          </w:p>
        </w:tc>
        <w:tc>
          <w:tcPr>
            <w:tcW w:w="2551" w:type="dxa"/>
            <w:vAlign w:val="center"/>
          </w:tcPr>
          <w:p>
            <w:pPr>
              <w:pStyle w:val="12"/>
            </w:pPr>
            <w:r>
              <w:t>62.24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62.24</w:t>
            </w:r>
          </w:p>
        </w:tc>
        <w:tc>
          <w:tcPr>
            <w:tcW w:w="2551" w:type="dxa"/>
            <w:vAlign w:val="center"/>
          </w:tcPr>
          <w:p>
            <w:pPr>
              <w:pStyle w:val="12"/>
            </w:pPr>
            <w:r>
              <w:t>62.24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3103.49</w:t>
            </w:r>
          </w:p>
        </w:tc>
        <w:tc>
          <w:tcPr>
            <w:tcW w:w="2551" w:type="dxa"/>
            <w:vAlign w:val="center"/>
          </w:tcPr>
          <w:p>
            <w:pPr>
              <w:pStyle w:val="12"/>
            </w:pPr>
            <w:r>
              <w:t>1671.50</w:t>
            </w:r>
          </w:p>
        </w:tc>
        <w:tc>
          <w:tcPr>
            <w:tcW w:w="2551" w:type="dxa"/>
            <w:vAlign w:val="center"/>
          </w:tcPr>
          <w:p>
            <w:pPr>
              <w:pStyle w:val="12"/>
            </w:pPr>
            <w:r>
              <w:t>1431.99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2838.05</w:t>
            </w:r>
          </w:p>
        </w:tc>
        <w:tc>
          <w:tcPr>
            <w:tcW w:w="2551" w:type="dxa"/>
            <w:vAlign w:val="center"/>
          </w:tcPr>
          <w:p>
            <w:pPr>
              <w:pStyle w:val="12"/>
            </w:pPr>
            <w:r>
              <w:t>1671.50</w:t>
            </w:r>
          </w:p>
        </w:tc>
        <w:tc>
          <w:tcPr>
            <w:tcW w:w="2551" w:type="dxa"/>
            <w:vAlign w:val="center"/>
          </w:tcPr>
          <w:p>
            <w:pPr>
              <w:pStyle w:val="12"/>
            </w:pPr>
            <w:r>
              <w:t>1166.55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2140101</w:t>
            </w:r>
          </w:p>
        </w:tc>
        <w:tc>
          <w:tcPr>
            <w:tcW w:w="4535" w:type="dxa"/>
            <w:vAlign w:val="center"/>
          </w:tcPr>
          <w:p>
            <w:pPr>
              <w:pStyle w:val="13"/>
            </w:pPr>
            <w:r>
              <w:t>行政运行</w:t>
            </w:r>
          </w:p>
        </w:tc>
        <w:tc>
          <w:tcPr>
            <w:tcW w:w="2551" w:type="dxa"/>
            <w:vAlign w:val="center"/>
          </w:tcPr>
          <w:p>
            <w:pPr>
              <w:pStyle w:val="12"/>
            </w:pPr>
            <w:r>
              <w:t>392.09</w:t>
            </w:r>
          </w:p>
        </w:tc>
        <w:tc>
          <w:tcPr>
            <w:tcW w:w="2551" w:type="dxa"/>
            <w:vAlign w:val="center"/>
          </w:tcPr>
          <w:p>
            <w:pPr>
              <w:pStyle w:val="12"/>
            </w:pPr>
            <w:r>
              <w:t>392.09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2140102</w:t>
            </w:r>
          </w:p>
        </w:tc>
        <w:tc>
          <w:tcPr>
            <w:tcW w:w="4535" w:type="dxa"/>
            <w:vAlign w:val="center"/>
          </w:tcPr>
          <w:p>
            <w:pPr>
              <w:pStyle w:val="13"/>
            </w:pPr>
            <w:r>
              <w:t>一般行政管理事务</w:t>
            </w:r>
          </w:p>
        </w:tc>
        <w:tc>
          <w:tcPr>
            <w:tcW w:w="2551" w:type="dxa"/>
            <w:vAlign w:val="center"/>
          </w:tcPr>
          <w:p>
            <w:pPr>
              <w:pStyle w:val="12"/>
            </w:pPr>
            <w:r>
              <w:t>14.55</w:t>
            </w:r>
          </w:p>
        </w:tc>
        <w:tc>
          <w:tcPr>
            <w:tcW w:w="2551" w:type="dxa"/>
            <w:vAlign w:val="center"/>
          </w:tcPr>
          <w:p>
            <w:pPr>
              <w:pStyle w:val="12"/>
            </w:pPr>
          </w:p>
        </w:tc>
        <w:tc>
          <w:tcPr>
            <w:tcW w:w="2551" w:type="dxa"/>
            <w:vAlign w:val="center"/>
          </w:tcPr>
          <w:p>
            <w:pPr>
              <w:pStyle w:val="12"/>
            </w:pPr>
            <w:r>
              <w:t>14.55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1152.00</w:t>
            </w:r>
          </w:p>
        </w:tc>
        <w:tc>
          <w:tcPr>
            <w:tcW w:w="2551" w:type="dxa"/>
            <w:vAlign w:val="center"/>
          </w:tcPr>
          <w:p>
            <w:pPr>
              <w:pStyle w:val="12"/>
            </w:pPr>
          </w:p>
        </w:tc>
        <w:tc>
          <w:tcPr>
            <w:tcW w:w="2551" w:type="dxa"/>
            <w:vAlign w:val="center"/>
          </w:tcPr>
          <w:p>
            <w:pPr>
              <w:pStyle w:val="12"/>
            </w:pPr>
            <w:r>
              <w:t>1152.00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2140199</w:t>
            </w:r>
          </w:p>
        </w:tc>
        <w:tc>
          <w:tcPr>
            <w:tcW w:w="4535" w:type="dxa"/>
            <w:vAlign w:val="center"/>
          </w:tcPr>
          <w:p>
            <w:pPr>
              <w:pStyle w:val="13"/>
            </w:pPr>
            <w:r>
              <w:t>其他公路水路运输支出</w:t>
            </w:r>
          </w:p>
        </w:tc>
        <w:tc>
          <w:tcPr>
            <w:tcW w:w="2551" w:type="dxa"/>
            <w:vAlign w:val="center"/>
          </w:tcPr>
          <w:p>
            <w:pPr>
              <w:pStyle w:val="12"/>
            </w:pPr>
            <w:r>
              <w:t>1279.41</w:t>
            </w:r>
          </w:p>
        </w:tc>
        <w:tc>
          <w:tcPr>
            <w:tcW w:w="2551" w:type="dxa"/>
            <w:vAlign w:val="center"/>
          </w:tcPr>
          <w:p>
            <w:pPr>
              <w:pStyle w:val="12"/>
            </w:pPr>
            <w:r>
              <w:t>1279.41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21499</w:t>
            </w:r>
          </w:p>
        </w:tc>
        <w:tc>
          <w:tcPr>
            <w:tcW w:w="4535" w:type="dxa"/>
            <w:vAlign w:val="center"/>
          </w:tcPr>
          <w:p>
            <w:pPr>
              <w:pStyle w:val="13"/>
            </w:pPr>
            <w:r>
              <w:t>其他交通运输支出</w:t>
            </w:r>
          </w:p>
        </w:tc>
        <w:tc>
          <w:tcPr>
            <w:tcW w:w="2551" w:type="dxa"/>
            <w:vAlign w:val="center"/>
          </w:tcPr>
          <w:p>
            <w:pPr>
              <w:pStyle w:val="12"/>
            </w:pPr>
            <w:r>
              <w:t>265.44</w:t>
            </w:r>
          </w:p>
        </w:tc>
        <w:tc>
          <w:tcPr>
            <w:tcW w:w="2551" w:type="dxa"/>
            <w:vAlign w:val="center"/>
          </w:tcPr>
          <w:p>
            <w:pPr>
              <w:pStyle w:val="12"/>
            </w:pPr>
          </w:p>
        </w:tc>
        <w:tc>
          <w:tcPr>
            <w:tcW w:w="2551" w:type="dxa"/>
            <w:vAlign w:val="center"/>
          </w:tcPr>
          <w:p>
            <w:pPr>
              <w:pStyle w:val="12"/>
            </w:pPr>
            <w:r>
              <w:t>265.44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2149901</w:t>
            </w:r>
          </w:p>
        </w:tc>
        <w:tc>
          <w:tcPr>
            <w:tcW w:w="4535" w:type="dxa"/>
            <w:vAlign w:val="center"/>
          </w:tcPr>
          <w:p>
            <w:pPr>
              <w:pStyle w:val="13"/>
            </w:pPr>
            <w:r>
              <w:t>公共交通运营补助</w:t>
            </w:r>
          </w:p>
        </w:tc>
        <w:tc>
          <w:tcPr>
            <w:tcW w:w="2551" w:type="dxa"/>
            <w:vAlign w:val="center"/>
          </w:tcPr>
          <w:p>
            <w:pPr>
              <w:pStyle w:val="12"/>
            </w:pPr>
            <w:r>
              <w:t>265.44</w:t>
            </w:r>
          </w:p>
        </w:tc>
        <w:tc>
          <w:tcPr>
            <w:tcW w:w="2551" w:type="dxa"/>
            <w:vAlign w:val="center"/>
          </w:tcPr>
          <w:p>
            <w:pPr>
              <w:pStyle w:val="12"/>
            </w:pPr>
          </w:p>
        </w:tc>
        <w:tc>
          <w:tcPr>
            <w:tcW w:w="2551" w:type="dxa"/>
            <w:vAlign w:val="center"/>
          </w:tcPr>
          <w:p>
            <w:pPr>
              <w:pStyle w:val="12"/>
            </w:pPr>
            <w:r>
              <w:t>265.44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148.81</w:t>
            </w:r>
          </w:p>
        </w:tc>
        <w:tc>
          <w:tcPr>
            <w:tcW w:w="2551" w:type="dxa"/>
            <w:vAlign w:val="center"/>
          </w:tcPr>
          <w:p>
            <w:pPr>
              <w:pStyle w:val="12"/>
            </w:pPr>
            <w:r>
              <w:t>148.81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148.81</w:t>
            </w:r>
          </w:p>
        </w:tc>
        <w:tc>
          <w:tcPr>
            <w:tcW w:w="2551" w:type="dxa"/>
            <w:vAlign w:val="center"/>
          </w:tcPr>
          <w:p>
            <w:pPr>
              <w:pStyle w:val="12"/>
            </w:pPr>
            <w:r>
              <w:t>148.81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148.81</w:t>
            </w:r>
          </w:p>
        </w:tc>
        <w:tc>
          <w:tcPr>
            <w:tcW w:w="2551" w:type="dxa"/>
            <w:vAlign w:val="center"/>
          </w:tcPr>
          <w:p>
            <w:pPr>
              <w:pStyle w:val="12"/>
            </w:pPr>
            <w:r>
              <w:t>148.81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783.66</w:t>
            </w:r>
          </w:p>
        </w:tc>
        <w:tc>
          <w:tcPr>
            <w:tcW w:w="2551" w:type="dxa"/>
            <w:vAlign w:val="center"/>
          </w:tcPr>
          <w:p>
            <w:pPr>
              <w:pStyle w:val="12"/>
            </w:pPr>
          </w:p>
        </w:tc>
        <w:tc>
          <w:tcPr>
            <w:tcW w:w="2551" w:type="dxa"/>
            <w:vAlign w:val="center"/>
          </w:tcPr>
          <w:p>
            <w:pPr>
              <w:pStyle w:val="12"/>
            </w:pPr>
            <w:r>
              <w:t>783.66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783.66</w:t>
            </w:r>
          </w:p>
        </w:tc>
        <w:tc>
          <w:tcPr>
            <w:tcW w:w="2551" w:type="dxa"/>
            <w:vAlign w:val="center"/>
          </w:tcPr>
          <w:p>
            <w:pPr>
              <w:pStyle w:val="12"/>
            </w:pPr>
          </w:p>
        </w:tc>
        <w:tc>
          <w:tcPr>
            <w:tcW w:w="2551" w:type="dxa"/>
            <w:vAlign w:val="center"/>
          </w:tcPr>
          <w:p>
            <w:pPr>
              <w:pStyle w:val="12"/>
            </w:pPr>
            <w:r>
              <w:t>783.66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2240704</w:t>
            </w:r>
          </w:p>
        </w:tc>
        <w:tc>
          <w:tcPr>
            <w:tcW w:w="4535" w:type="dxa"/>
            <w:vAlign w:val="center"/>
          </w:tcPr>
          <w:p>
            <w:pPr>
              <w:pStyle w:val="13"/>
            </w:pPr>
            <w:r>
              <w:t>自然灾害灾后重建补助</w:t>
            </w:r>
          </w:p>
        </w:tc>
        <w:tc>
          <w:tcPr>
            <w:tcW w:w="2551" w:type="dxa"/>
            <w:vAlign w:val="center"/>
          </w:tcPr>
          <w:p>
            <w:pPr>
              <w:pStyle w:val="12"/>
            </w:pPr>
            <w:r>
              <w:t>163.16</w:t>
            </w:r>
          </w:p>
        </w:tc>
        <w:tc>
          <w:tcPr>
            <w:tcW w:w="2551" w:type="dxa"/>
            <w:vAlign w:val="center"/>
          </w:tcPr>
          <w:p>
            <w:pPr>
              <w:pStyle w:val="12"/>
            </w:pPr>
          </w:p>
        </w:tc>
        <w:tc>
          <w:tcPr>
            <w:tcW w:w="2551" w:type="dxa"/>
            <w:vAlign w:val="center"/>
          </w:tcPr>
          <w:p>
            <w:pPr>
              <w:pStyle w:val="12"/>
            </w:pPr>
            <w:r>
              <w:t>163.16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2240799</w:t>
            </w:r>
          </w:p>
        </w:tc>
        <w:tc>
          <w:tcPr>
            <w:tcW w:w="4535" w:type="dxa"/>
            <w:vAlign w:val="center"/>
          </w:tcPr>
          <w:p>
            <w:pPr>
              <w:pStyle w:val="13"/>
            </w:pPr>
            <w:r>
              <w:t>其他自然灾害救灾及恢复重建支出</w:t>
            </w:r>
          </w:p>
        </w:tc>
        <w:tc>
          <w:tcPr>
            <w:tcW w:w="2551" w:type="dxa"/>
            <w:vAlign w:val="center"/>
          </w:tcPr>
          <w:p>
            <w:pPr>
              <w:pStyle w:val="12"/>
            </w:pPr>
            <w:r>
              <w:t>620.50</w:t>
            </w:r>
          </w:p>
        </w:tc>
        <w:tc>
          <w:tcPr>
            <w:tcW w:w="2551" w:type="dxa"/>
            <w:vAlign w:val="center"/>
          </w:tcPr>
          <w:p>
            <w:pPr>
              <w:pStyle w:val="12"/>
            </w:pPr>
          </w:p>
        </w:tc>
        <w:tc>
          <w:tcPr>
            <w:tcW w:w="2551" w:type="dxa"/>
            <w:vAlign w:val="center"/>
          </w:tcPr>
          <w:p>
            <w:pPr>
              <w:pStyle w:val="12"/>
            </w:pPr>
            <w:r>
              <w:t>620.50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2248.67</w:t>
            </w:r>
          </w:p>
        </w:tc>
        <w:tc>
          <w:tcPr>
            <w:tcW w:w="2551" w:type="dxa"/>
            <w:vAlign w:val="center"/>
          </w:tcPr>
          <w:p>
            <w:pPr>
              <w:pStyle w:val="16"/>
            </w:pPr>
            <w:r>
              <w:t>2125.44</w:t>
            </w:r>
          </w:p>
        </w:tc>
        <w:tc>
          <w:tcPr>
            <w:tcW w:w="2551" w:type="dxa"/>
            <w:vAlign w:val="center"/>
          </w:tcPr>
          <w:p>
            <w:pPr>
              <w:pStyle w:val="16"/>
            </w:pPr>
            <w:r>
              <w:t>123.23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1939.05</w:t>
            </w:r>
          </w:p>
        </w:tc>
        <w:tc>
          <w:tcPr>
            <w:tcW w:w="2551" w:type="dxa"/>
            <w:vAlign w:val="center"/>
          </w:tcPr>
          <w:p>
            <w:pPr>
              <w:pStyle w:val="12"/>
            </w:pPr>
            <w:r>
              <w:t>1939.05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699.36</w:t>
            </w:r>
          </w:p>
        </w:tc>
        <w:tc>
          <w:tcPr>
            <w:tcW w:w="2551" w:type="dxa"/>
            <w:vAlign w:val="center"/>
          </w:tcPr>
          <w:p>
            <w:pPr>
              <w:pStyle w:val="12"/>
            </w:pPr>
            <w:r>
              <w:t>699.36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122.30</w:t>
            </w:r>
          </w:p>
        </w:tc>
        <w:tc>
          <w:tcPr>
            <w:tcW w:w="2551" w:type="dxa"/>
            <w:vAlign w:val="center"/>
          </w:tcPr>
          <w:p>
            <w:pPr>
              <w:pStyle w:val="12"/>
            </w:pPr>
            <w:r>
              <w:t>122.30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19.58</w:t>
            </w:r>
          </w:p>
        </w:tc>
        <w:tc>
          <w:tcPr>
            <w:tcW w:w="2551" w:type="dxa"/>
            <w:vAlign w:val="center"/>
          </w:tcPr>
          <w:p>
            <w:pPr>
              <w:pStyle w:val="12"/>
            </w:pPr>
            <w:r>
              <w:t>19.58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695.65</w:t>
            </w:r>
          </w:p>
        </w:tc>
        <w:tc>
          <w:tcPr>
            <w:tcW w:w="2551" w:type="dxa"/>
            <w:vAlign w:val="center"/>
          </w:tcPr>
          <w:p>
            <w:pPr>
              <w:pStyle w:val="12"/>
            </w:pPr>
            <w:r>
              <w:t>695.65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180.56</w:t>
            </w:r>
          </w:p>
        </w:tc>
        <w:tc>
          <w:tcPr>
            <w:tcW w:w="2551" w:type="dxa"/>
            <w:vAlign w:val="center"/>
          </w:tcPr>
          <w:p>
            <w:pPr>
              <w:pStyle w:val="12"/>
            </w:pPr>
            <w:r>
              <w:t>180.56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62.24</w:t>
            </w:r>
          </w:p>
        </w:tc>
        <w:tc>
          <w:tcPr>
            <w:tcW w:w="2551" w:type="dxa"/>
            <w:vAlign w:val="center"/>
          </w:tcPr>
          <w:p>
            <w:pPr>
              <w:pStyle w:val="12"/>
            </w:pPr>
            <w:r>
              <w:t>62.24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10.55</w:t>
            </w:r>
          </w:p>
        </w:tc>
        <w:tc>
          <w:tcPr>
            <w:tcW w:w="2551" w:type="dxa"/>
            <w:vAlign w:val="center"/>
          </w:tcPr>
          <w:p>
            <w:pPr>
              <w:pStyle w:val="12"/>
            </w:pPr>
            <w:r>
              <w:t>10.55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148.81</w:t>
            </w:r>
          </w:p>
        </w:tc>
        <w:tc>
          <w:tcPr>
            <w:tcW w:w="2551" w:type="dxa"/>
            <w:vAlign w:val="center"/>
          </w:tcPr>
          <w:p>
            <w:pPr>
              <w:pStyle w:val="12"/>
            </w:pPr>
            <w:r>
              <w:t>148.81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123.23</w:t>
            </w:r>
          </w:p>
        </w:tc>
        <w:tc>
          <w:tcPr>
            <w:tcW w:w="2551" w:type="dxa"/>
            <w:vAlign w:val="center"/>
          </w:tcPr>
          <w:p>
            <w:pPr>
              <w:pStyle w:val="12"/>
            </w:pPr>
          </w:p>
        </w:tc>
        <w:tc>
          <w:tcPr>
            <w:tcW w:w="2551" w:type="dxa"/>
            <w:vAlign w:val="center"/>
          </w:tcPr>
          <w:p>
            <w:pPr>
              <w:pStyle w:val="12"/>
            </w:pPr>
            <w:r>
              <w:t>123.23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40.53</w:t>
            </w:r>
          </w:p>
        </w:tc>
        <w:tc>
          <w:tcPr>
            <w:tcW w:w="2551" w:type="dxa"/>
            <w:vAlign w:val="center"/>
          </w:tcPr>
          <w:p>
            <w:pPr>
              <w:pStyle w:val="12"/>
            </w:pPr>
          </w:p>
        </w:tc>
        <w:tc>
          <w:tcPr>
            <w:tcW w:w="2551" w:type="dxa"/>
            <w:vAlign w:val="center"/>
          </w:tcPr>
          <w:p>
            <w:pPr>
              <w:pStyle w:val="12"/>
            </w:pPr>
            <w:r>
              <w:t>40.53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2.46</w:t>
            </w:r>
          </w:p>
        </w:tc>
        <w:tc>
          <w:tcPr>
            <w:tcW w:w="2551" w:type="dxa"/>
            <w:vAlign w:val="center"/>
          </w:tcPr>
          <w:p>
            <w:pPr>
              <w:pStyle w:val="12"/>
            </w:pPr>
          </w:p>
        </w:tc>
        <w:tc>
          <w:tcPr>
            <w:tcW w:w="2551" w:type="dxa"/>
            <w:vAlign w:val="center"/>
          </w:tcPr>
          <w:p>
            <w:pPr>
              <w:pStyle w:val="12"/>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16.15</w:t>
            </w:r>
          </w:p>
        </w:tc>
        <w:tc>
          <w:tcPr>
            <w:tcW w:w="2551" w:type="dxa"/>
            <w:vAlign w:val="center"/>
          </w:tcPr>
          <w:p>
            <w:pPr>
              <w:pStyle w:val="12"/>
            </w:pPr>
          </w:p>
        </w:tc>
        <w:tc>
          <w:tcPr>
            <w:tcW w:w="2551" w:type="dxa"/>
            <w:vAlign w:val="center"/>
          </w:tcPr>
          <w:p>
            <w:pPr>
              <w:pStyle w:val="12"/>
            </w:pPr>
            <w:r>
              <w:t>16.15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0.29</w:t>
            </w:r>
          </w:p>
        </w:tc>
        <w:tc>
          <w:tcPr>
            <w:tcW w:w="2551" w:type="dxa"/>
            <w:vAlign w:val="center"/>
          </w:tcPr>
          <w:p>
            <w:pPr>
              <w:pStyle w:val="12"/>
            </w:pPr>
          </w:p>
        </w:tc>
        <w:tc>
          <w:tcPr>
            <w:tcW w:w="2551" w:type="dxa"/>
            <w:vAlign w:val="center"/>
          </w:tcPr>
          <w:p>
            <w:pPr>
              <w:pStyle w:val="12"/>
            </w:pPr>
            <w:r>
              <w:t>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18.16</w:t>
            </w:r>
          </w:p>
        </w:tc>
        <w:tc>
          <w:tcPr>
            <w:tcW w:w="2551" w:type="dxa"/>
            <w:vAlign w:val="center"/>
          </w:tcPr>
          <w:p>
            <w:pPr>
              <w:pStyle w:val="12"/>
            </w:pPr>
          </w:p>
        </w:tc>
        <w:tc>
          <w:tcPr>
            <w:tcW w:w="2551" w:type="dxa"/>
            <w:vAlign w:val="center"/>
          </w:tcPr>
          <w:p>
            <w:pPr>
              <w:pStyle w:val="12"/>
            </w:pPr>
            <w:r>
              <w:t>18.16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15.16</w:t>
            </w:r>
          </w:p>
        </w:tc>
        <w:tc>
          <w:tcPr>
            <w:tcW w:w="2551" w:type="dxa"/>
            <w:vAlign w:val="center"/>
          </w:tcPr>
          <w:p>
            <w:pPr>
              <w:pStyle w:val="12"/>
            </w:pPr>
          </w:p>
        </w:tc>
        <w:tc>
          <w:tcPr>
            <w:tcW w:w="2551" w:type="dxa"/>
            <w:vAlign w:val="center"/>
          </w:tcPr>
          <w:p>
            <w:pPr>
              <w:pStyle w:val="12"/>
            </w:pPr>
            <w:r>
              <w:t>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21.87</w:t>
            </w:r>
          </w:p>
        </w:tc>
        <w:tc>
          <w:tcPr>
            <w:tcW w:w="2551" w:type="dxa"/>
            <w:vAlign w:val="center"/>
          </w:tcPr>
          <w:p>
            <w:pPr>
              <w:pStyle w:val="12"/>
            </w:pPr>
          </w:p>
        </w:tc>
        <w:tc>
          <w:tcPr>
            <w:tcW w:w="2551" w:type="dxa"/>
            <w:vAlign w:val="center"/>
          </w:tcPr>
          <w:p>
            <w:pPr>
              <w:pStyle w:val="12"/>
            </w:pPr>
            <w:r>
              <w:t>21.87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4.62</w:t>
            </w:r>
          </w:p>
        </w:tc>
        <w:tc>
          <w:tcPr>
            <w:tcW w:w="2551" w:type="dxa"/>
            <w:vAlign w:val="center"/>
          </w:tcPr>
          <w:p>
            <w:pPr>
              <w:pStyle w:val="12"/>
            </w:pPr>
          </w:p>
        </w:tc>
        <w:tc>
          <w:tcPr>
            <w:tcW w:w="2551" w:type="dxa"/>
            <w:vAlign w:val="center"/>
          </w:tcPr>
          <w:p>
            <w:pPr>
              <w:pStyle w:val="12"/>
            </w:pPr>
            <w:r>
              <w:t>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186.39</w:t>
            </w:r>
          </w:p>
        </w:tc>
        <w:tc>
          <w:tcPr>
            <w:tcW w:w="2551" w:type="dxa"/>
            <w:vAlign w:val="center"/>
          </w:tcPr>
          <w:p>
            <w:pPr>
              <w:pStyle w:val="12"/>
            </w:pPr>
            <w:r>
              <w:t>186.39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183.85</w:t>
            </w:r>
          </w:p>
        </w:tc>
        <w:tc>
          <w:tcPr>
            <w:tcW w:w="2551" w:type="dxa"/>
            <w:vAlign w:val="center"/>
          </w:tcPr>
          <w:p>
            <w:pPr>
              <w:pStyle w:val="12"/>
            </w:pPr>
            <w:r>
              <w:t>183.85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2.54</w:t>
            </w:r>
          </w:p>
        </w:tc>
        <w:tc>
          <w:tcPr>
            <w:tcW w:w="2551" w:type="dxa"/>
            <w:vAlign w:val="center"/>
          </w:tcPr>
          <w:p>
            <w:pPr>
              <w:pStyle w:val="12"/>
            </w:pPr>
            <w:r>
              <w:t>2.54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22.16</w:t>
            </w:r>
          </w:p>
        </w:tc>
        <w:tc>
          <w:tcPr>
            <w:tcW w:w="2381" w:type="dxa"/>
            <w:vAlign w:val="center"/>
          </w:tcPr>
          <w:p>
            <w:pPr>
              <w:pStyle w:val="16"/>
            </w:pPr>
            <w:r>
              <w:t>22.16</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22.16</w:t>
            </w:r>
          </w:p>
        </w:tc>
        <w:tc>
          <w:tcPr>
            <w:tcW w:w="2381" w:type="dxa"/>
            <w:vAlign w:val="center"/>
          </w:tcPr>
          <w:p>
            <w:pPr>
              <w:pStyle w:val="12"/>
            </w:pPr>
            <w:r>
              <w:t>22.16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21.87</w:t>
            </w:r>
          </w:p>
        </w:tc>
        <w:tc>
          <w:tcPr>
            <w:tcW w:w="2381" w:type="dxa"/>
            <w:vAlign w:val="center"/>
          </w:tcPr>
          <w:p>
            <w:pPr>
              <w:pStyle w:val="12"/>
            </w:pPr>
            <w:r>
              <w:t>21.87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21.87</w:t>
            </w:r>
          </w:p>
        </w:tc>
        <w:tc>
          <w:tcPr>
            <w:tcW w:w="2381" w:type="dxa"/>
            <w:vAlign w:val="center"/>
          </w:tcPr>
          <w:p>
            <w:pPr>
              <w:pStyle w:val="12"/>
            </w:pPr>
            <w:r>
              <w:t>21.87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0.29</w:t>
            </w:r>
          </w:p>
        </w:tc>
        <w:tc>
          <w:tcPr>
            <w:tcW w:w="2381" w:type="dxa"/>
            <w:vAlign w:val="center"/>
          </w:tcPr>
          <w:p>
            <w:pPr>
              <w:pStyle w:val="12"/>
            </w:pPr>
            <w:r>
              <w:t>0.29</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保定市交通运输局徐水区分局2025年部门预算信息公开情况说明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保定市交通运输局徐水区分局2025年部门预算信息公开情况说明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按照《中华人民共和国预算法》、《地方预决算公开操作规程》和《关于进一步推进预算公开工作的实施意见》规定，现将保定市交通运输局徐水区分局2025年部门预算公开如下：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根据保定市徐水县人民政府办公室《关于印发&lt;徐水县交通运输局主要职责、内设机构和人员编制规定&gt;的通知》（徐政办[2010]71号），现将我局部门职责概况说明如下：</w:t>
      </w:r>
    </w:p>
    <w:p>
      <w:pPr>
        <w:pStyle w:val="18"/>
      </w:pPr>
      <w:r>
        <w:t>（一）根据区总体部署，拟定全区公路、水路交通发展规划、中长期规划和年度计划。</w:t>
      </w:r>
    </w:p>
    <w:p>
      <w:pPr>
        <w:pStyle w:val="18"/>
      </w:pPr>
      <w:r>
        <w:t>（二）负责全区公路、水路的运输行业管理和运输组织管理；负责全区营业性客货运输停车站（场）的行业管理；负责全区出租汽车管理。</w:t>
      </w:r>
    </w:p>
    <w:p>
      <w:pPr>
        <w:pStyle w:val="18"/>
      </w:pPr>
      <w:r>
        <w:t>（三）会同有关部门培育和管理交通运输市场和交通基础设施建设，引导交通运输业优化结构，协调发展。</w:t>
      </w:r>
    </w:p>
    <w:p>
      <w:pPr>
        <w:pStyle w:val="18"/>
      </w:pPr>
      <w:r>
        <w:t>（四）组织县乡公路及其设施的建设、养护、管理和规费稽征；负责全区道路运输市场、汽车维修市场、车辆技术检测、汽车驾驶学校和驾驶员工作的行业管理；指导和管理城乡客、货运输的衔接协调工作。</w:t>
      </w:r>
    </w:p>
    <w:p>
      <w:pPr>
        <w:pStyle w:val="18"/>
      </w:pPr>
      <w:r>
        <w:t>（五）负责全区车辆规费稽征；负责水上港航监督、船舶检验维修、救助打捞、通信导航、船舶代理、航道和港航设施建设使用岸线的行业管理。</w:t>
      </w:r>
    </w:p>
    <w:p>
      <w:pPr>
        <w:pStyle w:val="18"/>
      </w:pPr>
      <w:r>
        <w:t>（六）指导全区交通行业体制改革和企业管理；负责局属单位国有资产管理；组织全区交通系统内部审计工作。</w:t>
      </w:r>
    </w:p>
    <w:p>
      <w:pPr>
        <w:pStyle w:val="18"/>
      </w:pPr>
      <w:r>
        <w:t>（七）制定交通科技政策、技术标准和规范；组织科技开发，推动行业技术进步；负责交通工程质量监督；按照有关规定组织交通工业产品的认证和质量监督。指导全区交通行业人才开发、预测、教育、培训、交流和使用工作。</w:t>
      </w:r>
    </w:p>
    <w:p>
      <w:pPr>
        <w:pStyle w:val="18"/>
      </w:pPr>
    </w:p>
    <w:p>
      <w:pPr>
        <w:pStyle w:val="18"/>
      </w:pPr>
      <w:r>
        <w:t>（八）负责局机关并指导局属单位人事、劳动、机构编制管理，人力资源开发工作；负责直属单位领导班子建设；受有关部门委托，负责全区机关、企事业单位汽车专业和与交通相关的专业工程工人技术等级培训、考核工作；指导全区交通行业的精神文明建设和职工队伍思想建设。交通系统内的宣传工作。</w:t>
      </w:r>
    </w:p>
    <w:p>
      <w:pPr>
        <w:pStyle w:val="18"/>
      </w:pPr>
      <w:r>
        <w:t>（九）指导全区交通行业涉外工作，指导利用外资。</w:t>
      </w:r>
    </w:p>
    <w:p>
      <w:pPr>
        <w:pStyle w:val="18"/>
      </w:pPr>
      <w:r>
        <w:t>（十）承办区政府交办的其他事项。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保定市交通运输局徐水区分局本级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按照预算管理有关规定，目前部门预算的编制实行综合预算管理，即全部收入和支出都反映在预算中。保定市交通运输局徐水区分局机关及所属事业单位的收支包含在部门预算中。</w:t>
      </w:r>
    </w:p>
    <w:p>
      <w:pPr>
        <w:pStyle w:val="19"/>
      </w:pPr>
      <w:r>
        <w:t>1、收入说明</w:t>
      </w:r>
    </w:p>
    <w:p>
      <w:pPr>
        <w:pStyle w:val="19"/>
      </w:pPr>
      <w:r>
        <w:t>反映本部门当年全部收入。2025年预算收入4464.32万元，其中：一般公共预算收入3098.22万元，基金预算收入0.00万元，国有资本经营预算收入0.00万元，财政专户核拨收入0.00万元，单位资金收入0.00万元，上年结转结余1366.10万元。</w:t>
      </w:r>
    </w:p>
    <w:p>
      <w:pPr>
        <w:pStyle w:val="19"/>
      </w:pPr>
      <w:r>
        <w:t>2、支出说明</w:t>
      </w:r>
    </w:p>
    <w:p>
      <w:pPr>
        <w:pStyle w:val="19"/>
      </w:pPr>
      <w:r>
        <w:t xml:space="preserve">收支预算总表支出栏、基本支出表、项目支出表按经济分类和支出功能分类科目编制，反映保定市交通运输局徐水区分局年度部门预算中支出预算的总体情况。2025年支出预算4464.32万元，其中基本支出2248.67万元，包括人员经费2125.44万元和日常公用经费123.23万元；项目支出2215.65万元，主要为农村公路养护专项资金支出、车购税用于农村公路项目补助支出、农村客运出租油补资金支出及保安保洁项目支出等。 </w:t>
      </w:r>
    </w:p>
    <w:p>
      <w:pPr>
        <w:pStyle w:val="19"/>
      </w:pPr>
      <w:r>
        <w:t>3、比上年增减情况</w:t>
      </w:r>
    </w:p>
    <w:p>
      <w:pPr>
        <w:pStyle w:val="19"/>
      </w:pPr>
      <w:r>
        <w:t>2025年预算收支安排4464.32万元，较2024年预算减少3616.92万元，其中：基本支出减少72.15万元，主要为在职职工人数减少致人员支出预算收支减少。项目支出减少3544.77万元，主要为2025年安排的农村公路建设养护项目规模及数量减少致项目收支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2025年，我部门机关运行经费共计安排123.23万元，主要用于日常维修、办公用房水电费、办公用房取暖费、办公用房物业管理费等日常运行支出。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22.16万元，其中因公出国（境）费0.00万元；公务用车购置及运维费21.87万元（其中：公务用车购置费为0.00万元，公务用车运维费21.87万元)；公务接待费0.29万元。与2024年相比增加0.00万元，增减变化的主要原因是2025年度“三公”预算经费支出基本没有特殊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区委、区政府对交通事业发展的统一部署，结合我区交通行业自身发展规律，制定总体目标：强力推进交通项目建设，加快农村公路改造升级步伐，构建我区一骨架、两中心、大外环，一融入、两支点、三对接的高效便捷交通路网大格局；探索公路养护新机制，保证公路完好率在90%以上，使农村公路建管养工作继续保持在全市乃至全省前列；着力提升交通运输行业管理和服务水平，深化运输市场结构调整，努力形成优势互补的综合交通运输体系；切实加强对客运、货运、维修、驾校、培训五大市场的监管，努力提高行业管理服务能力、企业市场竞争能力和交通运输保障能力；继续深入做好做实安全生产工作，使工作形成常态化，消除各类运输安全隐患；在党建工作上切实加强组织建设，树立廉政勤政新形象，加大落实力度，增强制度的执行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1.保障道路安全畅通</w:t>
      </w:r>
    </w:p>
    <w:p>
      <w:pPr>
        <w:pStyle w:val="23"/>
      </w:pPr>
      <w:r>
        <w:t>绩效目标：通过实施对农村公路恢复性施工及预防性养护、危桥改造、安保工程及沿线服务设施等专项养护工程，基本完成全区道路安全隐患治理，使农村公路保障有力、安全畅通，保持良好的服务水平，支持乡村振兴。</w:t>
      </w:r>
    </w:p>
    <w:p>
      <w:pPr>
        <w:pStyle w:val="23"/>
      </w:pPr>
      <w:r>
        <w:t>绩效指标：完成农村公路日常养护500公里，工程质量合格率达到100%；处置危桥不低于5座，处置安防灾害隐患路段长度不低于10公里；项目实施后较长时期对区域交通状况改善明显。</w:t>
      </w:r>
    </w:p>
    <w:p>
      <w:pPr>
        <w:pStyle w:val="23"/>
      </w:pPr>
      <w:r>
        <w:t>2.优先发展城市公交</w:t>
      </w:r>
    </w:p>
    <w:p>
      <w:pPr>
        <w:pStyle w:val="23"/>
      </w:pPr>
      <w:r>
        <w:t>绩效目标：指导全区城市公交行业的管理工作，保障行业安全稳定，完成城市客运行业数据报送、城市客运行业信息报送；进一步落实我区优先发展公共交通战略。</w:t>
      </w:r>
    </w:p>
    <w:p>
      <w:pPr>
        <w:pStyle w:val="23"/>
      </w:pPr>
      <w:r>
        <w:t>绩效指标：对我区110辆新能源公交电动车进行财政补贴，资金按进度及时拨付，工作完成率为100%。</w:t>
      </w:r>
    </w:p>
    <w:p>
      <w:pPr>
        <w:pStyle w:val="23"/>
      </w:pPr>
      <w:r>
        <w:t>3.提高事务处理能力</w:t>
      </w:r>
    </w:p>
    <w:p>
      <w:pPr>
        <w:pStyle w:val="23"/>
      </w:pPr>
      <w:r>
        <w:t>绩效目标：加强后勤保障、维持机关正常运转，提高事务性管理工作水平。</w:t>
      </w:r>
    </w:p>
    <w:p>
      <w:pPr>
        <w:pStyle w:val="23"/>
      </w:pPr>
      <w:r>
        <w:t>绩效指标：及时完成保安保洁、车辆租赁费用的资金支付，工作完成率为100%，服务对象满意率达90%以上。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1.完善制度建设和内控管理</w:t>
      </w:r>
    </w:p>
    <w:p>
      <w:pPr>
        <w:pStyle w:val="24"/>
      </w:pPr>
      <w:r>
        <w:t>在局党组的坚强领导下，制定我单位预算绩效管理有关制度办法、完善财务管理规定，建立健全绩效评价领导机构和工作机构，完善内部控制制度，将事前绩效评估和绩效自评制度化，科学确定全年预算绩效目标，客观评价年度完成情况，落实有关政策要求。</w:t>
      </w:r>
    </w:p>
    <w:p>
      <w:pPr>
        <w:pStyle w:val="24"/>
      </w:pPr>
      <w:r>
        <w:t>2.加强支出和绩效管理</w:t>
      </w:r>
    </w:p>
    <w:p>
      <w:pPr>
        <w:pStyle w:val="24"/>
      </w:pPr>
      <w:r>
        <w:t>优化支出结构、编细编实预算，及早履行政府采购手续、尽快启动项目、及时支付资金、确保支出进度达标，提高财政资金使用效益。按要求开展上年度部门预算绩效自评和重点评价工作，对评价中发现的问题及时整改。</w:t>
      </w:r>
    </w:p>
    <w:p>
      <w:pPr>
        <w:pStyle w:val="24"/>
      </w:pPr>
      <w:r>
        <w:t>3.规范财政资金、财务资产管理</w:t>
      </w:r>
    </w:p>
    <w:p>
      <w:pPr>
        <w:pStyle w:val="24"/>
      </w:pPr>
      <w:r>
        <w:t>规范财政资金使用效益，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pPr>
        <w:pStyle w:val="24"/>
      </w:pPr>
      <w:r>
        <w:t>4.加强培训、提高业务能力，强化宣传引导</w:t>
      </w:r>
    </w:p>
    <w:p>
      <w:pPr>
        <w:pStyle w:val="24"/>
        <w:sectPr>
          <w:pgSz w:w="16840" w:h="11900" w:orient="landscape"/>
          <w:pgMar w:top="1361" w:right="1020" w:bottom="1361" w:left="1020" w:header="720" w:footer="720" w:gutter="0"/>
          <w:cols w:space="720" w:num="1"/>
        </w:sectPr>
      </w:pPr>
      <w:r>
        <w:t>组织开展多轮次、多角度的业务培训，使干部职工牢固树立绩效理念，熟悉管理流程，掌握工作方法，提升管理能力。积极探索工作经验，及时总结预算绩效管理成效，营造良好的舆论氛围。积极采取购买服务等方式，利用专业机构开展工作，提升预算绩效管理科学水平。</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1、2024年第七批新增一般债券-保定市徐水区水毁公路重建工程国债项目县级配套绩效目标表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13062524P000018100113</w:t>
            </w:r>
          </w:p>
        </w:tc>
        <w:tc>
          <w:tcPr>
            <w:tcW w:w="2835" w:type="dxa"/>
            <w:vAlign w:val="center"/>
          </w:tcPr>
          <w:p>
            <w:pPr>
              <w:pStyle w:val="11"/>
            </w:pPr>
            <w:r>
              <w:t>项目名称</w:t>
            </w:r>
          </w:p>
        </w:tc>
        <w:tc>
          <w:tcPr>
            <w:tcW w:w="6095" w:type="dxa"/>
            <w:gridSpan w:val="3"/>
            <w:vAlign w:val="center"/>
          </w:tcPr>
          <w:p>
            <w:pPr>
              <w:pStyle w:val="13"/>
            </w:pPr>
            <w:r>
              <w:t>2024年第七批新增一般债券-保定市徐水区水毁公路重建工程国债项目县级配套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2024年第七批新增一般债券-保定市徐水区水毁公路重建工程国债项目县级配套</w:t>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1.恢复重建公路里程13.59公里。</w:t>
            </w:r>
          </w:p>
          <w:p>
            <w:pPr>
              <w:pStyle w:val="13"/>
            </w:pPr>
            <w:r>
              <w:t>2.对水毁灾后受损的路基、路面、防护、排水及交通安全设施等进行恢复重建，确保公路正常通行，保障人民群众出行和运输需要。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恢复重建公路里程</w:t>
            </w:r>
          </w:p>
        </w:tc>
        <w:tc>
          <w:tcPr>
            <w:tcW w:w="5386" w:type="dxa"/>
            <w:vAlign w:val="center"/>
          </w:tcPr>
          <w:p>
            <w:pPr>
              <w:pStyle w:val="13"/>
            </w:pPr>
            <w:r>
              <w:t>反映实际完成恢复重建的公路里程（不含桥梁隧道部分）</w:t>
            </w:r>
          </w:p>
        </w:tc>
        <w:tc>
          <w:tcPr>
            <w:tcW w:w="2268" w:type="dxa"/>
            <w:vAlign w:val="center"/>
          </w:tcPr>
          <w:p>
            <w:pPr>
              <w:pStyle w:val="13"/>
            </w:pPr>
            <w:r>
              <w:t>≥13.59公里</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交（竣）工验收合格率</w:t>
            </w:r>
          </w:p>
        </w:tc>
        <w:tc>
          <w:tcPr>
            <w:tcW w:w="5386" w:type="dxa"/>
            <w:vAlign w:val="center"/>
          </w:tcPr>
          <w:p>
            <w:pPr>
              <w:pStyle w:val="13"/>
            </w:pPr>
            <w:r>
              <w:t>反映项目交（竣）工验收项目的质量情况</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项目设计变更率</w:t>
            </w:r>
          </w:p>
        </w:tc>
        <w:tc>
          <w:tcPr>
            <w:tcW w:w="5386" w:type="dxa"/>
            <w:vAlign w:val="center"/>
          </w:tcPr>
          <w:p>
            <w:pPr>
              <w:pStyle w:val="13"/>
            </w:pPr>
            <w:r>
              <w:t>反映项目设计变更金额占项目总投资的比率</w:t>
            </w:r>
          </w:p>
        </w:tc>
        <w:tc>
          <w:tcPr>
            <w:tcW w:w="2268" w:type="dxa"/>
            <w:vAlign w:val="center"/>
          </w:tcPr>
          <w:p>
            <w:pPr>
              <w:pStyle w:val="13"/>
            </w:pPr>
            <w:r>
              <w:t>≤5%</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工程完工时间</w:t>
            </w:r>
          </w:p>
        </w:tc>
        <w:tc>
          <w:tcPr>
            <w:tcW w:w="5386" w:type="dxa"/>
            <w:vAlign w:val="center"/>
          </w:tcPr>
          <w:p>
            <w:pPr>
              <w:pStyle w:val="13"/>
            </w:pPr>
            <w:r>
              <w:t>反映工程完工的具体时间</w:t>
            </w:r>
          </w:p>
        </w:tc>
        <w:tc>
          <w:tcPr>
            <w:tcW w:w="2268" w:type="dxa"/>
            <w:vAlign w:val="center"/>
          </w:tcPr>
          <w:p>
            <w:pPr>
              <w:pStyle w:val="13"/>
            </w:pPr>
            <w:r>
              <w:t>2024年12月底</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公路路线部分建设单公里成本（万元）</w:t>
            </w:r>
          </w:p>
        </w:tc>
        <w:tc>
          <w:tcPr>
            <w:tcW w:w="5386" w:type="dxa"/>
            <w:vAlign w:val="center"/>
          </w:tcPr>
          <w:p>
            <w:pPr>
              <w:pStyle w:val="13"/>
            </w:pPr>
            <w:r>
              <w:t>反映公路路线部分（不含桥梁隧道）建设的单公里成本</w:t>
            </w:r>
          </w:p>
        </w:tc>
        <w:tc>
          <w:tcPr>
            <w:tcW w:w="2268" w:type="dxa"/>
            <w:vAlign w:val="center"/>
          </w:tcPr>
          <w:p>
            <w:pPr>
              <w:pStyle w:val="13"/>
            </w:pPr>
            <w:r>
              <w:t>≤297万元</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恢复通行能力情况</w:t>
            </w:r>
          </w:p>
        </w:tc>
        <w:tc>
          <w:tcPr>
            <w:tcW w:w="5386" w:type="dxa"/>
            <w:vAlign w:val="center"/>
          </w:tcPr>
          <w:p>
            <w:pPr>
              <w:pStyle w:val="13"/>
            </w:pPr>
            <w:r>
              <w:t>反映恢复重建后该路段（或区域内的相关路段）通行状况</w:t>
            </w:r>
          </w:p>
        </w:tc>
        <w:tc>
          <w:tcPr>
            <w:tcW w:w="2268" w:type="dxa"/>
            <w:vAlign w:val="center"/>
          </w:tcPr>
          <w:p>
            <w:pPr>
              <w:pStyle w:val="13"/>
            </w:pPr>
            <w:r>
              <w:t>达到或超过受灾前的通行能力</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≥5年</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反映通过问卷调查受益群体满意情况</w:t>
            </w:r>
          </w:p>
        </w:tc>
        <w:tc>
          <w:tcPr>
            <w:tcW w:w="2268" w:type="dxa"/>
            <w:vAlign w:val="center"/>
          </w:tcPr>
          <w:p>
            <w:pPr>
              <w:pStyle w:val="13"/>
            </w:pPr>
            <w:r>
              <w:t>≥90%</w:t>
            </w:r>
          </w:p>
        </w:tc>
        <w:tc>
          <w:tcPr>
            <w:tcW w:w="1276" w:type="dxa"/>
            <w:vAlign w:val="center"/>
          </w:tcPr>
          <w:p>
            <w:pPr>
              <w:pStyle w:val="13"/>
            </w:pPr>
            <w:r>
              <w:t>社会满意度调查问卷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2、保安保洁劳务费绩效目标表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13062525P000232101251</w:t>
            </w:r>
          </w:p>
        </w:tc>
        <w:tc>
          <w:tcPr>
            <w:tcW w:w="2835" w:type="dxa"/>
            <w:vAlign w:val="center"/>
          </w:tcPr>
          <w:p>
            <w:pPr>
              <w:pStyle w:val="11"/>
            </w:pPr>
            <w:r>
              <w:t>项目名称</w:t>
            </w:r>
          </w:p>
        </w:tc>
        <w:tc>
          <w:tcPr>
            <w:tcW w:w="6095" w:type="dxa"/>
            <w:gridSpan w:val="3"/>
            <w:vAlign w:val="center"/>
          </w:tcPr>
          <w:p>
            <w:pPr>
              <w:pStyle w:val="13"/>
            </w:pPr>
            <w:r>
              <w:t>保安保洁劳务费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14.55</w:t>
            </w:r>
          </w:p>
        </w:tc>
        <w:tc>
          <w:tcPr>
            <w:tcW w:w="2835" w:type="dxa"/>
            <w:vAlign w:val="center"/>
          </w:tcPr>
          <w:p>
            <w:pPr>
              <w:pStyle w:val="11"/>
            </w:pPr>
            <w:r>
              <w:t>其中：财政    资金</w:t>
            </w:r>
          </w:p>
        </w:tc>
        <w:tc>
          <w:tcPr>
            <w:tcW w:w="2551" w:type="dxa"/>
            <w:vAlign w:val="center"/>
          </w:tcPr>
          <w:p>
            <w:pPr>
              <w:pStyle w:val="13"/>
            </w:pPr>
            <w:r>
              <w:t>14.55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用于保安保洁劳务费支出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1.及时向劳务派遣公司支付6人的劳务费用，保障费用支付准确。</w:t>
            </w:r>
          </w:p>
          <w:p>
            <w:pPr>
              <w:pStyle w:val="13"/>
            </w:pPr>
            <w:r>
              <w:t>2.解决机关运行基本保障问题。</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支付派遣劳务费人员数</w:t>
            </w:r>
          </w:p>
        </w:tc>
        <w:tc>
          <w:tcPr>
            <w:tcW w:w="5386" w:type="dxa"/>
            <w:vAlign w:val="center"/>
          </w:tcPr>
          <w:p>
            <w:pPr>
              <w:pStyle w:val="13"/>
            </w:pPr>
            <w:r>
              <w:t>考察派遣劳务人员数量</w:t>
            </w:r>
          </w:p>
        </w:tc>
        <w:tc>
          <w:tcPr>
            <w:tcW w:w="2268" w:type="dxa"/>
            <w:vAlign w:val="center"/>
          </w:tcPr>
          <w:p>
            <w:pPr>
              <w:pStyle w:val="13"/>
            </w:pPr>
            <w:r>
              <w:t>6人</w:t>
            </w:r>
          </w:p>
        </w:tc>
        <w:tc>
          <w:tcPr>
            <w:tcW w:w="1276" w:type="dxa"/>
            <w:vAlign w:val="center"/>
          </w:tcPr>
          <w:p>
            <w:pPr>
              <w:pStyle w:val="13"/>
            </w:pPr>
            <w:r>
              <w:t>依据部门工作计划、劳务派遣合同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费用支付准确率</w:t>
            </w:r>
          </w:p>
        </w:tc>
        <w:tc>
          <w:tcPr>
            <w:tcW w:w="5386" w:type="dxa"/>
            <w:vAlign w:val="center"/>
          </w:tcPr>
          <w:p>
            <w:pPr>
              <w:pStyle w:val="13"/>
            </w:pPr>
            <w:r>
              <w:t>考察费用支付准确情况</w:t>
            </w:r>
          </w:p>
        </w:tc>
        <w:tc>
          <w:tcPr>
            <w:tcW w:w="2268" w:type="dxa"/>
            <w:vAlign w:val="center"/>
          </w:tcPr>
          <w:p>
            <w:pPr>
              <w:pStyle w:val="13"/>
            </w:pPr>
            <w:r>
              <w:t>100%</w:t>
            </w:r>
          </w:p>
        </w:tc>
        <w:tc>
          <w:tcPr>
            <w:tcW w:w="1276" w:type="dxa"/>
            <w:vAlign w:val="center"/>
          </w:tcPr>
          <w:p>
            <w:pPr>
              <w:pStyle w:val="13"/>
            </w:pPr>
            <w:r>
              <w:t>依据部门工作计划、劳务派遣合同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费用支付完成及时率</w:t>
            </w:r>
          </w:p>
        </w:tc>
        <w:tc>
          <w:tcPr>
            <w:tcW w:w="5386" w:type="dxa"/>
            <w:vAlign w:val="center"/>
          </w:tcPr>
          <w:p>
            <w:pPr>
              <w:pStyle w:val="13"/>
            </w:pPr>
            <w:r>
              <w:t>考察费用支付完成及时情况</w:t>
            </w:r>
          </w:p>
        </w:tc>
        <w:tc>
          <w:tcPr>
            <w:tcW w:w="2268" w:type="dxa"/>
            <w:vAlign w:val="center"/>
          </w:tcPr>
          <w:p>
            <w:pPr>
              <w:pStyle w:val="13"/>
            </w:pPr>
            <w:r>
              <w:t>≥95%</w:t>
            </w:r>
          </w:p>
        </w:tc>
        <w:tc>
          <w:tcPr>
            <w:tcW w:w="1276" w:type="dxa"/>
            <w:vAlign w:val="center"/>
          </w:tcPr>
          <w:p>
            <w:pPr>
              <w:pStyle w:val="13"/>
            </w:pPr>
            <w:r>
              <w:t>依据部门工作计划、劳务派遣合同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14.55万元</w:t>
            </w:r>
          </w:p>
        </w:tc>
        <w:tc>
          <w:tcPr>
            <w:tcW w:w="1276" w:type="dxa"/>
            <w:vAlign w:val="center"/>
          </w:tcPr>
          <w:p>
            <w:pPr>
              <w:pStyle w:val="13"/>
            </w:pPr>
            <w:r>
              <w:t>依据部门工作计划、劳务派遣合同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机关运行保障率</w:t>
            </w:r>
          </w:p>
        </w:tc>
        <w:tc>
          <w:tcPr>
            <w:tcW w:w="5386" w:type="dxa"/>
            <w:vAlign w:val="center"/>
          </w:tcPr>
          <w:p>
            <w:pPr>
              <w:pStyle w:val="13"/>
            </w:pPr>
            <w:r>
              <w:t>考察职工对保障业务正常开展的情况</w:t>
            </w:r>
          </w:p>
        </w:tc>
        <w:tc>
          <w:tcPr>
            <w:tcW w:w="2268" w:type="dxa"/>
            <w:vAlign w:val="center"/>
          </w:tcPr>
          <w:p>
            <w:pPr>
              <w:pStyle w:val="13"/>
            </w:pPr>
            <w:r>
              <w:t>≥85%</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劳务派遣人员满意率</w:t>
            </w:r>
          </w:p>
        </w:tc>
        <w:tc>
          <w:tcPr>
            <w:tcW w:w="5386" w:type="dxa"/>
            <w:vAlign w:val="center"/>
          </w:tcPr>
          <w:p>
            <w:pPr>
              <w:pStyle w:val="13"/>
            </w:pPr>
            <w:r>
              <w:t>劳务派遣人员满意情况</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3、保定市徐水区水毁道路修缮工程国债项目省级配套绩效目标表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13062524P00001710541F</w:t>
            </w:r>
          </w:p>
        </w:tc>
        <w:tc>
          <w:tcPr>
            <w:tcW w:w="2835" w:type="dxa"/>
            <w:vAlign w:val="center"/>
          </w:tcPr>
          <w:p>
            <w:pPr>
              <w:pStyle w:val="11"/>
            </w:pPr>
            <w:r>
              <w:t>项目名称</w:t>
            </w:r>
          </w:p>
        </w:tc>
        <w:tc>
          <w:tcPr>
            <w:tcW w:w="6095" w:type="dxa"/>
            <w:gridSpan w:val="3"/>
            <w:vAlign w:val="center"/>
          </w:tcPr>
          <w:p>
            <w:pPr>
              <w:pStyle w:val="13"/>
            </w:pPr>
            <w:r>
              <w:t>保定市徐水区水毁道路修缮工程国债项目省级配套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91.57</w:t>
            </w:r>
          </w:p>
        </w:tc>
        <w:tc>
          <w:tcPr>
            <w:tcW w:w="2835" w:type="dxa"/>
            <w:vAlign w:val="center"/>
          </w:tcPr>
          <w:p>
            <w:pPr>
              <w:pStyle w:val="11"/>
            </w:pPr>
            <w:r>
              <w:t>其中：财政    资金</w:t>
            </w:r>
          </w:p>
        </w:tc>
        <w:tc>
          <w:tcPr>
            <w:tcW w:w="2551" w:type="dxa"/>
            <w:vAlign w:val="center"/>
          </w:tcPr>
          <w:p>
            <w:pPr>
              <w:pStyle w:val="13"/>
            </w:pPr>
            <w:r>
              <w:t>91.57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保定市徐水区水毁道路修缮工程国债项目省级配套</w:t>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1.恢复重建公路里程12公里。</w:t>
            </w:r>
          </w:p>
          <w:p>
            <w:pPr>
              <w:pStyle w:val="13"/>
            </w:pPr>
            <w:r>
              <w:t>2.对路基工程、路面工程、防护工程、交叉工程、排水工程、交通安全工程等进行恢复重建，确保公路正常通行，保障人民群众出行和运输需要。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恢复重建公路里程</w:t>
            </w:r>
          </w:p>
        </w:tc>
        <w:tc>
          <w:tcPr>
            <w:tcW w:w="5386" w:type="dxa"/>
            <w:vAlign w:val="center"/>
          </w:tcPr>
          <w:p>
            <w:pPr>
              <w:pStyle w:val="13"/>
            </w:pPr>
            <w:r>
              <w:t>反映实际完成恢复重建的公路里程（不含桥梁隧道部分）</w:t>
            </w:r>
          </w:p>
        </w:tc>
        <w:tc>
          <w:tcPr>
            <w:tcW w:w="2268" w:type="dxa"/>
            <w:vAlign w:val="center"/>
          </w:tcPr>
          <w:p>
            <w:pPr>
              <w:pStyle w:val="13"/>
            </w:pPr>
            <w:r>
              <w:t>≥12公里</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恢复工程投资额完成率</w:t>
            </w:r>
          </w:p>
        </w:tc>
        <w:tc>
          <w:tcPr>
            <w:tcW w:w="5386" w:type="dxa"/>
            <w:vAlign w:val="center"/>
          </w:tcPr>
          <w:p>
            <w:pPr>
              <w:pStyle w:val="13"/>
            </w:pPr>
            <w:r>
              <w:t>反映以货币计量的恢复项目实际完成的投资额占计划投资的比率</w:t>
            </w:r>
          </w:p>
        </w:tc>
        <w:tc>
          <w:tcPr>
            <w:tcW w:w="2268" w:type="dxa"/>
            <w:vAlign w:val="center"/>
          </w:tcPr>
          <w:p>
            <w:pPr>
              <w:pStyle w:val="13"/>
            </w:pPr>
            <w:r>
              <w:t>≥90%</w:t>
            </w:r>
          </w:p>
        </w:tc>
        <w:tc>
          <w:tcPr>
            <w:tcW w:w="1276" w:type="dxa"/>
            <w:vAlign w:val="center"/>
          </w:tcPr>
          <w:p>
            <w:pPr>
              <w:pStyle w:val="13"/>
            </w:pPr>
            <w:r>
              <w:t>工程决算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项目设计变更率</w:t>
            </w:r>
          </w:p>
        </w:tc>
        <w:tc>
          <w:tcPr>
            <w:tcW w:w="5386" w:type="dxa"/>
            <w:vAlign w:val="center"/>
          </w:tcPr>
          <w:p>
            <w:pPr>
              <w:pStyle w:val="13"/>
            </w:pPr>
            <w:r>
              <w:t>反映项目设计变更金额占项目总投资的比率</w:t>
            </w:r>
          </w:p>
        </w:tc>
        <w:tc>
          <w:tcPr>
            <w:tcW w:w="2268" w:type="dxa"/>
            <w:vAlign w:val="center"/>
          </w:tcPr>
          <w:p>
            <w:pPr>
              <w:pStyle w:val="13"/>
            </w:pPr>
            <w:r>
              <w:t>≤5%</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工程按时开工率</w:t>
            </w:r>
          </w:p>
        </w:tc>
        <w:tc>
          <w:tcPr>
            <w:tcW w:w="5386" w:type="dxa"/>
            <w:vAlign w:val="center"/>
          </w:tcPr>
          <w:p>
            <w:pPr>
              <w:pStyle w:val="13"/>
            </w:pPr>
            <w:r>
              <w:t>反映项目按时开工个数占项目包中项目个数的比率；仅含一条段（或一座桥梁、一个涵洞）的项目包，本指标值为100%。</w:t>
            </w:r>
          </w:p>
        </w:tc>
        <w:tc>
          <w:tcPr>
            <w:tcW w:w="2268" w:type="dxa"/>
            <w:vAlign w:val="center"/>
          </w:tcPr>
          <w:p>
            <w:pPr>
              <w:pStyle w:val="13"/>
            </w:pPr>
            <w:r>
              <w:t>100%</w:t>
            </w:r>
          </w:p>
        </w:tc>
        <w:tc>
          <w:tcPr>
            <w:tcW w:w="1276" w:type="dxa"/>
            <w:vAlign w:val="center"/>
          </w:tcPr>
          <w:p>
            <w:pPr>
              <w:pStyle w:val="13"/>
            </w:pPr>
            <w:r>
              <w:t>开工证明资料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公路路线部分建设单公里成本（万元）</w:t>
            </w:r>
          </w:p>
        </w:tc>
        <w:tc>
          <w:tcPr>
            <w:tcW w:w="5386" w:type="dxa"/>
            <w:vAlign w:val="center"/>
          </w:tcPr>
          <w:p>
            <w:pPr>
              <w:pStyle w:val="13"/>
            </w:pPr>
            <w:r>
              <w:t>反映公路路线部分（不含桥梁隧道）建设的单公里成本</w:t>
            </w:r>
          </w:p>
        </w:tc>
        <w:tc>
          <w:tcPr>
            <w:tcW w:w="2268" w:type="dxa"/>
            <w:vAlign w:val="center"/>
          </w:tcPr>
          <w:p>
            <w:pPr>
              <w:pStyle w:val="13"/>
            </w:pPr>
            <w:r>
              <w:t>≤180万元</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恢复通行能力情况</w:t>
            </w:r>
          </w:p>
        </w:tc>
        <w:tc>
          <w:tcPr>
            <w:tcW w:w="5386" w:type="dxa"/>
            <w:vAlign w:val="center"/>
          </w:tcPr>
          <w:p>
            <w:pPr>
              <w:pStyle w:val="13"/>
            </w:pPr>
            <w:r>
              <w:t>反映恢复重建后该路段（或区域内的相关路段）通行状况</w:t>
            </w:r>
          </w:p>
        </w:tc>
        <w:tc>
          <w:tcPr>
            <w:tcW w:w="2268" w:type="dxa"/>
            <w:vAlign w:val="center"/>
          </w:tcPr>
          <w:p>
            <w:pPr>
              <w:pStyle w:val="13"/>
            </w:pPr>
            <w:r>
              <w:t>达到或超过受灾前的通行能力</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≥5年</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反映通过问卷调查受益群体满意情况</w:t>
            </w:r>
          </w:p>
        </w:tc>
        <w:tc>
          <w:tcPr>
            <w:tcW w:w="2268" w:type="dxa"/>
            <w:vAlign w:val="center"/>
          </w:tcPr>
          <w:p>
            <w:pPr>
              <w:pStyle w:val="13"/>
            </w:pPr>
            <w:r>
              <w:t>≥90%</w:t>
            </w:r>
          </w:p>
        </w:tc>
        <w:tc>
          <w:tcPr>
            <w:tcW w:w="1276" w:type="dxa"/>
            <w:vAlign w:val="center"/>
          </w:tcPr>
          <w:p>
            <w:pPr>
              <w:pStyle w:val="13"/>
            </w:pPr>
            <w:r>
              <w:t>社会满意度调查报告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4、保定市徐水区水毁道路修缮工程国债项目县级配套绩效目标表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13062524P000015111464</w:t>
            </w:r>
          </w:p>
        </w:tc>
        <w:tc>
          <w:tcPr>
            <w:tcW w:w="2835" w:type="dxa"/>
            <w:vAlign w:val="center"/>
          </w:tcPr>
          <w:p>
            <w:pPr>
              <w:pStyle w:val="11"/>
            </w:pPr>
            <w:r>
              <w:t>项目名称</w:t>
            </w:r>
          </w:p>
        </w:tc>
        <w:tc>
          <w:tcPr>
            <w:tcW w:w="6095" w:type="dxa"/>
            <w:gridSpan w:val="3"/>
            <w:vAlign w:val="center"/>
          </w:tcPr>
          <w:p>
            <w:pPr>
              <w:pStyle w:val="13"/>
            </w:pPr>
            <w:r>
              <w:t>保定市徐水区水毁道路修缮工程国债项目县级配套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216.50</w:t>
            </w:r>
          </w:p>
        </w:tc>
        <w:tc>
          <w:tcPr>
            <w:tcW w:w="2835" w:type="dxa"/>
            <w:vAlign w:val="center"/>
          </w:tcPr>
          <w:p>
            <w:pPr>
              <w:pStyle w:val="11"/>
            </w:pPr>
            <w:r>
              <w:t>其中：财政    资金</w:t>
            </w:r>
          </w:p>
        </w:tc>
        <w:tc>
          <w:tcPr>
            <w:tcW w:w="2551" w:type="dxa"/>
            <w:vAlign w:val="center"/>
          </w:tcPr>
          <w:p>
            <w:pPr>
              <w:pStyle w:val="13"/>
            </w:pPr>
            <w:r>
              <w:t>216.50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保定市徐水区水毁道路修缮工程（国债）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1.通过实施公路水毁恢复重建工程，尽快恢复公路通行能力，全面提升我省公路防灾抗洪能力，进一步完善公路通行环境和安全水平。</w:t>
            </w:r>
          </w:p>
          <w:p>
            <w:pPr>
              <w:pStyle w:val="13"/>
            </w:pPr>
            <w:r>
              <w:t>2.水毁道路修缮12公里，工程质量验收合格。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水毁道路修缮长度</w:t>
            </w:r>
          </w:p>
        </w:tc>
        <w:tc>
          <w:tcPr>
            <w:tcW w:w="5386" w:type="dxa"/>
            <w:vAlign w:val="center"/>
          </w:tcPr>
          <w:p>
            <w:pPr>
              <w:pStyle w:val="13"/>
            </w:pPr>
            <w:r>
              <w:t>水毁道路修缮公里数</w:t>
            </w:r>
          </w:p>
        </w:tc>
        <w:tc>
          <w:tcPr>
            <w:tcW w:w="2268" w:type="dxa"/>
            <w:vAlign w:val="center"/>
          </w:tcPr>
          <w:p>
            <w:pPr>
              <w:pStyle w:val="13"/>
            </w:pPr>
            <w:r>
              <w:t>≥12公里</w:t>
            </w:r>
          </w:p>
        </w:tc>
        <w:tc>
          <w:tcPr>
            <w:tcW w:w="1276" w:type="dxa"/>
            <w:vAlign w:val="center"/>
          </w:tcPr>
          <w:p>
            <w:pPr>
              <w:pStyle w:val="13"/>
            </w:pPr>
            <w:r>
              <w:t>保定市徐水区发展和改革局关于保定市徐水区水毁道路修缮工程可行性研究报告（代初步设计）的批复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水毁道路修缮工程质量合格率</w:t>
            </w:r>
          </w:p>
        </w:tc>
        <w:tc>
          <w:tcPr>
            <w:tcW w:w="5386" w:type="dxa"/>
            <w:vAlign w:val="center"/>
          </w:tcPr>
          <w:p>
            <w:pPr>
              <w:pStyle w:val="13"/>
            </w:pPr>
            <w:r>
              <w:t>水毁道路修缮工程质量合格情况</w:t>
            </w:r>
          </w:p>
        </w:tc>
        <w:tc>
          <w:tcPr>
            <w:tcW w:w="2268" w:type="dxa"/>
            <w:vAlign w:val="center"/>
          </w:tcPr>
          <w:p>
            <w:pPr>
              <w:pStyle w:val="13"/>
            </w:pPr>
            <w:r>
              <w:t>100%</w:t>
            </w:r>
          </w:p>
        </w:tc>
        <w:tc>
          <w:tcPr>
            <w:tcW w:w="1276" w:type="dxa"/>
            <w:vAlign w:val="center"/>
          </w:tcPr>
          <w:p>
            <w:pPr>
              <w:pStyle w:val="13"/>
            </w:pPr>
            <w:r>
              <w:t>保定市徐水区发展和改革局关于保定市徐水区水毁道路修缮工程可行性研究报告（代初步设计）的批复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专项资金拨付及时情况</w:t>
            </w:r>
          </w:p>
        </w:tc>
        <w:tc>
          <w:tcPr>
            <w:tcW w:w="2268" w:type="dxa"/>
            <w:vAlign w:val="center"/>
          </w:tcPr>
          <w:p>
            <w:pPr>
              <w:pStyle w:val="13"/>
            </w:pPr>
            <w:r>
              <w:t>100%</w:t>
            </w:r>
          </w:p>
        </w:tc>
        <w:tc>
          <w:tcPr>
            <w:tcW w:w="1276" w:type="dxa"/>
            <w:vAlign w:val="center"/>
          </w:tcPr>
          <w:p>
            <w:pPr>
              <w:pStyle w:val="13"/>
            </w:pPr>
            <w:r>
              <w:t>徐财预指【2024】1-1109号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实际支出在预算资金控制范围内</w:t>
            </w:r>
          </w:p>
        </w:tc>
        <w:tc>
          <w:tcPr>
            <w:tcW w:w="2268" w:type="dxa"/>
            <w:vAlign w:val="center"/>
          </w:tcPr>
          <w:p>
            <w:pPr>
              <w:pStyle w:val="13"/>
            </w:pPr>
            <w:r>
              <w:t>≤216.5万元</w:t>
            </w:r>
          </w:p>
        </w:tc>
        <w:tc>
          <w:tcPr>
            <w:tcW w:w="1276" w:type="dxa"/>
            <w:vAlign w:val="center"/>
          </w:tcPr>
          <w:p>
            <w:pPr>
              <w:pStyle w:val="13"/>
            </w:pPr>
            <w:r>
              <w:t>徐财预指【2024】1-1109号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应急救援任务有效完成率</w:t>
            </w:r>
          </w:p>
        </w:tc>
        <w:tc>
          <w:tcPr>
            <w:tcW w:w="5386" w:type="dxa"/>
            <w:vAlign w:val="center"/>
          </w:tcPr>
          <w:p>
            <w:pPr>
              <w:pStyle w:val="13"/>
            </w:pPr>
            <w:r>
              <w:t>应急救援任务有效完成情况</w:t>
            </w:r>
          </w:p>
        </w:tc>
        <w:tc>
          <w:tcPr>
            <w:tcW w:w="2268" w:type="dxa"/>
            <w:vAlign w:val="center"/>
          </w:tcPr>
          <w:p>
            <w:pPr>
              <w:pStyle w:val="13"/>
            </w:pPr>
            <w:r>
              <w:t>≥90%</w:t>
            </w:r>
          </w:p>
        </w:tc>
        <w:tc>
          <w:tcPr>
            <w:tcW w:w="1276" w:type="dxa"/>
            <w:vAlign w:val="center"/>
          </w:tcPr>
          <w:p>
            <w:pPr>
              <w:pStyle w:val="13"/>
            </w:pPr>
            <w:r>
              <w:t>保定市徐水区发展和改革局关于保定市徐水区水毁道路修缮工程可行性研究报告（代初步设计）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接受救援对象满意度</w:t>
            </w:r>
          </w:p>
        </w:tc>
        <w:tc>
          <w:tcPr>
            <w:tcW w:w="5386" w:type="dxa"/>
            <w:vAlign w:val="center"/>
          </w:tcPr>
          <w:p>
            <w:pPr>
              <w:pStyle w:val="13"/>
            </w:pPr>
            <w:r>
              <w:t>接受救援群众满意情况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5、保定市徐水区水毁公路重建工程国债项目省级配套绩效目标表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13062524P000017105423</w:t>
            </w:r>
          </w:p>
        </w:tc>
        <w:tc>
          <w:tcPr>
            <w:tcW w:w="2835" w:type="dxa"/>
            <w:vAlign w:val="center"/>
          </w:tcPr>
          <w:p>
            <w:pPr>
              <w:pStyle w:val="11"/>
            </w:pPr>
            <w:r>
              <w:t>项目名称</w:t>
            </w:r>
          </w:p>
        </w:tc>
        <w:tc>
          <w:tcPr>
            <w:tcW w:w="6095" w:type="dxa"/>
            <w:gridSpan w:val="3"/>
            <w:vAlign w:val="center"/>
          </w:tcPr>
          <w:p>
            <w:pPr>
              <w:pStyle w:val="13"/>
            </w:pPr>
            <w:r>
              <w:t>保定市徐水区水毁公路重建工程国债项目省级配套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71.59</w:t>
            </w:r>
          </w:p>
        </w:tc>
        <w:tc>
          <w:tcPr>
            <w:tcW w:w="2835" w:type="dxa"/>
            <w:vAlign w:val="center"/>
          </w:tcPr>
          <w:p>
            <w:pPr>
              <w:pStyle w:val="11"/>
            </w:pPr>
            <w:r>
              <w:t>其中：财政    资金</w:t>
            </w:r>
          </w:p>
        </w:tc>
        <w:tc>
          <w:tcPr>
            <w:tcW w:w="2551" w:type="dxa"/>
            <w:vAlign w:val="center"/>
          </w:tcPr>
          <w:p>
            <w:pPr>
              <w:pStyle w:val="13"/>
            </w:pPr>
            <w:r>
              <w:t>71.59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保定市徐水区水毁公路重建工程国债项目省级配套</w:t>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1.恢复重建公路里程13.59公里。</w:t>
            </w:r>
          </w:p>
          <w:p>
            <w:pPr>
              <w:pStyle w:val="13"/>
            </w:pPr>
            <w:r>
              <w:t>2.对水毁灾后受损的路基、路面、防护、排水及交通安全设施等进行恢复重建，确保公路正常通行，保障人民群众出行和运输需要。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恢复重建公路里程</w:t>
            </w:r>
          </w:p>
        </w:tc>
        <w:tc>
          <w:tcPr>
            <w:tcW w:w="5386" w:type="dxa"/>
            <w:vAlign w:val="center"/>
          </w:tcPr>
          <w:p>
            <w:pPr>
              <w:pStyle w:val="13"/>
            </w:pPr>
            <w:r>
              <w:t>反映实际完成恢复重建的公路里程（不含桥梁隧道部分）</w:t>
            </w:r>
          </w:p>
        </w:tc>
        <w:tc>
          <w:tcPr>
            <w:tcW w:w="2268" w:type="dxa"/>
            <w:vAlign w:val="center"/>
          </w:tcPr>
          <w:p>
            <w:pPr>
              <w:pStyle w:val="13"/>
            </w:pPr>
            <w:r>
              <w:t>≥13.9公里</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重建工程投资额完成率</w:t>
            </w:r>
          </w:p>
        </w:tc>
        <w:tc>
          <w:tcPr>
            <w:tcW w:w="5386" w:type="dxa"/>
            <w:vAlign w:val="center"/>
          </w:tcPr>
          <w:p>
            <w:pPr>
              <w:pStyle w:val="13"/>
            </w:pPr>
            <w:r>
              <w:t>反映以货币计量的重建项目实际完成的投资额占计划投资的比率</w:t>
            </w:r>
          </w:p>
        </w:tc>
        <w:tc>
          <w:tcPr>
            <w:tcW w:w="2268" w:type="dxa"/>
            <w:vAlign w:val="center"/>
          </w:tcPr>
          <w:p>
            <w:pPr>
              <w:pStyle w:val="13"/>
            </w:pPr>
            <w:r>
              <w:t>≥90%</w:t>
            </w:r>
          </w:p>
        </w:tc>
        <w:tc>
          <w:tcPr>
            <w:tcW w:w="1276" w:type="dxa"/>
            <w:vAlign w:val="center"/>
          </w:tcPr>
          <w:p>
            <w:pPr>
              <w:pStyle w:val="13"/>
            </w:pPr>
            <w:r>
              <w:t>工程决算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项目设计变更率</w:t>
            </w:r>
          </w:p>
        </w:tc>
        <w:tc>
          <w:tcPr>
            <w:tcW w:w="5386" w:type="dxa"/>
            <w:vAlign w:val="center"/>
          </w:tcPr>
          <w:p>
            <w:pPr>
              <w:pStyle w:val="13"/>
            </w:pPr>
            <w:r>
              <w:t>反映项目设计变更金额占项目总投资的比率</w:t>
            </w:r>
          </w:p>
        </w:tc>
        <w:tc>
          <w:tcPr>
            <w:tcW w:w="2268" w:type="dxa"/>
            <w:vAlign w:val="center"/>
          </w:tcPr>
          <w:p>
            <w:pPr>
              <w:pStyle w:val="13"/>
            </w:pPr>
            <w:r>
              <w:t>≤5%</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工程完工时间</w:t>
            </w:r>
          </w:p>
        </w:tc>
        <w:tc>
          <w:tcPr>
            <w:tcW w:w="5386" w:type="dxa"/>
            <w:vAlign w:val="center"/>
          </w:tcPr>
          <w:p>
            <w:pPr>
              <w:pStyle w:val="13"/>
            </w:pPr>
            <w:r>
              <w:t>反映工程完工的具体时间</w:t>
            </w:r>
          </w:p>
        </w:tc>
        <w:tc>
          <w:tcPr>
            <w:tcW w:w="2268" w:type="dxa"/>
            <w:vAlign w:val="center"/>
          </w:tcPr>
          <w:p>
            <w:pPr>
              <w:pStyle w:val="13"/>
            </w:pPr>
            <w:r>
              <w:t>2024年12月底</w:t>
            </w:r>
          </w:p>
        </w:tc>
        <w:tc>
          <w:tcPr>
            <w:tcW w:w="1276" w:type="dxa"/>
            <w:vAlign w:val="center"/>
          </w:tcPr>
          <w:p>
            <w:pPr>
              <w:pStyle w:val="13"/>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反映项目按时完工个数占项目包中项目个数的比率；仅含一条段（或一座桥梁、一个涵洞）的项目包，本指标值为100%。</w:t>
            </w:r>
          </w:p>
        </w:tc>
        <w:tc>
          <w:tcPr>
            <w:tcW w:w="2268" w:type="dxa"/>
            <w:vAlign w:val="center"/>
          </w:tcPr>
          <w:p>
            <w:pPr>
              <w:pStyle w:val="13"/>
            </w:pPr>
            <w:r>
              <w:t>100%</w:t>
            </w:r>
          </w:p>
        </w:tc>
        <w:tc>
          <w:tcPr>
            <w:tcW w:w="1276" w:type="dxa"/>
            <w:vAlign w:val="center"/>
          </w:tcPr>
          <w:p>
            <w:pPr>
              <w:pStyle w:val="13"/>
            </w:pPr>
            <w:r>
              <w:t>完工证明资料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恢复通行能力情况</w:t>
            </w:r>
          </w:p>
        </w:tc>
        <w:tc>
          <w:tcPr>
            <w:tcW w:w="5386" w:type="dxa"/>
            <w:vAlign w:val="center"/>
          </w:tcPr>
          <w:p>
            <w:pPr>
              <w:pStyle w:val="13"/>
            </w:pPr>
            <w:r>
              <w:t>反映恢复重建后该路段（或区域内的相关路段）通行状况</w:t>
            </w:r>
          </w:p>
        </w:tc>
        <w:tc>
          <w:tcPr>
            <w:tcW w:w="2268" w:type="dxa"/>
            <w:vAlign w:val="center"/>
          </w:tcPr>
          <w:p>
            <w:pPr>
              <w:pStyle w:val="13"/>
            </w:pPr>
            <w:r>
              <w:t>达到或超过受灾前的通行能力</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≥5年</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反映通过问卷调查受益群体满意情况</w:t>
            </w:r>
          </w:p>
        </w:tc>
        <w:tc>
          <w:tcPr>
            <w:tcW w:w="2268" w:type="dxa"/>
            <w:vAlign w:val="center"/>
          </w:tcPr>
          <w:p>
            <w:pPr>
              <w:pStyle w:val="13"/>
            </w:pPr>
            <w:r>
              <w:t>≥90%</w:t>
            </w:r>
          </w:p>
        </w:tc>
        <w:tc>
          <w:tcPr>
            <w:tcW w:w="1276" w:type="dxa"/>
            <w:vAlign w:val="center"/>
          </w:tcPr>
          <w:p>
            <w:pPr>
              <w:pStyle w:val="13"/>
            </w:pPr>
            <w:r>
              <w:t>社会满意度调查问卷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6、保定市徐水区水毁公路重建工程国债项目县级配套绩效目标表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13062524P00001511148B</w:t>
            </w:r>
          </w:p>
        </w:tc>
        <w:tc>
          <w:tcPr>
            <w:tcW w:w="2835" w:type="dxa"/>
            <w:vAlign w:val="center"/>
          </w:tcPr>
          <w:p>
            <w:pPr>
              <w:pStyle w:val="11"/>
            </w:pPr>
            <w:r>
              <w:t>项目名称</w:t>
            </w:r>
          </w:p>
        </w:tc>
        <w:tc>
          <w:tcPr>
            <w:tcW w:w="6095" w:type="dxa"/>
            <w:gridSpan w:val="3"/>
            <w:vAlign w:val="center"/>
          </w:tcPr>
          <w:p>
            <w:pPr>
              <w:pStyle w:val="13"/>
            </w:pPr>
            <w:r>
              <w:t>保定市徐水区水毁公路重建工程国债项目县级配套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保定市徐水区水毁公路重建工程（国债）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1.通过实施公路水毁恢复重建工程，尽快恢复公路通行能力，全面提升我省公路防灾抗洪能力，进一步完善公路通行环境和安全水平。</w:t>
            </w:r>
          </w:p>
          <w:p>
            <w:pPr>
              <w:pStyle w:val="13"/>
            </w:pPr>
            <w:r>
              <w:t>2.水毁公里重建13.59公里，工程质量验收合格。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水毁公路重建长度</w:t>
            </w:r>
          </w:p>
        </w:tc>
        <w:tc>
          <w:tcPr>
            <w:tcW w:w="5386" w:type="dxa"/>
            <w:vAlign w:val="center"/>
          </w:tcPr>
          <w:p>
            <w:pPr>
              <w:pStyle w:val="13"/>
            </w:pPr>
            <w:r>
              <w:t>水毁公路重建公里数</w:t>
            </w:r>
          </w:p>
        </w:tc>
        <w:tc>
          <w:tcPr>
            <w:tcW w:w="2268" w:type="dxa"/>
            <w:vAlign w:val="center"/>
          </w:tcPr>
          <w:p>
            <w:pPr>
              <w:pStyle w:val="13"/>
            </w:pPr>
            <w:r>
              <w:t>≥13.59公里</w:t>
            </w:r>
          </w:p>
        </w:tc>
        <w:tc>
          <w:tcPr>
            <w:tcW w:w="1276" w:type="dxa"/>
            <w:vAlign w:val="center"/>
          </w:tcPr>
          <w:p>
            <w:pPr>
              <w:pStyle w:val="13"/>
            </w:pPr>
            <w:r>
              <w:t>保定市徐水区发展和改革局关于保定市徐水区水毁道路修缮工程可行性研究报告（代初步设计）的批复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水毁公路重建工程质量合格率</w:t>
            </w:r>
          </w:p>
        </w:tc>
        <w:tc>
          <w:tcPr>
            <w:tcW w:w="5386" w:type="dxa"/>
            <w:vAlign w:val="center"/>
          </w:tcPr>
          <w:p>
            <w:pPr>
              <w:pStyle w:val="13"/>
            </w:pPr>
            <w:r>
              <w:t>水毁公路重建工程质量合格情况</w:t>
            </w:r>
          </w:p>
        </w:tc>
        <w:tc>
          <w:tcPr>
            <w:tcW w:w="2268" w:type="dxa"/>
            <w:vAlign w:val="center"/>
          </w:tcPr>
          <w:p>
            <w:pPr>
              <w:pStyle w:val="13"/>
            </w:pPr>
            <w:r>
              <w:t>100%</w:t>
            </w:r>
          </w:p>
        </w:tc>
        <w:tc>
          <w:tcPr>
            <w:tcW w:w="1276" w:type="dxa"/>
            <w:vAlign w:val="center"/>
          </w:tcPr>
          <w:p>
            <w:pPr>
              <w:pStyle w:val="13"/>
            </w:pPr>
            <w:r>
              <w:t>保定市徐水区发展和改革局关于保定市徐水区水毁道路修缮工程可行性研究报告（代初步设计）的批复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专项资金拨付及时率</w:t>
            </w:r>
          </w:p>
        </w:tc>
        <w:tc>
          <w:tcPr>
            <w:tcW w:w="5386" w:type="dxa"/>
            <w:vAlign w:val="center"/>
          </w:tcPr>
          <w:p>
            <w:pPr>
              <w:pStyle w:val="13"/>
            </w:pPr>
            <w:r>
              <w:t>专项资金拨付及时情况</w:t>
            </w:r>
          </w:p>
        </w:tc>
        <w:tc>
          <w:tcPr>
            <w:tcW w:w="2268" w:type="dxa"/>
            <w:vAlign w:val="center"/>
          </w:tcPr>
          <w:p>
            <w:pPr>
              <w:pStyle w:val="13"/>
            </w:pPr>
            <w:r>
              <w:t>100%</w:t>
            </w:r>
          </w:p>
        </w:tc>
        <w:tc>
          <w:tcPr>
            <w:tcW w:w="1276" w:type="dxa"/>
            <w:vAlign w:val="center"/>
          </w:tcPr>
          <w:p>
            <w:pPr>
              <w:pStyle w:val="13"/>
            </w:pPr>
            <w:r>
              <w:t>徐财预指【2024】1-1109号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实际支出在预算资金控制范围内</w:t>
            </w:r>
          </w:p>
        </w:tc>
        <w:tc>
          <w:tcPr>
            <w:tcW w:w="2268" w:type="dxa"/>
            <w:vAlign w:val="center"/>
          </w:tcPr>
          <w:p>
            <w:pPr>
              <w:pStyle w:val="13"/>
            </w:pPr>
            <w:r>
              <w:t>≤4万元</w:t>
            </w:r>
          </w:p>
        </w:tc>
        <w:tc>
          <w:tcPr>
            <w:tcW w:w="1276" w:type="dxa"/>
            <w:vAlign w:val="center"/>
          </w:tcPr>
          <w:p>
            <w:pPr>
              <w:pStyle w:val="13"/>
            </w:pPr>
            <w:r>
              <w:t>徐财预指【2024】1-1109号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应急救援任务有效完成率</w:t>
            </w:r>
          </w:p>
        </w:tc>
        <w:tc>
          <w:tcPr>
            <w:tcW w:w="5386" w:type="dxa"/>
            <w:vAlign w:val="center"/>
          </w:tcPr>
          <w:p>
            <w:pPr>
              <w:pStyle w:val="13"/>
            </w:pPr>
            <w:r>
              <w:t>应急救援任务有效完成情况</w:t>
            </w:r>
          </w:p>
        </w:tc>
        <w:tc>
          <w:tcPr>
            <w:tcW w:w="2268" w:type="dxa"/>
            <w:vAlign w:val="center"/>
          </w:tcPr>
          <w:p>
            <w:pPr>
              <w:pStyle w:val="13"/>
            </w:pPr>
            <w:r>
              <w:t>≥90%</w:t>
            </w:r>
          </w:p>
        </w:tc>
        <w:tc>
          <w:tcPr>
            <w:tcW w:w="1276" w:type="dxa"/>
            <w:vAlign w:val="center"/>
          </w:tcPr>
          <w:p>
            <w:pPr>
              <w:pStyle w:val="13"/>
            </w:pPr>
            <w:r>
              <w:t>保定市徐水区发展和改革局关于保定市徐水区水毁道路修缮工程可行性研究报告（代初步设计）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接受救援对象满意度</w:t>
            </w:r>
          </w:p>
        </w:tc>
        <w:tc>
          <w:tcPr>
            <w:tcW w:w="5386" w:type="dxa"/>
            <w:vAlign w:val="center"/>
          </w:tcPr>
          <w:p>
            <w:pPr>
              <w:pStyle w:val="13"/>
            </w:pPr>
            <w:r>
              <w:t>接受救援群众满意情况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7、提前下达2025年交通运输领域专项资金（第一批）绩效目标表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13062525P00018610001L</w:t>
            </w:r>
          </w:p>
        </w:tc>
        <w:tc>
          <w:tcPr>
            <w:tcW w:w="2835" w:type="dxa"/>
            <w:vAlign w:val="center"/>
          </w:tcPr>
          <w:p>
            <w:pPr>
              <w:pStyle w:val="11"/>
            </w:pPr>
            <w:r>
              <w:t>项目名称</w:t>
            </w:r>
          </w:p>
        </w:tc>
        <w:tc>
          <w:tcPr>
            <w:tcW w:w="6095" w:type="dxa"/>
            <w:gridSpan w:val="3"/>
            <w:vAlign w:val="center"/>
          </w:tcPr>
          <w:p>
            <w:pPr>
              <w:pStyle w:val="13"/>
            </w:pPr>
            <w:r>
              <w:t>提前下达2025年交通运输领域专项资金（第一批）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705.00</w:t>
            </w:r>
          </w:p>
        </w:tc>
        <w:tc>
          <w:tcPr>
            <w:tcW w:w="2835" w:type="dxa"/>
            <w:vAlign w:val="center"/>
          </w:tcPr>
          <w:p>
            <w:pPr>
              <w:pStyle w:val="11"/>
            </w:pPr>
            <w:r>
              <w:t>其中：财政    资金</w:t>
            </w:r>
          </w:p>
        </w:tc>
        <w:tc>
          <w:tcPr>
            <w:tcW w:w="2551" w:type="dxa"/>
            <w:vAlign w:val="center"/>
          </w:tcPr>
          <w:p>
            <w:pPr>
              <w:pStyle w:val="13"/>
            </w:pPr>
            <w:r>
              <w:t>705.00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提前下达2025年交通运输领域专项资金（第一批）</w:t>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1.完成“十四五”现代综合交通运输体系发展规划范围内的综合交通、公路、水运等年度建设任务。</w:t>
            </w:r>
            <w:r>
              <w:tab/>
            </w:r>
            <w:r>
              <w:tab/>
            </w:r>
            <w:r>
              <w:tab/>
            </w:r>
            <w:r>
              <w:tab/>
            </w:r>
            <w:r>
              <w:tab/>
            </w:r>
            <w:r>
              <w:tab/>
            </w:r>
          </w:p>
          <w:p>
            <w:pPr>
              <w:pStyle w:val="13"/>
            </w:pPr>
          </w:p>
          <w:p>
            <w:pPr>
              <w:pStyle w:val="13"/>
            </w:pPr>
            <w:r>
              <w:t>2.建设改造农村公路13公里。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年度建设改造农村公路里程</w:t>
            </w:r>
          </w:p>
        </w:tc>
        <w:tc>
          <w:tcPr>
            <w:tcW w:w="5386" w:type="dxa"/>
            <w:vAlign w:val="center"/>
          </w:tcPr>
          <w:p>
            <w:pPr>
              <w:pStyle w:val="13"/>
            </w:pPr>
            <w:r>
              <w:t>年度建设改造农村公路里程情况</w:t>
            </w:r>
          </w:p>
        </w:tc>
        <w:tc>
          <w:tcPr>
            <w:tcW w:w="2268" w:type="dxa"/>
            <w:vAlign w:val="center"/>
          </w:tcPr>
          <w:p>
            <w:pPr>
              <w:pStyle w:val="13"/>
            </w:pPr>
            <w:r>
              <w:t>≤13公里</w:t>
            </w:r>
          </w:p>
        </w:tc>
        <w:tc>
          <w:tcPr>
            <w:tcW w:w="1276" w:type="dxa"/>
            <w:vAlign w:val="center"/>
          </w:tcPr>
          <w:p>
            <w:pPr>
              <w:pStyle w:val="13"/>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完工项目验收合格率</w:t>
            </w:r>
          </w:p>
        </w:tc>
        <w:tc>
          <w:tcPr>
            <w:tcW w:w="5386" w:type="dxa"/>
            <w:vAlign w:val="center"/>
          </w:tcPr>
          <w:p>
            <w:pPr>
              <w:pStyle w:val="13"/>
            </w:pPr>
            <w:r>
              <w:t>完工项目验收合格情况</w:t>
            </w:r>
          </w:p>
        </w:tc>
        <w:tc>
          <w:tcPr>
            <w:tcW w:w="2268" w:type="dxa"/>
            <w:vAlign w:val="center"/>
          </w:tcPr>
          <w:p>
            <w:pPr>
              <w:pStyle w:val="13"/>
            </w:pPr>
            <w:r>
              <w:t>100%</w:t>
            </w:r>
          </w:p>
        </w:tc>
        <w:tc>
          <w:tcPr>
            <w:tcW w:w="1276" w:type="dxa"/>
            <w:vAlign w:val="center"/>
          </w:tcPr>
          <w:p>
            <w:pPr>
              <w:pStyle w:val="13"/>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按期完成投资率</w:t>
            </w:r>
          </w:p>
        </w:tc>
        <w:tc>
          <w:tcPr>
            <w:tcW w:w="5386" w:type="dxa"/>
            <w:vAlign w:val="center"/>
          </w:tcPr>
          <w:p>
            <w:pPr>
              <w:pStyle w:val="13"/>
            </w:pPr>
            <w:r>
              <w:t>按期完成投资情况</w:t>
            </w:r>
          </w:p>
        </w:tc>
        <w:tc>
          <w:tcPr>
            <w:tcW w:w="2268" w:type="dxa"/>
            <w:vAlign w:val="center"/>
          </w:tcPr>
          <w:p>
            <w:pPr>
              <w:pStyle w:val="13"/>
            </w:pPr>
            <w:r>
              <w:t>100%</w:t>
            </w:r>
          </w:p>
        </w:tc>
        <w:tc>
          <w:tcPr>
            <w:tcW w:w="1276" w:type="dxa"/>
            <w:vAlign w:val="center"/>
          </w:tcPr>
          <w:p>
            <w:pPr>
              <w:pStyle w:val="13"/>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项目支出符合概算批复的标准</w:t>
            </w:r>
          </w:p>
        </w:tc>
        <w:tc>
          <w:tcPr>
            <w:tcW w:w="5386" w:type="dxa"/>
            <w:vAlign w:val="center"/>
          </w:tcPr>
          <w:p>
            <w:pPr>
              <w:pStyle w:val="13"/>
            </w:pPr>
            <w:r>
              <w:t>项目支出符合概算批复的标准情况</w:t>
            </w:r>
          </w:p>
        </w:tc>
        <w:tc>
          <w:tcPr>
            <w:tcW w:w="2268" w:type="dxa"/>
            <w:vAlign w:val="center"/>
          </w:tcPr>
          <w:p>
            <w:pPr>
              <w:pStyle w:val="13"/>
            </w:pPr>
            <w:r>
              <w:t>705万元</w:t>
            </w:r>
          </w:p>
        </w:tc>
        <w:tc>
          <w:tcPr>
            <w:tcW w:w="1276" w:type="dxa"/>
            <w:vAlign w:val="center"/>
          </w:tcPr>
          <w:p>
            <w:pPr>
              <w:pStyle w:val="13"/>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对项目周边区域经济发展的促进提高率</w:t>
            </w:r>
          </w:p>
        </w:tc>
        <w:tc>
          <w:tcPr>
            <w:tcW w:w="5386" w:type="dxa"/>
            <w:vAlign w:val="center"/>
          </w:tcPr>
          <w:p>
            <w:pPr>
              <w:pStyle w:val="13"/>
            </w:pPr>
            <w:r>
              <w:t>对项目周边区域经济发展的促进提高情况</w:t>
            </w:r>
          </w:p>
        </w:tc>
        <w:tc>
          <w:tcPr>
            <w:tcW w:w="2268" w:type="dxa"/>
            <w:vAlign w:val="center"/>
          </w:tcPr>
          <w:p>
            <w:pPr>
              <w:pStyle w:val="13"/>
            </w:pPr>
            <w:r>
              <w:t>≥1.8%</w:t>
            </w:r>
          </w:p>
        </w:tc>
        <w:tc>
          <w:tcPr>
            <w:tcW w:w="1276" w:type="dxa"/>
            <w:vAlign w:val="center"/>
          </w:tcPr>
          <w:p>
            <w:pPr>
              <w:pStyle w:val="13"/>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公路安全水平提升率</w:t>
            </w:r>
          </w:p>
        </w:tc>
        <w:tc>
          <w:tcPr>
            <w:tcW w:w="5386" w:type="dxa"/>
            <w:vAlign w:val="center"/>
          </w:tcPr>
          <w:p>
            <w:pPr>
              <w:pStyle w:val="13"/>
            </w:pPr>
            <w:r>
              <w:t>公路安全水平提升情况</w:t>
            </w:r>
          </w:p>
        </w:tc>
        <w:tc>
          <w:tcPr>
            <w:tcW w:w="2268" w:type="dxa"/>
            <w:vAlign w:val="center"/>
          </w:tcPr>
          <w:p>
            <w:pPr>
              <w:pStyle w:val="13"/>
            </w:pPr>
            <w:r>
              <w:t>≥30%</w:t>
            </w:r>
          </w:p>
        </w:tc>
        <w:tc>
          <w:tcPr>
            <w:tcW w:w="1276" w:type="dxa"/>
            <w:vAlign w:val="center"/>
          </w:tcPr>
          <w:p>
            <w:pPr>
              <w:pStyle w:val="13"/>
            </w:pPr>
            <w:r>
              <w:t>保定市财政局关于提前下达2025年交通运输领域专项资金(第一批）的通知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改善通行服务水平群众满意度</w:t>
            </w:r>
          </w:p>
        </w:tc>
        <w:tc>
          <w:tcPr>
            <w:tcW w:w="5386" w:type="dxa"/>
            <w:vAlign w:val="center"/>
          </w:tcPr>
          <w:p>
            <w:pPr>
              <w:pStyle w:val="13"/>
            </w:pPr>
            <w:r>
              <w:t>改善通行服务水平群众满意度情况</w:t>
            </w:r>
          </w:p>
        </w:tc>
        <w:tc>
          <w:tcPr>
            <w:tcW w:w="2268" w:type="dxa"/>
            <w:vAlign w:val="center"/>
          </w:tcPr>
          <w:p>
            <w:pPr>
              <w:pStyle w:val="13"/>
            </w:pPr>
            <w:r>
              <w:t>≥80%</w:t>
            </w:r>
          </w:p>
        </w:tc>
        <w:tc>
          <w:tcPr>
            <w:tcW w:w="1276" w:type="dxa"/>
            <w:vAlign w:val="center"/>
          </w:tcPr>
          <w:p>
            <w:pPr>
              <w:pStyle w:val="13"/>
            </w:pPr>
            <w:r>
              <w:t>社会调查问卷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8、提前下达2025年农村公路建设养护发展专项资金(建设改造）绩效目标表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13062525P00018610003U</w:t>
            </w:r>
          </w:p>
        </w:tc>
        <w:tc>
          <w:tcPr>
            <w:tcW w:w="2835" w:type="dxa"/>
            <w:vAlign w:val="center"/>
          </w:tcPr>
          <w:p>
            <w:pPr>
              <w:pStyle w:val="11"/>
            </w:pPr>
            <w:r>
              <w:t>项目名称</w:t>
            </w:r>
          </w:p>
        </w:tc>
        <w:tc>
          <w:tcPr>
            <w:tcW w:w="6095" w:type="dxa"/>
            <w:gridSpan w:val="3"/>
            <w:vAlign w:val="center"/>
          </w:tcPr>
          <w:p>
            <w:pPr>
              <w:pStyle w:val="13"/>
            </w:pPr>
            <w:r>
              <w:t>提前下达2025年农村公路建设养护发展专项资金(建设改造）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提前下达2025年农村公路建设养护发展专项资金(建设改造）</w:t>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1.完成农村公路建设改造任务，推动四好农村路高质量发展，完成水毁农村公路恢复重建，农村公路路网结构和公路路况进一步优化和改善，公路通行能力进一步提升。</w:t>
            </w:r>
          </w:p>
          <w:p>
            <w:pPr>
              <w:pStyle w:val="13"/>
            </w:pPr>
            <w:r>
              <w:t>2."支持农村公路建设改造0.7公里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支持农村公路建设改造里程</w:t>
            </w:r>
          </w:p>
        </w:tc>
        <w:tc>
          <w:tcPr>
            <w:tcW w:w="5386" w:type="dxa"/>
            <w:vAlign w:val="center"/>
          </w:tcPr>
          <w:p>
            <w:pPr>
              <w:pStyle w:val="13"/>
            </w:pPr>
            <w:r>
              <w:t>支持农村公路建设改造里程情况</w:t>
            </w:r>
          </w:p>
        </w:tc>
        <w:tc>
          <w:tcPr>
            <w:tcW w:w="2268" w:type="dxa"/>
            <w:vAlign w:val="center"/>
          </w:tcPr>
          <w:p>
            <w:pPr>
              <w:pStyle w:val="13"/>
            </w:pPr>
            <w:r>
              <w:t>≤0.7公里</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工程质量合格情况</w:t>
            </w:r>
          </w:p>
        </w:tc>
        <w:tc>
          <w:tcPr>
            <w:tcW w:w="2268" w:type="dxa"/>
            <w:vAlign w:val="center"/>
          </w:tcPr>
          <w:p>
            <w:pPr>
              <w:pStyle w:val="13"/>
            </w:pPr>
            <w:r>
              <w:t>100%</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完成项目时间情况</w:t>
            </w:r>
          </w:p>
        </w:tc>
        <w:tc>
          <w:tcPr>
            <w:tcW w:w="2268" w:type="dxa"/>
            <w:vAlign w:val="center"/>
          </w:tcPr>
          <w:p>
            <w:pPr>
              <w:pStyle w:val="13"/>
            </w:pPr>
            <w:r>
              <w:t>≤12月</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工程项目造价情况</w:t>
            </w:r>
          </w:p>
        </w:tc>
        <w:tc>
          <w:tcPr>
            <w:tcW w:w="2268" w:type="dxa"/>
            <w:vAlign w:val="center"/>
          </w:tcPr>
          <w:p>
            <w:pPr>
              <w:pStyle w:val="13"/>
            </w:pPr>
            <w:r>
              <w:t>7万元</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对项目周边区域经济发展的促进提高率</w:t>
            </w:r>
          </w:p>
        </w:tc>
        <w:tc>
          <w:tcPr>
            <w:tcW w:w="5386" w:type="dxa"/>
            <w:vAlign w:val="center"/>
          </w:tcPr>
          <w:p>
            <w:pPr>
              <w:pStyle w:val="13"/>
            </w:pPr>
            <w:r>
              <w:t>对项目周边区域经济发展的促进提高情况</w:t>
            </w:r>
          </w:p>
        </w:tc>
        <w:tc>
          <w:tcPr>
            <w:tcW w:w="2268" w:type="dxa"/>
            <w:vAlign w:val="center"/>
          </w:tcPr>
          <w:p>
            <w:pPr>
              <w:pStyle w:val="13"/>
            </w:pPr>
            <w:r>
              <w:t>≥1.8%</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公路安全水平提升率</w:t>
            </w:r>
          </w:p>
        </w:tc>
        <w:tc>
          <w:tcPr>
            <w:tcW w:w="5386" w:type="dxa"/>
            <w:vAlign w:val="center"/>
          </w:tcPr>
          <w:p>
            <w:pPr>
              <w:pStyle w:val="13"/>
            </w:pPr>
            <w:r>
              <w:t>公路安全水平提升情况</w:t>
            </w:r>
          </w:p>
        </w:tc>
        <w:tc>
          <w:tcPr>
            <w:tcW w:w="2268" w:type="dxa"/>
            <w:vAlign w:val="center"/>
          </w:tcPr>
          <w:p>
            <w:pPr>
              <w:pStyle w:val="13"/>
            </w:pPr>
            <w:r>
              <w:t>≥30%</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社会公众和服务对象满意度</w:t>
            </w:r>
          </w:p>
        </w:tc>
        <w:tc>
          <w:tcPr>
            <w:tcW w:w="2268" w:type="dxa"/>
            <w:vAlign w:val="center"/>
          </w:tcPr>
          <w:p>
            <w:pPr>
              <w:pStyle w:val="13"/>
            </w:pPr>
            <w:r>
              <w:t>≥90%</w:t>
            </w:r>
          </w:p>
        </w:tc>
        <w:tc>
          <w:tcPr>
            <w:tcW w:w="1276" w:type="dxa"/>
            <w:vAlign w:val="center"/>
          </w:tcPr>
          <w:p>
            <w:pPr>
              <w:pStyle w:val="13"/>
            </w:pPr>
            <w:r>
              <w:t>社会满意度调查报告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9、提前下达2025年农村公路建设养护发展专项资金（日常养护）绩效目标表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13062525P00018610004F</w:t>
            </w:r>
          </w:p>
        </w:tc>
        <w:tc>
          <w:tcPr>
            <w:tcW w:w="2835" w:type="dxa"/>
            <w:vAlign w:val="center"/>
          </w:tcPr>
          <w:p>
            <w:pPr>
              <w:pStyle w:val="11"/>
            </w:pPr>
            <w:r>
              <w:t>项目名称</w:t>
            </w:r>
          </w:p>
        </w:tc>
        <w:tc>
          <w:tcPr>
            <w:tcW w:w="6095" w:type="dxa"/>
            <w:gridSpan w:val="3"/>
            <w:vAlign w:val="center"/>
          </w:tcPr>
          <w:p>
            <w:pPr>
              <w:pStyle w:val="13"/>
            </w:pPr>
            <w:r>
              <w:t>提前下达2025年农村公路建设养护发展专项资金（日常养护）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提前下达2025年农村公路建设养护发展专项资金（日常养护）</w:t>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1.完成农村公路建设改造任务，推动四好农村路高质量发展，完成水毁农村公路恢复重建，农村公路路网结构和公路路况进一步优化和改善，公路通行能力进一步提升。</w:t>
            </w:r>
            <w:r>
              <w:tab/>
            </w:r>
            <w:r>
              <w:tab/>
            </w:r>
            <w:r>
              <w:tab/>
            </w:r>
            <w:r>
              <w:tab/>
            </w:r>
            <w:r>
              <w:tab/>
            </w:r>
          </w:p>
          <w:p>
            <w:pPr>
              <w:pStyle w:val="13"/>
            </w:pPr>
          </w:p>
          <w:p>
            <w:pPr>
              <w:pStyle w:val="13"/>
            </w:pPr>
            <w:r>
              <w:t>2.支持农村公路日常养护改造2.8公里。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支持农村公路日常养护改造里程</w:t>
            </w:r>
          </w:p>
        </w:tc>
        <w:tc>
          <w:tcPr>
            <w:tcW w:w="5386" w:type="dxa"/>
            <w:vAlign w:val="center"/>
          </w:tcPr>
          <w:p>
            <w:pPr>
              <w:pStyle w:val="13"/>
            </w:pPr>
            <w:r>
              <w:t>支持农村公路日常养护改造里程情况</w:t>
            </w:r>
          </w:p>
        </w:tc>
        <w:tc>
          <w:tcPr>
            <w:tcW w:w="2268" w:type="dxa"/>
            <w:vAlign w:val="center"/>
          </w:tcPr>
          <w:p>
            <w:pPr>
              <w:pStyle w:val="13"/>
            </w:pPr>
            <w:r>
              <w:t>≤2.8公里</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工程质量合格情况</w:t>
            </w:r>
          </w:p>
        </w:tc>
        <w:tc>
          <w:tcPr>
            <w:tcW w:w="2268" w:type="dxa"/>
            <w:vAlign w:val="center"/>
          </w:tcPr>
          <w:p>
            <w:pPr>
              <w:pStyle w:val="13"/>
            </w:pPr>
            <w:r>
              <w:t>100%</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完成项目时间情况</w:t>
            </w:r>
          </w:p>
        </w:tc>
        <w:tc>
          <w:tcPr>
            <w:tcW w:w="2268" w:type="dxa"/>
            <w:vAlign w:val="center"/>
          </w:tcPr>
          <w:p>
            <w:pPr>
              <w:pStyle w:val="13"/>
            </w:pPr>
            <w:r>
              <w:t>≤12月</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工程项目造价情况</w:t>
            </w:r>
          </w:p>
        </w:tc>
        <w:tc>
          <w:tcPr>
            <w:tcW w:w="2268" w:type="dxa"/>
            <w:vAlign w:val="center"/>
          </w:tcPr>
          <w:p>
            <w:pPr>
              <w:pStyle w:val="13"/>
            </w:pPr>
            <w:r>
              <w:t>28万元</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对项目周边区域经济发展的促进提高率</w:t>
            </w:r>
          </w:p>
        </w:tc>
        <w:tc>
          <w:tcPr>
            <w:tcW w:w="5386" w:type="dxa"/>
            <w:vAlign w:val="center"/>
          </w:tcPr>
          <w:p>
            <w:pPr>
              <w:pStyle w:val="13"/>
            </w:pPr>
            <w:r>
              <w:t>对项目周边区域经济发展的促进提高情况</w:t>
            </w:r>
          </w:p>
        </w:tc>
        <w:tc>
          <w:tcPr>
            <w:tcW w:w="2268" w:type="dxa"/>
            <w:vAlign w:val="center"/>
          </w:tcPr>
          <w:p>
            <w:pPr>
              <w:pStyle w:val="13"/>
            </w:pPr>
            <w:r>
              <w:t>≥1.8%</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公路安全水平提升率</w:t>
            </w:r>
          </w:p>
        </w:tc>
        <w:tc>
          <w:tcPr>
            <w:tcW w:w="5386" w:type="dxa"/>
            <w:vAlign w:val="center"/>
          </w:tcPr>
          <w:p>
            <w:pPr>
              <w:pStyle w:val="13"/>
            </w:pPr>
            <w:r>
              <w:t>公路安全水平提升情况</w:t>
            </w:r>
          </w:p>
        </w:tc>
        <w:tc>
          <w:tcPr>
            <w:tcW w:w="2268" w:type="dxa"/>
            <w:vAlign w:val="center"/>
          </w:tcPr>
          <w:p>
            <w:pPr>
              <w:pStyle w:val="13"/>
            </w:pPr>
            <w:r>
              <w:t>≥30%</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社会公众和服务对象满意度</w:t>
            </w:r>
          </w:p>
        </w:tc>
        <w:tc>
          <w:tcPr>
            <w:tcW w:w="2268" w:type="dxa"/>
            <w:vAlign w:val="center"/>
          </w:tcPr>
          <w:p>
            <w:pPr>
              <w:pStyle w:val="13"/>
            </w:pPr>
            <w:r>
              <w:t>≥90%</w:t>
            </w:r>
          </w:p>
        </w:tc>
        <w:tc>
          <w:tcPr>
            <w:tcW w:w="1276" w:type="dxa"/>
            <w:vAlign w:val="center"/>
          </w:tcPr>
          <w:p>
            <w:pPr>
              <w:pStyle w:val="13"/>
            </w:pPr>
            <w:r>
              <w:t>社会满意度调查报告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10、提前下达2025年农村公路建设养护发展专项资金（养护工程）绩效目标表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13062525P000186100028</w:t>
            </w:r>
          </w:p>
        </w:tc>
        <w:tc>
          <w:tcPr>
            <w:tcW w:w="2835" w:type="dxa"/>
            <w:vAlign w:val="center"/>
          </w:tcPr>
          <w:p>
            <w:pPr>
              <w:pStyle w:val="11"/>
            </w:pPr>
            <w:r>
              <w:t>项目名称</w:t>
            </w:r>
          </w:p>
        </w:tc>
        <w:tc>
          <w:tcPr>
            <w:tcW w:w="6095" w:type="dxa"/>
            <w:gridSpan w:val="3"/>
            <w:vAlign w:val="center"/>
          </w:tcPr>
          <w:p>
            <w:pPr>
              <w:pStyle w:val="13"/>
            </w:pPr>
            <w:r>
              <w:t>提前下达2025年农村公路建设养护发展专项资金（养护工程）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95.00</w:t>
            </w:r>
          </w:p>
        </w:tc>
        <w:tc>
          <w:tcPr>
            <w:tcW w:w="2835" w:type="dxa"/>
            <w:vAlign w:val="center"/>
          </w:tcPr>
          <w:p>
            <w:pPr>
              <w:pStyle w:val="11"/>
            </w:pPr>
            <w:r>
              <w:t>其中：财政    资金</w:t>
            </w:r>
          </w:p>
        </w:tc>
        <w:tc>
          <w:tcPr>
            <w:tcW w:w="2551" w:type="dxa"/>
            <w:vAlign w:val="center"/>
          </w:tcPr>
          <w:p>
            <w:pPr>
              <w:pStyle w:val="13"/>
            </w:pPr>
            <w:r>
              <w:t>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提前下达2025年农村公路建设养护发展专项资金（养护工程）</w:t>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1."支持农村公路养护改造9.5公里。</w:t>
            </w:r>
          </w:p>
          <w:p>
            <w:pPr>
              <w:pStyle w:val="13"/>
            </w:pPr>
            <w:r>
              <w:t>"</w:t>
            </w:r>
            <w:r>
              <w:tab/>
            </w:r>
            <w:r>
              <w:tab/>
            </w:r>
            <w:r>
              <w:tab/>
            </w:r>
            <w:r>
              <w:tab/>
            </w:r>
            <w:r>
              <w:tab/>
            </w:r>
            <w:r>
              <w:tab/>
            </w:r>
          </w:p>
          <w:p>
            <w:pPr>
              <w:pStyle w:val="13"/>
            </w:pPr>
          </w:p>
          <w:p>
            <w:pPr>
              <w:pStyle w:val="13"/>
            </w:pPr>
            <w:r>
              <w:t>2.完成农村公路建设改造任务，推动四好农村路高质量发展，完成水毁农村公路恢复重建，农村公路路网结构和公路路况进一步优化和改善，公路通行能力进一步提升。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支持农村公路养护改造里程</w:t>
            </w:r>
          </w:p>
        </w:tc>
        <w:tc>
          <w:tcPr>
            <w:tcW w:w="5386" w:type="dxa"/>
            <w:vAlign w:val="center"/>
          </w:tcPr>
          <w:p>
            <w:pPr>
              <w:pStyle w:val="13"/>
            </w:pPr>
            <w:r>
              <w:t>支持农村公路养护改造里程情况</w:t>
            </w:r>
          </w:p>
        </w:tc>
        <w:tc>
          <w:tcPr>
            <w:tcW w:w="2268" w:type="dxa"/>
            <w:vAlign w:val="center"/>
          </w:tcPr>
          <w:p>
            <w:pPr>
              <w:pStyle w:val="13"/>
            </w:pPr>
            <w:r>
              <w:t>≤9.5公里</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工程质量合格率</w:t>
            </w:r>
          </w:p>
        </w:tc>
        <w:tc>
          <w:tcPr>
            <w:tcW w:w="5386" w:type="dxa"/>
            <w:vAlign w:val="center"/>
          </w:tcPr>
          <w:p>
            <w:pPr>
              <w:pStyle w:val="13"/>
            </w:pPr>
            <w:r>
              <w:t>工程质量合格情况</w:t>
            </w:r>
          </w:p>
        </w:tc>
        <w:tc>
          <w:tcPr>
            <w:tcW w:w="2268" w:type="dxa"/>
            <w:vAlign w:val="center"/>
          </w:tcPr>
          <w:p>
            <w:pPr>
              <w:pStyle w:val="13"/>
            </w:pPr>
            <w:r>
              <w:t>100%</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完成项目时间</w:t>
            </w:r>
          </w:p>
        </w:tc>
        <w:tc>
          <w:tcPr>
            <w:tcW w:w="5386" w:type="dxa"/>
            <w:vAlign w:val="center"/>
          </w:tcPr>
          <w:p>
            <w:pPr>
              <w:pStyle w:val="13"/>
            </w:pPr>
            <w:r>
              <w:t>完成项目时间情况</w:t>
            </w:r>
          </w:p>
        </w:tc>
        <w:tc>
          <w:tcPr>
            <w:tcW w:w="2268" w:type="dxa"/>
            <w:vAlign w:val="center"/>
          </w:tcPr>
          <w:p>
            <w:pPr>
              <w:pStyle w:val="13"/>
            </w:pPr>
            <w:r>
              <w:t>≤12月</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工程项目造价</w:t>
            </w:r>
          </w:p>
        </w:tc>
        <w:tc>
          <w:tcPr>
            <w:tcW w:w="5386" w:type="dxa"/>
            <w:vAlign w:val="center"/>
          </w:tcPr>
          <w:p>
            <w:pPr>
              <w:pStyle w:val="13"/>
            </w:pPr>
            <w:r>
              <w:t>工程项目造价情况</w:t>
            </w:r>
          </w:p>
        </w:tc>
        <w:tc>
          <w:tcPr>
            <w:tcW w:w="2268" w:type="dxa"/>
            <w:vAlign w:val="center"/>
          </w:tcPr>
          <w:p>
            <w:pPr>
              <w:pStyle w:val="13"/>
            </w:pPr>
            <w:r>
              <w:t>95万元</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对项目周边区域经济发展的促进提高率</w:t>
            </w:r>
          </w:p>
        </w:tc>
        <w:tc>
          <w:tcPr>
            <w:tcW w:w="5386" w:type="dxa"/>
            <w:vAlign w:val="center"/>
          </w:tcPr>
          <w:p>
            <w:pPr>
              <w:pStyle w:val="13"/>
            </w:pPr>
            <w:r>
              <w:t>对项目周边区域经济发展的促进提高情况</w:t>
            </w:r>
          </w:p>
        </w:tc>
        <w:tc>
          <w:tcPr>
            <w:tcW w:w="2268" w:type="dxa"/>
            <w:vAlign w:val="center"/>
          </w:tcPr>
          <w:p>
            <w:pPr>
              <w:pStyle w:val="13"/>
            </w:pPr>
            <w:r>
              <w:t>≥1.8%</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公路安全水平提升率</w:t>
            </w:r>
          </w:p>
        </w:tc>
        <w:tc>
          <w:tcPr>
            <w:tcW w:w="5386" w:type="dxa"/>
            <w:vAlign w:val="center"/>
          </w:tcPr>
          <w:p>
            <w:pPr>
              <w:pStyle w:val="13"/>
            </w:pPr>
            <w:r>
              <w:t>公路安全水平提升情况</w:t>
            </w:r>
          </w:p>
        </w:tc>
        <w:tc>
          <w:tcPr>
            <w:tcW w:w="2268" w:type="dxa"/>
            <w:vAlign w:val="center"/>
          </w:tcPr>
          <w:p>
            <w:pPr>
              <w:pStyle w:val="13"/>
            </w:pPr>
            <w:r>
              <w:t>≥30%</w:t>
            </w:r>
          </w:p>
        </w:tc>
        <w:tc>
          <w:tcPr>
            <w:tcW w:w="1276" w:type="dxa"/>
            <w:vAlign w:val="center"/>
          </w:tcPr>
          <w:p>
            <w:pPr>
              <w:pStyle w:val="13"/>
            </w:pPr>
            <w:r>
              <w:t>保定市财政局关于提前下达2025年农村公路建设养护发展专项资金的通知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社会公众和服务对象满意度</w:t>
            </w:r>
          </w:p>
        </w:tc>
        <w:tc>
          <w:tcPr>
            <w:tcW w:w="2268" w:type="dxa"/>
            <w:vAlign w:val="center"/>
          </w:tcPr>
          <w:p>
            <w:pPr>
              <w:pStyle w:val="13"/>
            </w:pPr>
            <w:r>
              <w:t>≥90%</w:t>
            </w:r>
          </w:p>
        </w:tc>
        <w:tc>
          <w:tcPr>
            <w:tcW w:w="1276" w:type="dxa"/>
            <w:vAlign w:val="center"/>
          </w:tcPr>
          <w:p>
            <w:pPr>
              <w:pStyle w:val="13"/>
            </w:pPr>
            <w:r>
              <w:t>社会满意度调查报告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11、下达2024年农村道路客运补贴、城市交通发展奖励资金（城市交通发展奖励资金）绩效目标表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13062524P00001710644K</w:t>
            </w:r>
          </w:p>
        </w:tc>
        <w:tc>
          <w:tcPr>
            <w:tcW w:w="2835" w:type="dxa"/>
            <w:vAlign w:val="center"/>
          </w:tcPr>
          <w:p>
            <w:pPr>
              <w:pStyle w:val="11"/>
            </w:pPr>
            <w:r>
              <w:t>项目名称</w:t>
            </w:r>
          </w:p>
        </w:tc>
        <w:tc>
          <w:tcPr>
            <w:tcW w:w="6095" w:type="dxa"/>
            <w:gridSpan w:val="3"/>
            <w:vAlign w:val="center"/>
          </w:tcPr>
          <w:p>
            <w:pPr>
              <w:pStyle w:val="13"/>
            </w:pPr>
            <w:r>
              <w:t>下达2024年农村道路客运补贴、城市交通发展奖励资金（城市交通发展奖励资金）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198.00</w:t>
            </w:r>
          </w:p>
        </w:tc>
        <w:tc>
          <w:tcPr>
            <w:tcW w:w="2835" w:type="dxa"/>
            <w:vAlign w:val="center"/>
          </w:tcPr>
          <w:p>
            <w:pPr>
              <w:pStyle w:val="11"/>
            </w:pPr>
            <w:r>
              <w:t>其中：财政    资金</w:t>
            </w:r>
          </w:p>
        </w:tc>
        <w:tc>
          <w:tcPr>
            <w:tcW w:w="2551" w:type="dxa"/>
            <w:vAlign w:val="center"/>
          </w:tcPr>
          <w:p>
            <w:pPr>
              <w:pStyle w:val="13"/>
            </w:pPr>
            <w:r>
              <w:t>198.00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下达2024年农村道路客运补贴、城市交通发展奖励资金（城市交通发展奖励资金）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1.新能源公交车运营补贴728.95标台公里</w:t>
            </w:r>
          </w:p>
          <w:p>
            <w:pPr>
              <w:pStyle w:val="13"/>
            </w:pPr>
            <w:r>
              <w:t>2.支持出租车行业电动化、城市交通领域新能源车运营，鼓励支持新能源公交车和电池更新。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新能源公交车运营补贴的标台公里数</w:t>
            </w:r>
          </w:p>
        </w:tc>
        <w:tc>
          <w:tcPr>
            <w:tcW w:w="5386" w:type="dxa"/>
            <w:vAlign w:val="center"/>
          </w:tcPr>
          <w:p>
            <w:pPr>
              <w:pStyle w:val="13"/>
            </w:pPr>
            <w:r>
              <w:t>新能源公交车运营补贴的标台公里数情况</w:t>
            </w:r>
          </w:p>
        </w:tc>
        <w:tc>
          <w:tcPr>
            <w:tcW w:w="2268" w:type="dxa"/>
            <w:vAlign w:val="center"/>
          </w:tcPr>
          <w:p>
            <w:pPr>
              <w:pStyle w:val="13"/>
            </w:pPr>
            <w:r>
              <w:t>≥728.95标台.万公里</w:t>
            </w:r>
          </w:p>
        </w:tc>
        <w:tc>
          <w:tcPr>
            <w:tcW w:w="1276" w:type="dxa"/>
            <w:vAlign w:val="center"/>
          </w:tcPr>
          <w:p>
            <w:pPr>
              <w:pStyle w:val="13"/>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补贴资金发放准确率</w:t>
            </w:r>
          </w:p>
        </w:tc>
        <w:tc>
          <w:tcPr>
            <w:tcW w:w="5386" w:type="dxa"/>
            <w:vAlign w:val="center"/>
          </w:tcPr>
          <w:p>
            <w:pPr>
              <w:pStyle w:val="13"/>
            </w:pPr>
            <w:r>
              <w:t>补贴资金发放准确情况</w:t>
            </w:r>
          </w:p>
        </w:tc>
        <w:tc>
          <w:tcPr>
            <w:tcW w:w="2268" w:type="dxa"/>
            <w:vAlign w:val="center"/>
          </w:tcPr>
          <w:p>
            <w:pPr>
              <w:pStyle w:val="13"/>
            </w:pPr>
            <w:r>
              <w:t>100%</w:t>
            </w:r>
          </w:p>
        </w:tc>
        <w:tc>
          <w:tcPr>
            <w:tcW w:w="1276" w:type="dxa"/>
            <w:vAlign w:val="center"/>
          </w:tcPr>
          <w:p>
            <w:pPr>
              <w:pStyle w:val="13"/>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完成补贴发放率</w:t>
            </w:r>
          </w:p>
        </w:tc>
        <w:tc>
          <w:tcPr>
            <w:tcW w:w="5386" w:type="dxa"/>
            <w:vAlign w:val="center"/>
          </w:tcPr>
          <w:p>
            <w:pPr>
              <w:pStyle w:val="13"/>
            </w:pPr>
            <w:r>
              <w:t>完成补贴发放情况</w:t>
            </w:r>
          </w:p>
        </w:tc>
        <w:tc>
          <w:tcPr>
            <w:tcW w:w="2268" w:type="dxa"/>
            <w:vAlign w:val="center"/>
          </w:tcPr>
          <w:p>
            <w:pPr>
              <w:pStyle w:val="13"/>
            </w:pPr>
            <w:r>
              <w:t>100%</w:t>
            </w:r>
          </w:p>
        </w:tc>
        <w:tc>
          <w:tcPr>
            <w:tcW w:w="1276" w:type="dxa"/>
            <w:vAlign w:val="center"/>
          </w:tcPr>
          <w:p>
            <w:pPr>
              <w:pStyle w:val="13"/>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补贴政策所用资金</w:t>
            </w:r>
          </w:p>
        </w:tc>
        <w:tc>
          <w:tcPr>
            <w:tcW w:w="5386" w:type="dxa"/>
            <w:vAlign w:val="center"/>
          </w:tcPr>
          <w:p>
            <w:pPr>
              <w:pStyle w:val="13"/>
            </w:pPr>
            <w:r>
              <w:t>补贴政策所用资金情况</w:t>
            </w:r>
          </w:p>
        </w:tc>
        <w:tc>
          <w:tcPr>
            <w:tcW w:w="2268" w:type="dxa"/>
            <w:vAlign w:val="center"/>
          </w:tcPr>
          <w:p>
            <w:pPr>
              <w:pStyle w:val="13"/>
            </w:pPr>
            <w:r>
              <w:t>197.99万元</w:t>
            </w:r>
          </w:p>
        </w:tc>
        <w:tc>
          <w:tcPr>
            <w:tcW w:w="1276" w:type="dxa"/>
            <w:vAlign w:val="center"/>
          </w:tcPr>
          <w:p>
            <w:pPr>
              <w:pStyle w:val="13"/>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≥80%</w:t>
            </w:r>
          </w:p>
        </w:tc>
        <w:tc>
          <w:tcPr>
            <w:tcW w:w="1276" w:type="dxa"/>
            <w:vAlign w:val="center"/>
          </w:tcPr>
          <w:p>
            <w:pPr>
              <w:pStyle w:val="13"/>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城市客运企业满意度</w:t>
            </w:r>
          </w:p>
        </w:tc>
        <w:tc>
          <w:tcPr>
            <w:tcW w:w="2268" w:type="dxa"/>
            <w:vAlign w:val="center"/>
          </w:tcPr>
          <w:p>
            <w:pPr>
              <w:pStyle w:val="13"/>
            </w:pPr>
            <w:r>
              <w:t>≥90%</w:t>
            </w:r>
          </w:p>
        </w:tc>
        <w:tc>
          <w:tcPr>
            <w:tcW w:w="1276" w:type="dxa"/>
            <w:vAlign w:val="center"/>
          </w:tcPr>
          <w:p>
            <w:pPr>
              <w:pStyle w:val="13"/>
            </w:pPr>
            <w:r>
              <w:t>社会满意度调查问卷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12、下达2024年农村道路客运补贴、城市交通发展奖励资金（农村道路客运补贴资金）绩效目标表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13062524P000017106430</w:t>
            </w:r>
          </w:p>
        </w:tc>
        <w:tc>
          <w:tcPr>
            <w:tcW w:w="2835" w:type="dxa"/>
            <w:vAlign w:val="center"/>
          </w:tcPr>
          <w:p>
            <w:pPr>
              <w:pStyle w:val="11"/>
            </w:pPr>
            <w:r>
              <w:t>项目名称</w:t>
            </w:r>
          </w:p>
        </w:tc>
        <w:tc>
          <w:tcPr>
            <w:tcW w:w="6095" w:type="dxa"/>
            <w:gridSpan w:val="3"/>
            <w:vAlign w:val="center"/>
          </w:tcPr>
          <w:p>
            <w:pPr>
              <w:pStyle w:val="13"/>
            </w:pPr>
            <w:r>
              <w:t>下达2024年农村道路客运补贴、城市交通发展奖励资金（农村道路客运补贴资金）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67.44</w:t>
            </w:r>
          </w:p>
        </w:tc>
        <w:tc>
          <w:tcPr>
            <w:tcW w:w="2835" w:type="dxa"/>
            <w:vAlign w:val="center"/>
          </w:tcPr>
          <w:p>
            <w:pPr>
              <w:pStyle w:val="11"/>
            </w:pPr>
            <w:r>
              <w:t>其中：财政    资金</w:t>
            </w:r>
          </w:p>
        </w:tc>
        <w:tc>
          <w:tcPr>
            <w:tcW w:w="2551" w:type="dxa"/>
            <w:vAlign w:val="center"/>
          </w:tcPr>
          <w:p>
            <w:pPr>
              <w:pStyle w:val="13"/>
            </w:pPr>
            <w:r>
              <w:t>67.44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下达2024农村道路客运补贴、城市交通发展奖励资金（农村道路客运补贴资金）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1.补贴运营的汽车客运站1个。</w:t>
            </w:r>
          </w:p>
          <w:p>
            <w:pPr>
              <w:pStyle w:val="13"/>
            </w:pPr>
            <w:r>
              <w:t>2.推进城乡客运公共服务均等化，强化农村客运安全运营，为人民群众提供安全、便捷出行服务。</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补贴运营的汽车客运站个数</w:t>
            </w:r>
          </w:p>
        </w:tc>
        <w:tc>
          <w:tcPr>
            <w:tcW w:w="5386" w:type="dxa"/>
            <w:vAlign w:val="center"/>
          </w:tcPr>
          <w:p>
            <w:pPr>
              <w:pStyle w:val="13"/>
            </w:pPr>
            <w:r>
              <w:t>补贴运营的汽车客运站情况</w:t>
            </w:r>
          </w:p>
        </w:tc>
        <w:tc>
          <w:tcPr>
            <w:tcW w:w="2268" w:type="dxa"/>
            <w:vAlign w:val="center"/>
          </w:tcPr>
          <w:p>
            <w:pPr>
              <w:pStyle w:val="13"/>
            </w:pPr>
            <w:r>
              <w:t>1个</w:t>
            </w:r>
          </w:p>
        </w:tc>
        <w:tc>
          <w:tcPr>
            <w:tcW w:w="1276" w:type="dxa"/>
            <w:vAlign w:val="center"/>
          </w:tcPr>
          <w:p>
            <w:pPr>
              <w:pStyle w:val="13"/>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补贴资金发放准确率</w:t>
            </w:r>
          </w:p>
        </w:tc>
        <w:tc>
          <w:tcPr>
            <w:tcW w:w="5386" w:type="dxa"/>
            <w:vAlign w:val="center"/>
          </w:tcPr>
          <w:p>
            <w:pPr>
              <w:pStyle w:val="13"/>
            </w:pPr>
            <w:r>
              <w:t>补贴资金发放准确情况</w:t>
            </w:r>
          </w:p>
        </w:tc>
        <w:tc>
          <w:tcPr>
            <w:tcW w:w="2268" w:type="dxa"/>
            <w:vAlign w:val="center"/>
          </w:tcPr>
          <w:p>
            <w:pPr>
              <w:pStyle w:val="13"/>
            </w:pPr>
            <w:r>
              <w:t>100%</w:t>
            </w:r>
          </w:p>
        </w:tc>
        <w:tc>
          <w:tcPr>
            <w:tcW w:w="1276" w:type="dxa"/>
            <w:vAlign w:val="center"/>
          </w:tcPr>
          <w:p>
            <w:pPr>
              <w:pStyle w:val="13"/>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完成补贴发放的时间</w:t>
            </w:r>
          </w:p>
        </w:tc>
        <w:tc>
          <w:tcPr>
            <w:tcW w:w="5386" w:type="dxa"/>
            <w:vAlign w:val="center"/>
          </w:tcPr>
          <w:p>
            <w:pPr>
              <w:pStyle w:val="13"/>
            </w:pPr>
            <w:r>
              <w:t>完成补贴发放时间情况</w:t>
            </w:r>
          </w:p>
        </w:tc>
        <w:tc>
          <w:tcPr>
            <w:tcW w:w="2268" w:type="dxa"/>
            <w:vAlign w:val="center"/>
          </w:tcPr>
          <w:p>
            <w:pPr>
              <w:pStyle w:val="13"/>
            </w:pPr>
            <w:r>
              <w:t>2024年12月20日前</w:t>
            </w:r>
          </w:p>
        </w:tc>
        <w:tc>
          <w:tcPr>
            <w:tcW w:w="1276" w:type="dxa"/>
            <w:vAlign w:val="center"/>
          </w:tcPr>
          <w:p>
            <w:pPr>
              <w:pStyle w:val="13"/>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补贴政策所用资金</w:t>
            </w:r>
          </w:p>
        </w:tc>
        <w:tc>
          <w:tcPr>
            <w:tcW w:w="5386" w:type="dxa"/>
            <w:vAlign w:val="center"/>
          </w:tcPr>
          <w:p>
            <w:pPr>
              <w:pStyle w:val="13"/>
            </w:pPr>
            <w:r>
              <w:t>补贴政策所用资金情况</w:t>
            </w:r>
          </w:p>
        </w:tc>
        <w:tc>
          <w:tcPr>
            <w:tcW w:w="2268" w:type="dxa"/>
            <w:vAlign w:val="center"/>
          </w:tcPr>
          <w:p>
            <w:pPr>
              <w:pStyle w:val="13"/>
            </w:pPr>
            <w:r>
              <w:t>67.44万元</w:t>
            </w:r>
          </w:p>
        </w:tc>
        <w:tc>
          <w:tcPr>
            <w:tcW w:w="1276" w:type="dxa"/>
            <w:vAlign w:val="center"/>
          </w:tcPr>
          <w:p>
            <w:pPr>
              <w:pStyle w:val="13"/>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对经济发展的促进作用</w:t>
            </w:r>
          </w:p>
        </w:tc>
        <w:tc>
          <w:tcPr>
            <w:tcW w:w="2268" w:type="dxa"/>
            <w:vAlign w:val="center"/>
          </w:tcPr>
          <w:p>
            <w:pPr>
              <w:pStyle w:val="13"/>
            </w:pPr>
            <w:r>
              <w:t>≥80%</w:t>
            </w:r>
          </w:p>
        </w:tc>
        <w:tc>
          <w:tcPr>
            <w:tcW w:w="1276" w:type="dxa"/>
            <w:vAlign w:val="center"/>
          </w:tcPr>
          <w:p>
            <w:pPr>
              <w:pStyle w:val="13"/>
            </w:pPr>
            <w:r>
              <w:t>关于下达2024年农村道路客运补贴、城市交通发展奖励资金的通知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社会满意度调查问卷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13、下达2024年中央车辆购置税收入补助地方资金预算（第三批）绩效目标表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13062524P00001710450E</w:t>
            </w:r>
          </w:p>
        </w:tc>
        <w:tc>
          <w:tcPr>
            <w:tcW w:w="2835" w:type="dxa"/>
            <w:vAlign w:val="center"/>
          </w:tcPr>
          <w:p>
            <w:pPr>
              <w:pStyle w:val="11"/>
            </w:pPr>
            <w:r>
              <w:t>项目名称</w:t>
            </w:r>
          </w:p>
        </w:tc>
        <w:tc>
          <w:tcPr>
            <w:tcW w:w="6095" w:type="dxa"/>
            <w:gridSpan w:val="3"/>
            <w:vAlign w:val="center"/>
          </w:tcPr>
          <w:p>
            <w:pPr>
              <w:pStyle w:val="13"/>
            </w:pPr>
            <w:r>
              <w:t>下达2024年中央车辆购置税收入补助地方资金预算（第三批）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317.00</w:t>
            </w:r>
          </w:p>
        </w:tc>
        <w:tc>
          <w:tcPr>
            <w:tcW w:w="2835" w:type="dxa"/>
            <w:vAlign w:val="center"/>
          </w:tcPr>
          <w:p>
            <w:pPr>
              <w:pStyle w:val="11"/>
            </w:pPr>
            <w:r>
              <w:t>其中：财政    资金</w:t>
            </w:r>
          </w:p>
        </w:tc>
        <w:tc>
          <w:tcPr>
            <w:tcW w:w="2551" w:type="dxa"/>
            <w:vAlign w:val="center"/>
          </w:tcPr>
          <w:p>
            <w:pPr>
              <w:pStyle w:val="13"/>
            </w:pPr>
            <w:r>
              <w:t>317.00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下达2024年中央车辆购置税收入补助地方资金预算（第三批）</w:t>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1.完成“十四五”现代综合交通运输体系发展规划范围内的综合交通、公路、水运等年度建设任务。</w:t>
            </w:r>
          </w:p>
          <w:p>
            <w:pPr>
              <w:pStyle w:val="13"/>
            </w:pPr>
            <w:r>
              <w:t>2.建设改造农村里程10公里。</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年度全社会建设改造农村里程</w:t>
            </w:r>
          </w:p>
        </w:tc>
        <w:tc>
          <w:tcPr>
            <w:tcW w:w="5386" w:type="dxa"/>
            <w:vAlign w:val="center"/>
          </w:tcPr>
          <w:p>
            <w:pPr>
              <w:pStyle w:val="13"/>
            </w:pPr>
            <w:r>
              <w:t>年度全社会建设改造农村里程情况</w:t>
            </w:r>
          </w:p>
          <w:p>
            <w:pPr>
              <w:pStyle w:val="13"/>
            </w:pPr>
          </w:p>
        </w:tc>
        <w:tc>
          <w:tcPr>
            <w:tcW w:w="2268" w:type="dxa"/>
            <w:vAlign w:val="center"/>
          </w:tcPr>
          <w:p>
            <w:pPr>
              <w:pStyle w:val="13"/>
            </w:pPr>
            <w:r>
              <w:t>10公里</w:t>
            </w:r>
          </w:p>
        </w:tc>
        <w:tc>
          <w:tcPr>
            <w:tcW w:w="1276" w:type="dxa"/>
            <w:vAlign w:val="center"/>
          </w:tcPr>
          <w:p>
            <w:pPr>
              <w:pStyle w:val="13"/>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完工项目验收合规率</w:t>
            </w:r>
          </w:p>
        </w:tc>
        <w:tc>
          <w:tcPr>
            <w:tcW w:w="5386" w:type="dxa"/>
            <w:vAlign w:val="center"/>
          </w:tcPr>
          <w:p>
            <w:pPr>
              <w:pStyle w:val="13"/>
            </w:pPr>
            <w:r>
              <w:t>完工项目验收合规情况</w:t>
            </w:r>
          </w:p>
        </w:tc>
        <w:tc>
          <w:tcPr>
            <w:tcW w:w="2268" w:type="dxa"/>
            <w:vAlign w:val="center"/>
          </w:tcPr>
          <w:p>
            <w:pPr>
              <w:pStyle w:val="13"/>
            </w:pPr>
            <w:r>
              <w:t>100%</w:t>
            </w:r>
          </w:p>
        </w:tc>
        <w:tc>
          <w:tcPr>
            <w:tcW w:w="1276" w:type="dxa"/>
            <w:vAlign w:val="center"/>
          </w:tcPr>
          <w:p>
            <w:pPr>
              <w:pStyle w:val="13"/>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按期完成投资</w:t>
            </w:r>
          </w:p>
        </w:tc>
        <w:tc>
          <w:tcPr>
            <w:tcW w:w="5386" w:type="dxa"/>
            <w:vAlign w:val="center"/>
          </w:tcPr>
          <w:p>
            <w:pPr>
              <w:pStyle w:val="13"/>
            </w:pPr>
            <w:r>
              <w:t>按期完成投资情况</w:t>
            </w:r>
          </w:p>
        </w:tc>
        <w:tc>
          <w:tcPr>
            <w:tcW w:w="2268" w:type="dxa"/>
            <w:vAlign w:val="center"/>
          </w:tcPr>
          <w:p>
            <w:pPr>
              <w:pStyle w:val="13"/>
            </w:pPr>
            <w:r>
              <w:t>100%</w:t>
            </w:r>
          </w:p>
        </w:tc>
        <w:tc>
          <w:tcPr>
            <w:tcW w:w="1276" w:type="dxa"/>
            <w:vAlign w:val="center"/>
          </w:tcPr>
          <w:p>
            <w:pPr>
              <w:pStyle w:val="13"/>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5386" w:type="dxa"/>
            <w:vAlign w:val="center"/>
          </w:tcPr>
          <w:p>
            <w:pPr>
              <w:pStyle w:val="13"/>
            </w:pPr>
            <w:r>
              <w:t>项目成本控制情况</w:t>
            </w:r>
          </w:p>
        </w:tc>
        <w:tc>
          <w:tcPr>
            <w:tcW w:w="2268" w:type="dxa"/>
            <w:vAlign w:val="center"/>
          </w:tcPr>
          <w:p>
            <w:pPr>
              <w:pStyle w:val="13"/>
            </w:pPr>
            <w:r>
              <w:t>317万元</w:t>
            </w:r>
          </w:p>
        </w:tc>
        <w:tc>
          <w:tcPr>
            <w:tcW w:w="1276" w:type="dxa"/>
            <w:vAlign w:val="center"/>
          </w:tcPr>
          <w:p>
            <w:pPr>
              <w:pStyle w:val="13"/>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对经济发展的促进作用</w:t>
            </w:r>
          </w:p>
        </w:tc>
        <w:tc>
          <w:tcPr>
            <w:tcW w:w="5386" w:type="dxa"/>
            <w:vAlign w:val="center"/>
          </w:tcPr>
          <w:p>
            <w:pPr>
              <w:pStyle w:val="13"/>
            </w:pPr>
            <w:r>
              <w:t>对经济发展的促进情况</w:t>
            </w:r>
          </w:p>
        </w:tc>
        <w:tc>
          <w:tcPr>
            <w:tcW w:w="2268" w:type="dxa"/>
            <w:vAlign w:val="center"/>
          </w:tcPr>
          <w:p>
            <w:pPr>
              <w:pStyle w:val="13"/>
            </w:pPr>
            <w:r>
              <w:t>≥1%</w:t>
            </w:r>
          </w:p>
        </w:tc>
        <w:tc>
          <w:tcPr>
            <w:tcW w:w="1276" w:type="dxa"/>
            <w:vAlign w:val="center"/>
          </w:tcPr>
          <w:p>
            <w:pPr>
              <w:pStyle w:val="13"/>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基本公共服务水平</w:t>
            </w:r>
          </w:p>
        </w:tc>
        <w:tc>
          <w:tcPr>
            <w:tcW w:w="5386" w:type="dxa"/>
            <w:vAlign w:val="center"/>
          </w:tcPr>
          <w:p>
            <w:pPr>
              <w:pStyle w:val="13"/>
            </w:pPr>
            <w:r>
              <w:t>基本公共服务水平情况</w:t>
            </w:r>
          </w:p>
        </w:tc>
        <w:tc>
          <w:tcPr>
            <w:tcW w:w="2268" w:type="dxa"/>
            <w:vAlign w:val="center"/>
          </w:tcPr>
          <w:p>
            <w:pPr>
              <w:pStyle w:val="13"/>
            </w:pPr>
            <w:r>
              <w:t>≥1%</w:t>
            </w:r>
          </w:p>
        </w:tc>
        <w:tc>
          <w:tcPr>
            <w:tcW w:w="1276" w:type="dxa"/>
            <w:vAlign w:val="center"/>
          </w:tcPr>
          <w:p>
            <w:pPr>
              <w:pStyle w:val="13"/>
            </w:pPr>
            <w:r>
              <w:t>依据保财建【2024】39号文件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改善通行服务水平群众满意度</w:t>
            </w:r>
          </w:p>
        </w:tc>
        <w:tc>
          <w:tcPr>
            <w:tcW w:w="5386" w:type="dxa"/>
            <w:vAlign w:val="center"/>
          </w:tcPr>
          <w:p>
            <w:pPr>
              <w:pStyle w:val="13"/>
            </w:pPr>
            <w:r>
              <w:t>改善通行服务水平群众满意度情况</w:t>
            </w:r>
          </w:p>
        </w:tc>
        <w:tc>
          <w:tcPr>
            <w:tcW w:w="2268" w:type="dxa"/>
            <w:vAlign w:val="center"/>
          </w:tcPr>
          <w:p>
            <w:pPr>
              <w:pStyle w:val="13"/>
            </w:pPr>
            <w:r>
              <w:t>≥80%</w:t>
            </w:r>
          </w:p>
        </w:tc>
        <w:tc>
          <w:tcPr>
            <w:tcW w:w="1276" w:type="dxa"/>
            <w:vAlign w:val="center"/>
          </w:tcPr>
          <w:p>
            <w:pPr>
              <w:pStyle w:val="13"/>
            </w:pPr>
            <w:r>
              <w:t>社会调查问卷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保定市交通运输局徐水区分局（含所属单位）上年末固定资产金额为1768.79万元（详见下表）。本年度拟购置固定资产总额为20.00万元，已按要求列入政府采购预算，详见政府采购预算表。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348保定市交通运输局徐水区分局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1768.79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8792.65</w:t>
            </w:r>
          </w:p>
        </w:tc>
        <w:tc>
          <w:tcPr>
            <w:tcW w:w="2835" w:type="dxa"/>
            <w:vAlign w:val="center"/>
          </w:tcPr>
          <w:p>
            <w:pPr>
              <w:pStyle w:val="12"/>
            </w:pPr>
            <w:r>
              <w:t>1295.88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5347.25</w:t>
            </w:r>
          </w:p>
        </w:tc>
        <w:tc>
          <w:tcPr>
            <w:tcW w:w="2835" w:type="dxa"/>
            <w:vAlign w:val="center"/>
          </w:tcPr>
          <w:p>
            <w:pPr>
              <w:pStyle w:val="12"/>
            </w:pPr>
            <w:r>
              <w:t>1052.28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15</w:t>
            </w:r>
          </w:p>
        </w:tc>
        <w:tc>
          <w:tcPr>
            <w:tcW w:w="2835" w:type="dxa"/>
            <w:vAlign w:val="center"/>
          </w:tcPr>
          <w:p>
            <w:pPr>
              <w:pStyle w:val="12"/>
            </w:pPr>
            <w:r>
              <w:t>146.60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71.81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182</w:t>
            </w:r>
          </w:p>
        </w:tc>
        <w:tc>
          <w:tcPr>
            <w:tcW w:w="2835" w:type="dxa"/>
            <w:vAlign w:val="center"/>
          </w:tcPr>
          <w:p>
            <w:pPr>
              <w:pStyle w:val="12"/>
            </w:pPr>
            <w:r>
              <w:t>254.50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B68622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TotalTime>6</TotalTime>
  <ScaleCrop>false</ScaleCrop>
  <LinksUpToDate>false</LinksUpToDate>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2025-03-19T11:06:00Z</dcterms:created>
  <dc:creator>Lenovo</dc:creator>
  <cp:lastModifiedBy>Lenovo</cp:lastModifiedBy>
  <dcterms:modified xsi:type="dcterms:W3CDTF">2025-03-19T03:26:34Z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69E6E4A5707847BE8A129EC9FE3D68B6</vt:lpwstr>
  </property>
</Properties>
</file>