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202保定市徐水区行政审批局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712.89</w:t>
            </w:r>
          </w:p>
        </w:tc>
        <w:tc>
          <w:tcPr>
            <w:tcW w:w="4535" w:type="dxa"/>
            <w:vAlign w:val="center"/>
          </w:tcPr>
          <w:p>
            <w:pPr>
              <w:pStyle w:val="13"/>
            </w:pPr>
            <w:r>
              <w:t>一、一般公共服务支出</w:t>
            </w:r>
          </w:p>
        </w:tc>
        <w:tc>
          <w:tcPr>
            <w:tcW w:w="2126" w:type="dxa"/>
            <w:vAlign w:val="center"/>
          </w:tcPr>
          <w:p>
            <w:pPr>
              <w:pStyle w:val="12"/>
            </w:pPr>
            <w:r>
              <w:t>617.29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45.18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712.89</w:t>
            </w:r>
          </w:p>
        </w:tc>
        <w:tc>
          <w:tcPr>
            <w:tcW w:w="4535" w:type="dxa"/>
            <w:vAlign w:val="center"/>
          </w:tcPr>
          <w:p>
            <w:pPr>
              <w:pStyle w:val="15"/>
            </w:pPr>
            <w:r>
              <w:t>本年支出合计</w:t>
            </w:r>
          </w:p>
        </w:tc>
        <w:tc>
          <w:tcPr>
            <w:tcW w:w="2126" w:type="dxa"/>
            <w:vAlign w:val="center"/>
          </w:tcPr>
          <w:p>
            <w:pPr>
              <w:pStyle w:val="16"/>
            </w:pPr>
            <w:r>
              <w:t>712.89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712.89</w:t>
            </w:r>
          </w:p>
        </w:tc>
        <w:tc>
          <w:tcPr>
            <w:tcW w:w="4535" w:type="dxa"/>
            <w:vAlign w:val="center"/>
          </w:tcPr>
          <w:p>
            <w:pPr>
              <w:pStyle w:val="15"/>
            </w:pPr>
            <w:r>
              <w:t>支出总计</w:t>
            </w:r>
          </w:p>
        </w:tc>
        <w:tc>
          <w:tcPr>
            <w:tcW w:w="2126" w:type="dxa"/>
            <w:vAlign w:val="center"/>
          </w:tcPr>
          <w:p>
            <w:pPr>
              <w:pStyle w:val="16"/>
            </w:pPr>
            <w:r>
              <w:t>712.89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202保定市徐水区行政审批局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712.89</w:t>
            </w:r>
          </w:p>
        </w:tc>
        <w:tc>
          <w:tcPr>
            <w:tcW w:w="1134" w:type="dxa"/>
            <w:vAlign w:val="center"/>
          </w:tcPr>
          <w:p>
            <w:pPr>
              <w:pStyle w:val="16"/>
            </w:pPr>
            <w:r>
              <w:t>712.89</w:t>
            </w:r>
          </w:p>
        </w:tc>
        <w:tc>
          <w:tcPr>
            <w:tcW w:w="1134" w:type="dxa"/>
            <w:vAlign w:val="center"/>
          </w:tcPr>
          <w:p>
            <w:pPr>
              <w:pStyle w:val="16"/>
            </w:pPr>
            <w:r>
              <w:t>712.89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617.29</w:t>
            </w:r>
          </w:p>
        </w:tc>
        <w:tc>
          <w:tcPr>
            <w:tcW w:w="1134" w:type="dxa"/>
            <w:vAlign w:val="center"/>
          </w:tcPr>
          <w:p>
            <w:pPr>
              <w:pStyle w:val="12"/>
            </w:pPr>
            <w:r>
              <w:t>617.29</w:t>
            </w:r>
          </w:p>
        </w:tc>
        <w:tc>
          <w:tcPr>
            <w:tcW w:w="1134" w:type="dxa"/>
            <w:vAlign w:val="center"/>
          </w:tcPr>
          <w:p>
            <w:pPr>
              <w:pStyle w:val="12"/>
            </w:pPr>
            <w:r>
              <w:t>617.29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617.29</w:t>
            </w:r>
          </w:p>
        </w:tc>
        <w:tc>
          <w:tcPr>
            <w:tcW w:w="1134" w:type="dxa"/>
            <w:vAlign w:val="center"/>
          </w:tcPr>
          <w:p>
            <w:pPr>
              <w:pStyle w:val="12"/>
            </w:pPr>
            <w:r>
              <w:t>617.29</w:t>
            </w:r>
          </w:p>
        </w:tc>
        <w:tc>
          <w:tcPr>
            <w:tcW w:w="1134" w:type="dxa"/>
            <w:vAlign w:val="center"/>
          </w:tcPr>
          <w:p>
            <w:pPr>
              <w:pStyle w:val="12"/>
            </w:pPr>
            <w:r>
              <w:t>617.29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246.73</w:t>
            </w:r>
          </w:p>
        </w:tc>
        <w:tc>
          <w:tcPr>
            <w:tcW w:w="1134" w:type="dxa"/>
            <w:vAlign w:val="center"/>
          </w:tcPr>
          <w:p>
            <w:pPr>
              <w:pStyle w:val="12"/>
            </w:pPr>
            <w:r>
              <w:t>246.73</w:t>
            </w:r>
          </w:p>
        </w:tc>
        <w:tc>
          <w:tcPr>
            <w:tcW w:w="1134" w:type="dxa"/>
            <w:vAlign w:val="center"/>
          </w:tcPr>
          <w:p>
            <w:pPr>
              <w:pStyle w:val="12"/>
            </w:pPr>
            <w:r>
              <w:t>246.73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232.77</w:t>
            </w:r>
          </w:p>
        </w:tc>
        <w:tc>
          <w:tcPr>
            <w:tcW w:w="1134" w:type="dxa"/>
            <w:vAlign w:val="center"/>
          </w:tcPr>
          <w:p>
            <w:pPr>
              <w:pStyle w:val="12"/>
            </w:pPr>
            <w:r>
              <w:t>232.77</w:t>
            </w:r>
          </w:p>
        </w:tc>
        <w:tc>
          <w:tcPr>
            <w:tcW w:w="1134" w:type="dxa"/>
            <w:vAlign w:val="center"/>
          </w:tcPr>
          <w:p>
            <w:pPr>
              <w:pStyle w:val="12"/>
            </w:pPr>
            <w:r>
              <w:t>232.77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137.79</w:t>
            </w:r>
          </w:p>
        </w:tc>
        <w:tc>
          <w:tcPr>
            <w:tcW w:w="1134" w:type="dxa"/>
            <w:vAlign w:val="center"/>
          </w:tcPr>
          <w:p>
            <w:pPr>
              <w:pStyle w:val="12"/>
            </w:pPr>
            <w:r>
              <w:t>137.79</w:t>
            </w:r>
          </w:p>
        </w:tc>
        <w:tc>
          <w:tcPr>
            <w:tcW w:w="1134" w:type="dxa"/>
            <w:vAlign w:val="center"/>
          </w:tcPr>
          <w:p>
            <w:pPr>
              <w:pStyle w:val="12"/>
            </w:pPr>
            <w:r>
              <w:t>137.79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45.18</w:t>
            </w:r>
          </w:p>
        </w:tc>
        <w:tc>
          <w:tcPr>
            <w:tcW w:w="1134" w:type="dxa"/>
            <w:vAlign w:val="center"/>
          </w:tcPr>
          <w:p>
            <w:pPr>
              <w:pStyle w:val="12"/>
            </w:pPr>
            <w:r>
              <w:t>45.18</w:t>
            </w:r>
          </w:p>
        </w:tc>
        <w:tc>
          <w:tcPr>
            <w:tcW w:w="1134" w:type="dxa"/>
            <w:vAlign w:val="center"/>
          </w:tcPr>
          <w:p>
            <w:pPr>
              <w:pStyle w:val="12"/>
            </w:pPr>
            <w:r>
              <w:t>45.18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42.30</w:t>
            </w:r>
          </w:p>
        </w:tc>
        <w:tc>
          <w:tcPr>
            <w:tcW w:w="1134" w:type="dxa"/>
            <w:vAlign w:val="center"/>
          </w:tcPr>
          <w:p>
            <w:pPr>
              <w:pStyle w:val="12"/>
            </w:pPr>
            <w:r>
              <w:t>42.30</w:t>
            </w:r>
          </w:p>
        </w:tc>
        <w:tc>
          <w:tcPr>
            <w:tcW w:w="1134" w:type="dxa"/>
            <w:vAlign w:val="center"/>
          </w:tcPr>
          <w:p>
            <w:pPr>
              <w:pStyle w:val="12"/>
            </w:pPr>
            <w:r>
              <w:t>42.30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42.30</w:t>
            </w:r>
          </w:p>
        </w:tc>
        <w:tc>
          <w:tcPr>
            <w:tcW w:w="1134" w:type="dxa"/>
            <w:vAlign w:val="center"/>
          </w:tcPr>
          <w:p>
            <w:pPr>
              <w:pStyle w:val="12"/>
            </w:pPr>
            <w:r>
              <w:t>42.30</w:t>
            </w:r>
          </w:p>
        </w:tc>
        <w:tc>
          <w:tcPr>
            <w:tcW w:w="1134" w:type="dxa"/>
            <w:vAlign w:val="center"/>
          </w:tcPr>
          <w:p>
            <w:pPr>
              <w:pStyle w:val="12"/>
            </w:pPr>
            <w:r>
              <w:t>42.30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2.88</w:t>
            </w:r>
          </w:p>
        </w:tc>
        <w:tc>
          <w:tcPr>
            <w:tcW w:w="1134" w:type="dxa"/>
            <w:vAlign w:val="center"/>
          </w:tcPr>
          <w:p>
            <w:pPr>
              <w:pStyle w:val="12"/>
            </w:pPr>
            <w:r>
              <w:t>2.88</w:t>
            </w:r>
          </w:p>
        </w:tc>
        <w:tc>
          <w:tcPr>
            <w:tcW w:w="1134" w:type="dxa"/>
            <w:vAlign w:val="center"/>
          </w:tcPr>
          <w:p>
            <w:pPr>
              <w:pStyle w:val="12"/>
            </w:pPr>
            <w:r>
              <w:t>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2.88</w:t>
            </w:r>
          </w:p>
        </w:tc>
        <w:tc>
          <w:tcPr>
            <w:tcW w:w="1134" w:type="dxa"/>
            <w:vAlign w:val="center"/>
          </w:tcPr>
          <w:p>
            <w:pPr>
              <w:pStyle w:val="12"/>
            </w:pPr>
            <w:r>
              <w:t>2.88</w:t>
            </w:r>
          </w:p>
        </w:tc>
        <w:tc>
          <w:tcPr>
            <w:tcW w:w="1134" w:type="dxa"/>
            <w:vAlign w:val="center"/>
          </w:tcPr>
          <w:p>
            <w:pPr>
              <w:pStyle w:val="12"/>
            </w:pPr>
            <w:r>
              <w:t>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15.41</w:t>
            </w:r>
          </w:p>
        </w:tc>
        <w:tc>
          <w:tcPr>
            <w:tcW w:w="1134" w:type="dxa"/>
            <w:vAlign w:val="center"/>
          </w:tcPr>
          <w:p>
            <w:pPr>
              <w:pStyle w:val="12"/>
            </w:pPr>
            <w:r>
              <w:t>15.41</w:t>
            </w:r>
          </w:p>
        </w:tc>
        <w:tc>
          <w:tcPr>
            <w:tcW w:w="1134" w:type="dxa"/>
            <w:vAlign w:val="center"/>
          </w:tcPr>
          <w:p>
            <w:pPr>
              <w:pStyle w:val="12"/>
            </w:pPr>
            <w:r>
              <w:t>15.41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15.41</w:t>
            </w:r>
          </w:p>
        </w:tc>
        <w:tc>
          <w:tcPr>
            <w:tcW w:w="1134" w:type="dxa"/>
            <w:vAlign w:val="center"/>
          </w:tcPr>
          <w:p>
            <w:pPr>
              <w:pStyle w:val="12"/>
            </w:pPr>
            <w:r>
              <w:t>15.41</w:t>
            </w:r>
          </w:p>
        </w:tc>
        <w:tc>
          <w:tcPr>
            <w:tcW w:w="1134" w:type="dxa"/>
            <w:vAlign w:val="center"/>
          </w:tcPr>
          <w:p>
            <w:pPr>
              <w:pStyle w:val="12"/>
            </w:pPr>
            <w:r>
              <w:t>15.41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15.41</w:t>
            </w:r>
          </w:p>
        </w:tc>
        <w:tc>
          <w:tcPr>
            <w:tcW w:w="1134" w:type="dxa"/>
            <w:vAlign w:val="center"/>
          </w:tcPr>
          <w:p>
            <w:pPr>
              <w:pStyle w:val="12"/>
            </w:pPr>
            <w:r>
              <w:t>15.41</w:t>
            </w:r>
          </w:p>
        </w:tc>
        <w:tc>
          <w:tcPr>
            <w:tcW w:w="1134" w:type="dxa"/>
            <w:vAlign w:val="center"/>
          </w:tcPr>
          <w:p>
            <w:pPr>
              <w:pStyle w:val="12"/>
            </w:pPr>
            <w:r>
              <w:t>15.41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35.02</w:t>
            </w:r>
          </w:p>
        </w:tc>
        <w:tc>
          <w:tcPr>
            <w:tcW w:w="1134" w:type="dxa"/>
            <w:vAlign w:val="center"/>
          </w:tcPr>
          <w:p>
            <w:pPr>
              <w:pStyle w:val="12"/>
            </w:pPr>
            <w:r>
              <w:t>35.02</w:t>
            </w:r>
          </w:p>
        </w:tc>
        <w:tc>
          <w:tcPr>
            <w:tcW w:w="1134" w:type="dxa"/>
            <w:vAlign w:val="center"/>
          </w:tcPr>
          <w:p>
            <w:pPr>
              <w:pStyle w:val="12"/>
            </w:pPr>
            <w:r>
              <w:t>35.02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35.02</w:t>
            </w:r>
          </w:p>
        </w:tc>
        <w:tc>
          <w:tcPr>
            <w:tcW w:w="1134" w:type="dxa"/>
            <w:vAlign w:val="center"/>
          </w:tcPr>
          <w:p>
            <w:pPr>
              <w:pStyle w:val="12"/>
            </w:pPr>
            <w:r>
              <w:t>35.02</w:t>
            </w:r>
          </w:p>
        </w:tc>
        <w:tc>
          <w:tcPr>
            <w:tcW w:w="1134" w:type="dxa"/>
            <w:vAlign w:val="center"/>
          </w:tcPr>
          <w:p>
            <w:pPr>
              <w:pStyle w:val="12"/>
            </w:pPr>
            <w:r>
              <w:t>35.02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35.02</w:t>
            </w:r>
          </w:p>
        </w:tc>
        <w:tc>
          <w:tcPr>
            <w:tcW w:w="1134" w:type="dxa"/>
            <w:vAlign w:val="center"/>
          </w:tcPr>
          <w:p>
            <w:pPr>
              <w:pStyle w:val="12"/>
            </w:pPr>
            <w:r>
              <w:t>35.02</w:t>
            </w:r>
          </w:p>
        </w:tc>
        <w:tc>
          <w:tcPr>
            <w:tcW w:w="1134" w:type="dxa"/>
            <w:vAlign w:val="center"/>
          </w:tcPr>
          <w:p>
            <w:pPr>
              <w:pStyle w:val="12"/>
            </w:pPr>
            <w:r>
              <w:t>35.02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712.89</w:t>
            </w:r>
          </w:p>
        </w:tc>
        <w:tc>
          <w:tcPr>
            <w:tcW w:w="1361" w:type="dxa"/>
            <w:vAlign w:val="center"/>
          </w:tcPr>
          <w:p>
            <w:pPr>
              <w:pStyle w:val="16"/>
            </w:pPr>
            <w:r>
              <w:t>477.24</w:t>
            </w:r>
          </w:p>
        </w:tc>
        <w:tc>
          <w:tcPr>
            <w:tcW w:w="1361" w:type="dxa"/>
            <w:vAlign w:val="center"/>
          </w:tcPr>
          <w:p>
            <w:pPr>
              <w:pStyle w:val="16"/>
            </w:pPr>
            <w:r>
              <w:t>235.65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617.29</w:t>
            </w:r>
          </w:p>
        </w:tc>
        <w:tc>
          <w:tcPr>
            <w:tcW w:w="1361" w:type="dxa"/>
            <w:vAlign w:val="center"/>
          </w:tcPr>
          <w:p>
            <w:pPr>
              <w:pStyle w:val="12"/>
            </w:pPr>
            <w:r>
              <w:t>384.52</w:t>
            </w:r>
          </w:p>
        </w:tc>
        <w:tc>
          <w:tcPr>
            <w:tcW w:w="1361" w:type="dxa"/>
            <w:vAlign w:val="center"/>
          </w:tcPr>
          <w:p>
            <w:pPr>
              <w:pStyle w:val="12"/>
            </w:pPr>
            <w:r>
              <w:t>232.77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617.29</w:t>
            </w:r>
          </w:p>
        </w:tc>
        <w:tc>
          <w:tcPr>
            <w:tcW w:w="1361" w:type="dxa"/>
            <w:vAlign w:val="center"/>
          </w:tcPr>
          <w:p>
            <w:pPr>
              <w:pStyle w:val="12"/>
            </w:pPr>
            <w:r>
              <w:t>384.52</w:t>
            </w:r>
          </w:p>
        </w:tc>
        <w:tc>
          <w:tcPr>
            <w:tcW w:w="1361" w:type="dxa"/>
            <w:vAlign w:val="center"/>
          </w:tcPr>
          <w:p>
            <w:pPr>
              <w:pStyle w:val="12"/>
            </w:pPr>
            <w:r>
              <w:t>232.77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246.73</w:t>
            </w:r>
          </w:p>
        </w:tc>
        <w:tc>
          <w:tcPr>
            <w:tcW w:w="1361" w:type="dxa"/>
            <w:vAlign w:val="center"/>
          </w:tcPr>
          <w:p>
            <w:pPr>
              <w:pStyle w:val="12"/>
            </w:pPr>
            <w:r>
              <w:t>246.73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232.77</w:t>
            </w:r>
          </w:p>
        </w:tc>
        <w:tc>
          <w:tcPr>
            <w:tcW w:w="1361" w:type="dxa"/>
            <w:vAlign w:val="center"/>
          </w:tcPr>
          <w:p>
            <w:pPr>
              <w:pStyle w:val="12"/>
            </w:pPr>
          </w:p>
        </w:tc>
        <w:tc>
          <w:tcPr>
            <w:tcW w:w="1361" w:type="dxa"/>
            <w:vAlign w:val="center"/>
          </w:tcPr>
          <w:p>
            <w:pPr>
              <w:pStyle w:val="12"/>
            </w:pPr>
            <w:r>
              <w:t>232.77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137.79</w:t>
            </w:r>
          </w:p>
        </w:tc>
        <w:tc>
          <w:tcPr>
            <w:tcW w:w="1361" w:type="dxa"/>
            <w:vAlign w:val="center"/>
          </w:tcPr>
          <w:p>
            <w:pPr>
              <w:pStyle w:val="12"/>
            </w:pPr>
            <w:r>
              <w:t>137.79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45.18</w:t>
            </w:r>
          </w:p>
        </w:tc>
        <w:tc>
          <w:tcPr>
            <w:tcW w:w="1361" w:type="dxa"/>
            <w:vAlign w:val="center"/>
          </w:tcPr>
          <w:p>
            <w:pPr>
              <w:pStyle w:val="12"/>
            </w:pPr>
            <w:r>
              <w:t>42.30</w:t>
            </w:r>
          </w:p>
        </w:tc>
        <w:tc>
          <w:tcPr>
            <w:tcW w:w="1361" w:type="dxa"/>
            <w:vAlign w:val="center"/>
          </w:tcPr>
          <w:p>
            <w:pPr>
              <w:pStyle w:val="12"/>
            </w:pPr>
            <w:r>
              <w:t>2.88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42.30</w:t>
            </w:r>
          </w:p>
        </w:tc>
        <w:tc>
          <w:tcPr>
            <w:tcW w:w="1361" w:type="dxa"/>
            <w:vAlign w:val="center"/>
          </w:tcPr>
          <w:p>
            <w:pPr>
              <w:pStyle w:val="12"/>
            </w:pPr>
            <w:r>
              <w:t>42.30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42.30</w:t>
            </w:r>
          </w:p>
        </w:tc>
        <w:tc>
          <w:tcPr>
            <w:tcW w:w="1361" w:type="dxa"/>
            <w:vAlign w:val="center"/>
          </w:tcPr>
          <w:p>
            <w:pPr>
              <w:pStyle w:val="12"/>
            </w:pPr>
            <w:r>
              <w:t>42.30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2.88</w:t>
            </w:r>
          </w:p>
        </w:tc>
        <w:tc>
          <w:tcPr>
            <w:tcW w:w="1361" w:type="dxa"/>
            <w:vAlign w:val="center"/>
          </w:tcPr>
          <w:p>
            <w:pPr>
              <w:pStyle w:val="12"/>
            </w:pPr>
          </w:p>
        </w:tc>
        <w:tc>
          <w:tcPr>
            <w:tcW w:w="1361" w:type="dxa"/>
            <w:vAlign w:val="center"/>
          </w:tcPr>
          <w:p>
            <w:pPr>
              <w:pStyle w:val="12"/>
            </w:pPr>
            <w:r>
              <w:t>2.88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2.88</w:t>
            </w:r>
          </w:p>
        </w:tc>
        <w:tc>
          <w:tcPr>
            <w:tcW w:w="1361" w:type="dxa"/>
            <w:vAlign w:val="center"/>
          </w:tcPr>
          <w:p>
            <w:pPr>
              <w:pStyle w:val="12"/>
            </w:pPr>
          </w:p>
        </w:tc>
        <w:tc>
          <w:tcPr>
            <w:tcW w:w="1361" w:type="dxa"/>
            <w:vAlign w:val="center"/>
          </w:tcPr>
          <w:p>
            <w:pPr>
              <w:pStyle w:val="12"/>
            </w:pPr>
            <w:r>
              <w:t>2.88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15.41</w:t>
            </w:r>
          </w:p>
        </w:tc>
        <w:tc>
          <w:tcPr>
            <w:tcW w:w="1361" w:type="dxa"/>
            <w:vAlign w:val="center"/>
          </w:tcPr>
          <w:p>
            <w:pPr>
              <w:pStyle w:val="12"/>
            </w:pPr>
            <w:r>
              <w:t>15.41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15.41</w:t>
            </w:r>
          </w:p>
        </w:tc>
        <w:tc>
          <w:tcPr>
            <w:tcW w:w="1361" w:type="dxa"/>
            <w:vAlign w:val="center"/>
          </w:tcPr>
          <w:p>
            <w:pPr>
              <w:pStyle w:val="12"/>
            </w:pPr>
            <w:r>
              <w:t>15.41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15.41</w:t>
            </w:r>
          </w:p>
        </w:tc>
        <w:tc>
          <w:tcPr>
            <w:tcW w:w="1361" w:type="dxa"/>
            <w:vAlign w:val="center"/>
          </w:tcPr>
          <w:p>
            <w:pPr>
              <w:pStyle w:val="12"/>
            </w:pPr>
            <w:r>
              <w:t>15.41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35.02</w:t>
            </w:r>
          </w:p>
        </w:tc>
        <w:tc>
          <w:tcPr>
            <w:tcW w:w="1361" w:type="dxa"/>
            <w:vAlign w:val="center"/>
          </w:tcPr>
          <w:p>
            <w:pPr>
              <w:pStyle w:val="12"/>
            </w:pPr>
            <w:r>
              <w:t>35.02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35.02</w:t>
            </w:r>
          </w:p>
        </w:tc>
        <w:tc>
          <w:tcPr>
            <w:tcW w:w="1361" w:type="dxa"/>
            <w:vAlign w:val="center"/>
          </w:tcPr>
          <w:p>
            <w:pPr>
              <w:pStyle w:val="12"/>
            </w:pPr>
            <w:r>
              <w:t>35.02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35.02</w:t>
            </w:r>
          </w:p>
        </w:tc>
        <w:tc>
          <w:tcPr>
            <w:tcW w:w="1361" w:type="dxa"/>
            <w:vAlign w:val="center"/>
          </w:tcPr>
          <w:p>
            <w:pPr>
              <w:pStyle w:val="12"/>
            </w:pPr>
            <w:r>
              <w:t>35.02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712.89</w:t>
            </w:r>
          </w:p>
        </w:tc>
        <w:tc>
          <w:tcPr>
            <w:tcW w:w="3402" w:type="dxa"/>
            <w:vAlign w:val="center"/>
          </w:tcPr>
          <w:p>
            <w:pPr>
              <w:pStyle w:val="13"/>
            </w:pPr>
            <w:r>
              <w:t>一、一般公共服务支出</w:t>
            </w:r>
          </w:p>
        </w:tc>
        <w:tc>
          <w:tcPr>
            <w:tcW w:w="1474" w:type="dxa"/>
            <w:vAlign w:val="center"/>
          </w:tcPr>
          <w:p>
            <w:pPr>
              <w:pStyle w:val="12"/>
            </w:pPr>
            <w:r>
              <w:t>617.29</w:t>
            </w:r>
          </w:p>
        </w:tc>
        <w:tc>
          <w:tcPr>
            <w:tcW w:w="1474" w:type="dxa"/>
            <w:vAlign w:val="center"/>
          </w:tcPr>
          <w:p>
            <w:pPr>
              <w:pStyle w:val="12"/>
            </w:pPr>
            <w:r>
              <w:t>617.29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45.18</w:t>
            </w:r>
          </w:p>
        </w:tc>
        <w:tc>
          <w:tcPr>
            <w:tcW w:w="1474" w:type="dxa"/>
            <w:vAlign w:val="center"/>
          </w:tcPr>
          <w:p>
            <w:pPr>
              <w:pStyle w:val="12"/>
            </w:pPr>
            <w:r>
              <w:t>45.18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15.41</w:t>
            </w:r>
          </w:p>
        </w:tc>
        <w:tc>
          <w:tcPr>
            <w:tcW w:w="1474" w:type="dxa"/>
            <w:vAlign w:val="center"/>
          </w:tcPr>
          <w:p>
            <w:pPr>
              <w:pStyle w:val="12"/>
            </w:pPr>
            <w:r>
              <w:t>15.41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35.02</w:t>
            </w:r>
          </w:p>
        </w:tc>
        <w:tc>
          <w:tcPr>
            <w:tcW w:w="1474" w:type="dxa"/>
            <w:vAlign w:val="center"/>
          </w:tcPr>
          <w:p>
            <w:pPr>
              <w:pStyle w:val="12"/>
            </w:pPr>
            <w:r>
              <w:t>35.02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712.89</w:t>
            </w:r>
          </w:p>
        </w:tc>
        <w:tc>
          <w:tcPr>
            <w:tcW w:w="3402" w:type="dxa"/>
            <w:vAlign w:val="center"/>
          </w:tcPr>
          <w:p>
            <w:pPr>
              <w:pStyle w:val="15"/>
            </w:pPr>
            <w:r>
              <w:t>本年支出合计</w:t>
            </w:r>
          </w:p>
        </w:tc>
        <w:tc>
          <w:tcPr>
            <w:tcW w:w="1474" w:type="dxa"/>
            <w:vAlign w:val="center"/>
          </w:tcPr>
          <w:p>
            <w:pPr>
              <w:pStyle w:val="16"/>
            </w:pPr>
            <w:r>
              <w:t>712.89</w:t>
            </w:r>
          </w:p>
        </w:tc>
        <w:tc>
          <w:tcPr>
            <w:tcW w:w="1474" w:type="dxa"/>
            <w:vAlign w:val="center"/>
          </w:tcPr>
          <w:p>
            <w:pPr>
              <w:pStyle w:val="16"/>
            </w:pPr>
            <w:r>
              <w:t>712.89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712.89</w:t>
            </w:r>
          </w:p>
        </w:tc>
        <w:tc>
          <w:tcPr>
            <w:tcW w:w="3402" w:type="dxa"/>
            <w:vAlign w:val="center"/>
          </w:tcPr>
          <w:p>
            <w:pPr>
              <w:pStyle w:val="15"/>
            </w:pPr>
            <w:r>
              <w:t>支出总计</w:t>
            </w:r>
          </w:p>
        </w:tc>
        <w:tc>
          <w:tcPr>
            <w:tcW w:w="1474" w:type="dxa"/>
            <w:vAlign w:val="center"/>
          </w:tcPr>
          <w:p>
            <w:pPr>
              <w:pStyle w:val="16"/>
            </w:pPr>
            <w:r>
              <w:t>712.89</w:t>
            </w:r>
          </w:p>
        </w:tc>
        <w:tc>
          <w:tcPr>
            <w:tcW w:w="1474" w:type="dxa"/>
            <w:vAlign w:val="center"/>
          </w:tcPr>
          <w:p>
            <w:pPr>
              <w:pStyle w:val="16"/>
            </w:pPr>
            <w:r>
              <w:t>712.89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712.89</w:t>
            </w:r>
          </w:p>
        </w:tc>
        <w:tc>
          <w:tcPr>
            <w:tcW w:w="2551" w:type="dxa"/>
            <w:vAlign w:val="center"/>
          </w:tcPr>
          <w:p>
            <w:pPr>
              <w:pStyle w:val="16"/>
            </w:pPr>
            <w:r>
              <w:t>477.24</w:t>
            </w:r>
          </w:p>
        </w:tc>
        <w:tc>
          <w:tcPr>
            <w:tcW w:w="2551" w:type="dxa"/>
            <w:vAlign w:val="center"/>
          </w:tcPr>
          <w:p>
            <w:pPr>
              <w:pStyle w:val="16"/>
            </w:pPr>
            <w:r>
              <w:t>235.65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617.29</w:t>
            </w:r>
          </w:p>
        </w:tc>
        <w:tc>
          <w:tcPr>
            <w:tcW w:w="2551" w:type="dxa"/>
            <w:vAlign w:val="center"/>
          </w:tcPr>
          <w:p>
            <w:pPr>
              <w:pStyle w:val="12"/>
            </w:pPr>
            <w:r>
              <w:t>384.52</w:t>
            </w:r>
          </w:p>
        </w:tc>
        <w:tc>
          <w:tcPr>
            <w:tcW w:w="2551" w:type="dxa"/>
            <w:vAlign w:val="center"/>
          </w:tcPr>
          <w:p>
            <w:pPr>
              <w:pStyle w:val="12"/>
            </w:pPr>
            <w:r>
              <w:t>232.77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617.29</w:t>
            </w:r>
          </w:p>
        </w:tc>
        <w:tc>
          <w:tcPr>
            <w:tcW w:w="2551" w:type="dxa"/>
            <w:vAlign w:val="center"/>
          </w:tcPr>
          <w:p>
            <w:pPr>
              <w:pStyle w:val="12"/>
            </w:pPr>
            <w:r>
              <w:t>384.52</w:t>
            </w:r>
          </w:p>
        </w:tc>
        <w:tc>
          <w:tcPr>
            <w:tcW w:w="2551" w:type="dxa"/>
            <w:vAlign w:val="center"/>
          </w:tcPr>
          <w:p>
            <w:pPr>
              <w:pStyle w:val="12"/>
            </w:pPr>
            <w:r>
              <w:t>232.77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246.73</w:t>
            </w:r>
          </w:p>
        </w:tc>
        <w:tc>
          <w:tcPr>
            <w:tcW w:w="2551" w:type="dxa"/>
            <w:vAlign w:val="center"/>
          </w:tcPr>
          <w:p>
            <w:pPr>
              <w:pStyle w:val="12"/>
            </w:pPr>
            <w:r>
              <w:t>246.73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232.77</w:t>
            </w:r>
          </w:p>
        </w:tc>
        <w:tc>
          <w:tcPr>
            <w:tcW w:w="2551" w:type="dxa"/>
            <w:vAlign w:val="center"/>
          </w:tcPr>
          <w:p>
            <w:pPr>
              <w:pStyle w:val="12"/>
            </w:pPr>
          </w:p>
        </w:tc>
        <w:tc>
          <w:tcPr>
            <w:tcW w:w="2551" w:type="dxa"/>
            <w:vAlign w:val="center"/>
          </w:tcPr>
          <w:p>
            <w:pPr>
              <w:pStyle w:val="12"/>
            </w:pPr>
            <w:r>
              <w:t>232.77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137.79</w:t>
            </w:r>
          </w:p>
        </w:tc>
        <w:tc>
          <w:tcPr>
            <w:tcW w:w="2551" w:type="dxa"/>
            <w:vAlign w:val="center"/>
          </w:tcPr>
          <w:p>
            <w:pPr>
              <w:pStyle w:val="12"/>
            </w:pPr>
            <w:r>
              <w:t>137.79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45.18</w:t>
            </w:r>
          </w:p>
        </w:tc>
        <w:tc>
          <w:tcPr>
            <w:tcW w:w="2551" w:type="dxa"/>
            <w:vAlign w:val="center"/>
          </w:tcPr>
          <w:p>
            <w:pPr>
              <w:pStyle w:val="12"/>
            </w:pPr>
            <w:r>
              <w:t>42.30</w:t>
            </w:r>
          </w:p>
        </w:tc>
        <w:tc>
          <w:tcPr>
            <w:tcW w:w="2551" w:type="dxa"/>
            <w:vAlign w:val="center"/>
          </w:tcPr>
          <w:p>
            <w:pPr>
              <w:pStyle w:val="12"/>
            </w:pPr>
            <w:r>
              <w:t>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42.30</w:t>
            </w:r>
          </w:p>
        </w:tc>
        <w:tc>
          <w:tcPr>
            <w:tcW w:w="2551" w:type="dxa"/>
            <w:vAlign w:val="center"/>
          </w:tcPr>
          <w:p>
            <w:pPr>
              <w:pStyle w:val="12"/>
            </w:pPr>
            <w:r>
              <w:t>42.30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42.30</w:t>
            </w:r>
          </w:p>
        </w:tc>
        <w:tc>
          <w:tcPr>
            <w:tcW w:w="2551" w:type="dxa"/>
            <w:vAlign w:val="center"/>
          </w:tcPr>
          <w:p>
            <w:pPr>
              <w:pStyle w:val="12"/>
            </w:pPr>
            <w:r>
              <w:t>42.30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2.88</w:t>
            </w:r>
          </w:p>
        </w:tc>
        <w:tc>
          <w:tcPr>
            <w:tcW w:w="2551" w:type="dxa"/>
            <w:vAlign w:val="center"/>
          </w:tcPr>
          <w:p>
            <w:pPr>
              <w:pStyle w:val="12"/>
            </w:pPr>
          </w:p>
        </w:tc>
        <w:tc>
          <w:tcPr>
            <w:tcW w:w="2551" w:type="dxa"/>
            <w:vAlign w:val="center"/>
          </w:tcPr>
          <w:p>
            <w:pPr>
              <w:pStyle w:val="12"/>
            </w:pPr>
            <w:r>
              <w:t>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2.88</w:t>
            </w:r>
          </w:p>
        </w:tc>
        <w:tc>
          <w:tcPr>
            <w:tcW w:w="2551" w:type="dxa"/>
            <w:vAlign w:val="center"/>
          </w:tcPr>
          <w:p>
            <w:pPr>
              <w:pStyle w:val="12"/>
            </w:pPr>
          </w:p>
        </w:tc>
        <w:tc>
          <w:tcPr>
            <w:tcW w:w="2551" w:type="dxa"/>
            <w:vAlign w:val="center"/>
          </w:tcPr>
          <w:p>
            <w:pPr>
              <w:pStyle w:val="12"/>
            </w:pPr>
            <w:r>
              <w:t>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15.41</w:t>
            </w:r>
          </w:p>
        </w:tc>
        <w:tc>
          <w:tcPr>
            <w:tcW w:w="2551" w:type="dxa"/>
            <w:vAlign w:val="center"/>
          </w:tcPr>
          <w:p>
            <w:pPr>
              <w:pStyle w:val="12"/>
            </w:pPr>
            <w:r>
              <w:t>15.41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15.41</w:t>
            </w:r>
          </w:p>
        </w:tc>
        <w:tc>
          <w:tcPr>
            <w:tcW w:w="2551" w:type="dxa"/>
            <w:vAlign w:val="center"/>
          </w:tcPr>
          <w:p>
            <w:pPr>
              <w:pStyle w:val="12"/>
            </w:pPr>
            <w:r>
              <w:t>15.41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15.41</w:t>
            </w:r>
          </w:p>
        </w:tc>
        <w:tc>
          <w:tcPr>
            <w:tcW w:w="2551" w:type="dxa"/>
            <w:vAlign w:val="center"/>
          </w:tcPr>
          <w:p>
            <w:pPr>
              <w:pStyle w:val="12"/>
            </w:pPr>
            <w:r>
              <w:t>15.41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35.02</w:t>
            </w:r>
          </w:p>
        </w:tc>
        <w:tc>
          <w:tcPr>
            <w:tcW w:w="2551" w:type="dxa"/>
            <w:vAlign w:val="center"/>
          </w:tcPr>
          <w:p>
            <w:pPr>
              <w:pStyle w:val="12"/>
            </w:pPr>
            <w:r>
              <w:t>35.02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35.02</w:t>
            </w:r>
          </w:p>
        </w:tc>
        <w:tc>
          <w:tcPr>
            <w:tcW w:w="2551" w:type="dxa"/>
            <w:vAlign w:val="center"/>
          </w:tcPr>
          <w:p>
            <w:pPr>
              <w:pStyle w:val="12"/>
            </w:pPr>
            <w:r>
              <w:t>35.02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35.02</w:t>
            </w:r>
          </w:p>
        </w:tc>
        <w:tc>
          <w:tcPr>
            <w:tcW w:w="2551" w:type="dxa"/>
            <w:vAlign w:val="center"/>
          </w:tcPr>
          <w:p>
            <w:pPr>
              <w:pStyle w:val="12"/>
            </w:pPr>
            <w:r>
              <w:t>35.02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477.24</w:t>
            </w:r>
          </w:p>
        </w:tc>
        <w:tc>
          <w:tcPr>
            <w:tcW w:w="2551" w:type="dxa"/>
            <w:vAlign w:val="center"/>
          </w:tcPr>
          <w:p>
            <w:pPr>
              <w:pStyle w:val="16"/>
            </w:pPr>
            <w:r>
              <w:t>441.23</w:t>
            </w:r>
          </w:p>
        </w:tc>
        <w:tc>
          <w:tcPr>
            <w:tcW w:w="2551" w:type="dxa"/>
            <w:vAlign w:val="center"/>
          </w:tcPr>
          <w:p>
            <w:pPr>
              <w:pStyle w:val="16"/>
            </w:pPr>
            <w:r>
              <w:t>36.01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441.23</w:t>
            </w:r>
          </w:p>
        </w:tc>
        <w:tc>
          <w:tcPr>
            <w:tcW w:w="2551" w:type="dxa"/>
            <w:vAlign w:val="center"/>
          </w:tcPr>
          <w:p>
            <w:pPr>
              <w:pStyle w:val="12"/>
            </w:pPr>
            <w:r>
              <w:t>441.23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140.70</w:t>
            </w:r>
          </w:p>
        </w:tc>
        <w:tc>
          <w:tcPr>
            <w:tcW w:w="2551" w:type="dxa"/>
            <w:vAlign w:val="center"/>
          </w:tcPr>
          <w:p>
            <w:pPr>
              <w:pStyle w:val="12"/>
            </w:pPr>
            <w:r>
              <w:t>140.70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73.02</w:t>
            </w:r>
          </w:p>
        </w:tc>
        <w:tc>
          <w:tcPr>
            <w:tcW w:w="2551" w:type="dxa"/>
            <w:vAlign w:val="center"/>
          </w:tcPr>
          <w:p>
            <w:pPr>
              <w:pStyle w:val="12"/>
            </w:pPr>
            <w:r>
              <w:t>73.02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49.11</w:t>
            </w:r>
          </w:p>
        </w:tc>
        <w:tc>
          <w:tcPr>
            <w:tcW w:w="2551" w:type="dxa"/>
            <w:vAlign w:val="center"/>
          </w:tcPr>
          <w:p>
            <w:pPr>
              <w:pStyle w:val="12"/>
            </w:pPr>
            <w:r>
              <w:t>49.11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84.01</w:t>
            </w:r>
          </w:p>
        </w:tc>
        <w:tc>
          <w:tcPr>
            <w:tcW w:w="2551" w:type="dxa"/>
            <w:vAlign w:val="center"/>
          </w:tcPr>
          <w:p>
            <w:pPr>
              <w:pStyle w:val="12"/>
            </w:pPr>
            <w:r>
              <w:t>84.01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42.30</w:t>
            </w:r>
          </w:p>
        </w:tc>
        <w:tc>
          <w:tcPr>
            <w:tcW w:w="2551" w:type="dxa"/>
            <w:vAlign w:val="center"/>
          </w:tcPr>
          <w:p>
            <w:pPr>
              <w:pStyle w:val="12"/>
            </w:pPr>
            <w:r>
              <w:t>42.30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15.41</w:t>
            </w:r>
          </w:p>
        </w:tc>
        <w:tc>
          <w:tcPr>
            <w:tcW w:w="2551" w:type="dxa"/>
            <w:vAlign w:val="center"/>
          </w:tcPr>
          <w:p>
            <w:pPr>
              <w:pStyle w:val="12"/>
            </w:pPr>
            <w:r>
              <w:t>15.41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1.67</w:t>
            </w:r>
          </w:p>
        </w:tc>
        <w:tc>
          <w:tcPr>
            <w:tcW w:w="2551" w:type="dxa"/>
            <w:vAlign w:val="center"/>
          </w:tcPr>
          <w:p>
            <w:pPr>
              <w:pStyle w:val="12"/>
            </w:pPr>
            <w:r>
              <w:t>1.67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35.02</w:t>
            </w:r>
          </w:p>
        </w:tc>
        <w:tc>
          <w:tcPr>
            <w:tcW w:w="2551" w:type="dxa"/>
            <w:vAlign w:val="center"/>
          </w:tcPr>
          <w:p>
            <w:pPr>
              <w:pStyle w:val="12"/>
            </w:pPr>
            <w:r>
              <w:t>35.02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36.01</w:t>
            </w:r>
          </w:p>
        </w:tc>
        <w:tc>
          <w:tcPr>
            <w:tcW w:w="2551" w:type="dxa"/>
            <w:vAlign w:val="center"/>
          </w:tcPr>
          <w:p>
            <w:pPr>
              <w:pStyle w:val="12"/>
            </w:pPr>
          </w:p>
        </w:tc>
        <w:tc>
          <w:tcPr>
            <w:tcW w:w="2551" w:type="dxa"/>
            <w:vAlign w:val="center"/>
          </w:tcPr>
          <w:p>
            <w:pPr>
              <w:pStyle w:val="12"/>
            </w:pPr>
            <w:r>
              <w:t>36.01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10.04</w:t>
            </w:r>
          </w:p>
        </w:tc>
        <w:tc>
          <w:tcPr>
            <w:tcW w:w="2551" w:type="dxa"/>
            <w:vAlign w:val="center"/>
          </w:tcPr>
          <w:p>
            <w:pPr>
              <w:pStyle w:val="12"/>
            </w:pPr>
          </w:p>
        </w:tc>
        <w:tc>
          <w:tcPr>
            <w:tcW w:w="2551" w:type="dxa"/>
            <w:vAlign w:val="center"/>
          </w:tcPr>
          <w:p>
            <w:pPr>
              <w:pStyle w:val="12"/>
            </w:pPr>
            <w:r>
              <w:t>10.04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6.18</w:t>
            </w:r>
          </w:p>
        </w:tc>
        <w:tc>
          <w:tcPr>
            <w:tcW w:w="2551" w:type="dxa"/>
            <w:vAlign w:val="center"/>
          </w:tcPr>
          <w:p>
            <w:pPr>
              <w:pStyle w:val="12"/>
            </w:pPr>
          </w:p>
        </w:tc>
        <w:tc>
          <w:tcPr>
            <w:tcW w:w="2551" w:type="dxa"/>
            <w:vAlign w:val="center"/>
          </w:tcPr>
          <w:p>
            <w:pPr>
              <w:pStyle w:val="12"/>
            </w:pPr>
            <w:r>
              <w:t>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4.21</w:t>
            </w:r>
          </w:p>
        </w:tc>
        <w:tc>
          <w:tcPr>
            <w:tcW w:w="2551" w:type="dxa"/>
            <w:vAlign w:val="center"/>
          </w:tcPr>
          <w:p>
            <w:pPr>
              <w:pStyle w:val="12"/>
            </w:pPr>
          </w:p>
        </w:tc>
        <w:tc>
          <w:tcPr>
            <w:tcW w:w="2551" w:type="dxa"/>
            <w:vAlign w:val="center"/>
          </w:tcPr>
          <w:p>
            <w:pPr>
              <w:pStyle w:val="12"/>
            </w:pPr>
            <w:r>
              <w:t>4.21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2.76</w:t>
            </w:r>
          </w:p>
        </w:tc>
        <w:tc>
          <w:tcPr>
            <w:tcW w:w="2551" w:type="dxa"/>
            <w:vAlign w:val="center"/>
          </w:tcPr>
          <w:p>
            <w:pPr>
              <w:pStyle w:val="12"/>
            </w:pPr>
          </w:p>
        </w:tc>
        <w:tc>
          <w:tcPr>
            <w:tcW w:w="2551" w:type="dxa"/>
            <w:vAlign w:val="center"/>
          </w:tcPr>
          <w:p>
            <w:pPr>
              <w:pStyle w:val="12"/>
            </w:pPr>
            <w:r>
              <w:t>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10.38</w:t>
            </w:r>
          </w:p>
        </w:tc>
        <w:tc>
          <w:tcPr>
            <w:tcW w:w="2551" w:type="dxa"/>
            <w:vAlign w:val="center"/>
          </w:tcPr>
          <w:p>
            <w:pPr>
              <w:pStyle w:val="12"/>
            </w:pPr>
          </w:p>
        </w:tc>
        <w:tc>
          <w:tcPr>
            <w:tcW w:w="2551" w:type="dxa"/>
            <w:vAlign w:val="center"/>
          </w:tcPr>
          <w:p>
            <w:pPr>
              <w:pStyle w:val="12"/>
            </w:pPr>
            <w:r>
              <w:t>10.38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2.44</w:t>
            </w:r>
          </w:p>
        </w:tc>
        <w:tc>
          <w:tcPr>
            <w:tcW w:w="2551" w:type="dxa"/>
            <w:vAlign w:val="center"/>
          </w:tcPr>
          <w:p>
            <w:pPr>
              <w:pStyle w:val="12"/>
            </w:pPr>
          </w:p>
        </w:tc>
        <w:tc>
          <w:tcPr>
            <w:tcW w:w="2551" w:type="dxa"/>
            <w:vAlign w:val="center"/>
          </w:tcPr>
          <w:p>
            <w:pPr>
              <w:pStyle w:val="12"/>
            </w:pPr>
            <w:r>
              <w:t>2.44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0.15</w:t>
            </w:r>
          </w:p>
        </w:tc>
        <w:tc>
          <w:tcPr>
            <w:tcW w:w="2381" w:type="dxa"/>
            <w:vAlign w:val="center"/>
          </w:tcPr>
          <w:p>
            <w:pPr>
              <w:pStyle w:val="16"/>
            </w:pPr>
            <w:r>
              <w:t>0.15</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0.15</w:t>
            </w:r>
          </w:p>
        </w:tc>
        <w:tc>
          <w:tcPr>
            <w:tcW w:w="2381" w:type="dxa"/>
            <w:vAlign w:val="center"/>
          </w:tcPr>
          <w:p>
            <w:pPr>
              <w:pStyle w:val="12"/>
            </w:pPr>
            <w:r>
              <w:t>0.15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0.15</w:t>
            </w:r>
          </w:p>
        </w:tc>
        <w:tc>
          <w:tcPr>
            <w:tcW w:w="2381" w:type="dxa"/>
            <w:vAlign w:val="center"/>
          </w:tcPr>
          <w:p>
            <w:pPr>
              <w:pStyle w:val="12"/>
            </w:pPr>
            <w:r>
              <w:t>0.15</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保定市徐水区行政审批局2025年部门预算信息公开情况说明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保定市徐水区行政审批局2025年部门预算信息公开情况说明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按照《中华人民共和国预算法》、《地方预决算公开操作规程》和《关于进一步推进预算公开工作的实施意见》规定，现将保定市徐水区行政审批局2025年部门预算公开如下：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根据《保定市徐水区行政审批局职能配置、内设机构和人员编制规定》，保定市徐水区行政审批局主要职责是：</w:t>
      </w:r>
    </w:p>
    <w:p>
      <w:pPr>
        <w:pStyle w:val="18"/>
      </w:pPr>
      <w:r>
        <w:t>（一）依据《保定市徐水区行政许可事项目录》，将区发展和改革局、区财政局、区教育和体育局、民政局、区住房和城乡建设局、区城市管理综合行政执法局、区司法局、区人力资源和社会保障局、区交通运输局、区水利局、区农业农村局、市自然资源和规划局徐水区分局、区卫生健康局、区市场监督管理局、区文化广电和旅游局、区工业和信息化局等部门承担的行政审批事项划入区行政审批局。由行政审批局依法履行相关行政许可职责，集中行使行政审批权，并根据实际情况做出调整。对划入的行政事项进行流程再造、环节优化。</w:t>
      </w:r>
    </w:p>
    <w:p>
      <w:pPr>
        <w:pStyle w:val="18"/>
      </w:pPr>
      <w:r>
        <w:t>（二）贯彻执行国家、省、市“放管服”改革、行政审批制度改革、政务服务管理、公共资源交易、社会信用体系建设有关方针政策和法律法规。起草有关政府规章，制定有关政策，协调指导并监督实施。</w:t>
      </w:r>
    </w:p>
    <w:p>
      <w:pPr>
        <w:pStyle w:val="18"/>
      </w:pPr>
      <w:r>
        <w:t>（三）组织协调全区“放管服”改革工作，指导、督促贯彻落实国家、省、市关于“放管服”改革重要领域、关键环节重大政策措施，承担区推进政府职能转变和“放管服”改革协调小组的日常工作。</w:t>
      </w:r>
    </w:p>
    <w:p>
      <w:pPr>
        <w:pStyle w:val="18"/>
      </w:pPr>
      <w:r>
        <w:t>（四）负责投资项目、企业注册、市场服务、公共事务、文教卫体、社会事务、住建交通、城市管理、农林蓄水、经贸商务等方面行政审批事项的办理及相关行政性收费，并承担相应的法律责任。</w:t>
      </w:r>
    </w:p>
    <w:p>
      <w:pPr>
        <w:pStyle w:val="18"/>
      </w:pPr>
      <w:r>
        <w:t>（五）指导协调全区行政审批制度改革工作。建立健全全区乡（镇）、村两级审批服务事项管理卫星通信。建立、监督、指导镇（乡）、村便民服务站点相关工作；协调推进行政审批标准化建设；承担区行政审批制度改革领导小组的日常工作。</w:t>
      </w:r>
    </w:p>
    <w:p>
      <w:pPr>
        <w:pStyle w:val="18"/>
      </w:pPr>
      <w:r>
        <w:t>（六）指导协调全区政务服务管理工作。负责优化政务服务供给，降低制度性交易成本，提升政务服务效能；负责推进审批服务便民化；负责探索建立审批与监管的有效衔接机制；指导协调区有关部门为民、法人或者其他组织提供规范、高效、优质的政务服务。</w:t>
      </w:r>
    </w:p>
    <w:p>
      <w:pPr>
        <w:pStyle w:val="18"/>
      </w:pPr>
      <w:r>
        <w:t>（七）负责职责范围内区本级行政许可事项和相关行政服务事项的办理及相关行政事业性收费；负责协调和监督管理区本级暂未划转行政审批服务事项和公共服务事项的集中统一办理；推进重点项目审批服务的综合协调和督办；组织相关部门开展审批服务事项的联合办理和联合会办；研究推进并联审理服务工作。</w:t>
      </w:r>
    </w:p>
    <w:p>
      <w:pPr>
        <w:pStyle w:val="18"/>
      </w:pPr>
      <w:r>
        <w:t>（八）负责依法组织和实施对全区国家机关、事业单位和社会团体委托的货物、工程、服务等项目的政府采购工作。协调指导全区公共资源交易工作。负责拟订全区公共资源交易目录；负责推进公共资源交易电子服务系统建设；负责推进全区公共资源交易领域信用体系建设；指导全区并监督区本级公共资源交易项目场内交易活动的监督工作，将违法违规问题移送有关部门处理；协调开展区本级公共资源交易活动的联运执法。</w:t>
      </w:r>
    </w:p>
    <w:p>
      <w:pPr>
        <w:pStyle w:val="18"/>
      </w:pPr>
      <w:r>
        <w:t>（九）统筹推进全区“互联网+政务服务”工作，构建全区一体化政务服务平台。推进政务服务事项网上办理，形成管理机构、实体大厅、网上平台“三位一体”的政务管理模式；推进全区电子证照库建设；推进全区政务服务平台规范化、标准化、集约化建设和互联互通、数据共享。</w:t>
      </w:r>
    </w:p>
    <w:p>
      <w:pPr>
        <w:pStyle w:val="18"/>
      </w:pPr>
      <w:r>
        <w:t>（十）建立健全全区政务服务、行政审批服务效能可量化的考核评价制度；负责进驻公共服务、便民服务、中介服务的规范和管理；负责对进进驻部门进行综合考评；负责对行政审批窗口工作人员的日常管理和绩效考核；负责全区政务服务、公共资源交易投诉举报的承办、转办和督办工作。</w:t>
      </w:r>
    </w:p>
    <w:p>
      <w:pPr>
        <w:pStyle w:val="18"/>
      </w:pPr>
      <w:r>
        <w:t>（十一）承办区政府交办的其他工作。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保定市徐水区行政审批局本级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按照预算管理有关规定，目前部门预算的编制实行综合预算管理，即全部收入和支出都反映在预算中。保定市徐水区行政审批局机关及所属事业单位的收支包含在部门预算中。</w:t>
      </w:r>
    </w:p>
    <w:p>
      <w:pPr>
        <w:pStyle w:val="19"/>
      </w:pPr>
      <w:r>
        <w:t>1、收入说明</w:t>
      </w:r>
    </w:p>
    <w:p>
      <w:pPr>
        <w:pStyle w:val="19"/>
      </w:pPr>
      <w:r>
        <w:t>反映本部门当年全部收入。2025年预算收入712.89万元，其中：一般公共预算收入712.89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保定市徐水区行政审批局年度部门预算中支出预算的总体情况。2025年支出预算712.89万元，其中基本支出477.24万元，包括人员经费441.23万元和日常公用经费36.01万元；项目支出235.65万元，主要为行政审批政务服务经费和其他个人部分支出。</w:t>
      </w:r>
    </w:p>
    <w:p>
      <w:pPr>
        <w:pStyle w:val="19"/>
      </w:pPr>
      <w:r>
        <w:t>3、比上年增减情况</w:t>
      </w:r>
    </w:p>
    <w:p>
      <w:pPr>
        <w:pStyle w:val="19"/>
      </w:pPr>
      <w:r>
        <w:t>2025年预算收支安排712.89万元，较2024年预算增加114.11万元，其中：基本支出增加113.08万元，主要为单位新增人员10人。项目支出增加1.03万元，主要为劳务派遣人员保险增加。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2025年，我部门机关运行经费共计安排36.01万元，主要用于日常维修、办公用房水电费、办公用房取暖费、办公用房物业管理费等日常运行支出。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0.15万元，其中因公出国（境）费0.00万元；公务用车购置及运维费0.00万元（其中：公务用车购置费为0.00万元，公务用车运维费0.00万元)；公务接待费0.15万元。与2024年相比增加0.00万元，增减变化的主要原因是2025年，我部门财政拨款“三公”经费预算安排0.15万元。与2024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贯彻落实中央、省委、市委和区委关于行政审批工作、政务服务管理工作的方针政策和决策部署，坚持和加强党对行政审批工作、政务服务管理工作的集中统一领导。坚持以人民为中心理念，紧紧围绕全区工作思路，持续深化“放管服”改革，全面提升行政审批、政务服务管理水平；进一步提高公共资源交易平台服务水平；加快完善社会信用体系建设，创新推动智慧政务建设，推进全区“互联网+政务服务”工作。构建全区一体化政务服务平台，加强事项监管，强化效能监督，完善综合业务、事务管理，推动政务服务提档升级再加速，为构筑市场化、法治化、国际化营商环境提供强大动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（一）优化集中行使行政审批权</w:t>
      </w:r>
    </w:p>
    <w:p>
      <w:pPr>
        <w:pStyle w:val="23"/>
      </w:pPr>
      <w:r>
        <w:t>绩效目标：依法履行相关行政许可职责，集中行使行政审批权，并根据实际情况做出调整。对划入的行政审批事项进行流程再造、环节优化。</w:t>
      </w:r>
    </w:p>
    <w:p>
      <w:pPr>
        <w:pStyle w:val="23"/>
      </w:pPr>
      <w:r>
        <w:t>绩效指标：协调组织应划转审批项目，应划转事项划转率达到90%以上；优化行政审批事项，划入的行政审批事项优化率达到90%以上。</w:t>
      </w:r>
    </w:p>
    <w:p>
      <w:pPr>
        <w:pStyle w:val="23"/>
      </w:pPr>
      <w:r>
        <w:t>（二）持续深化“放管服”改革</w:t>
      </w:r>
    </w:p>
    <w:p>
      <w:pPr>
        <w:pStyle w:val="23"/>
      </w:pPr>
      <w:r>
        <w:t>绩效目标：组织协调全区推进政府职能转变和“放管服”改革工作；督导全区各有关部门贯彻落实党中央、国务院和省委、省政府关于深化“放管服”改革的各项决策部署，聚焦社会关注、企业关切、群众关心的堵点、痛点、难点问题，深化改革、完善工作，为全区优化营商环境做出积极贡献。</w:t>
      </w:r>
    </w:p>
    <w:p>
      <w:pPr>
        <w:pStyle w:val="23"/>
      </w:pPr>
      <w:r>
        <w:t>绩效指标：协调推动“放管服”改革工作，各项改革任务完成情况达到90%以上；扎实开展“放管服”改革专项调研和督查工作，调研指导和督查工作完成情况达到90%以上。</w:t>
      </w:r>
    </w:p>
    <w:p>
      <w:pPr>
        <w:pStyle w:val="23"/>
      </w:pPr>
      <w:r>
        <w:t>（三）优化办理行政审批事项</w:t>
      </w:r>
    </w:p>
    <w:p>
      <w:pPr>
        <w:pStyle w:val="23"/>
      </w:pPr>
      <w:r>
        <w:t>绩效目标：优化投资项目、企业注册、市场服务、公共事务、文教卫体、社会事务、住建交通、城市管理、农林蓄水、经贸商务等方面行政审批事项办理流程及相关行政性收费。</w:t>
      </w:r>
    </w:p>
    <w:p>
      <w:pPr>
        <w:pStyle w:val="23"/>
      </w:pPr>
      <w:r>
        <w:t>绩效指标：提升行政审批事项办理效率，优化办理环节，实现“群众少跑腿、干部多跑腿”，加快“一次办结”进程，收件办结率达到95%以上。</w:t>
      </w:r>
    </w:p>
    <w:p>
      <w:pPr>
        <w:pStyle w:val="23"/>
      </w:pPr>
      <w:r>
        <w:t>（四）政务服务管理水平全面提升</w:t>
      </w:r>
    </w:p>
    <w:p>
      <w:pPr>
        <w:pStyle w:val="23"/>
      </w:pPr>
      <w:r>
        <w:t>绩效目标：规范政务服务事项，优化政务服务流程，提升政务服务效能，加强对单位进驻、事项办理、流程优化、网上运行的监督管理，推进政务服务阳光规范运行；全区乡镇（街道）综合（便民）服务中心、农村（社区）综合服务站实现全覆盖，乡镇便民服务设施更加齐全，服务内容持续完善，服务质量和水平不断提升。</w:t>
      </w:r>
    </w:p>
    <w:p>
      <w:pPr>
        <w:pStyle w:val="23"/>
      </w:pPr>
      <w:r>
        <w:t>绩效指标：政务服务功能完善，贯彻落实政务服务工作，创新和完善相关工作体制，政务服务有创新举措，效果明显；政务服务事项实现“应驻尽驻”；全区各乡镇（街道）综合（便民）服务中心覆盖率达到100%，各农村（社区）综合服务站覆盖率达到100%。</w:t>
      </w:r>
    </w:p>
    <w:p>
      <w:pPr>
        <w:pStyle w:val="23"/>
      </w:pPr>
      <w:r>
        <w:t>（五）公共资源交易平台服务水平显著提高</w:t>
      </w:r>
    </w:p>
    <w:p>
      <w:pPr>
        <w:pStyle w:val="23"/>
      </w:pPr>
      <w:r>
        <w:t>绩效目标：指导全区并监督省本级公共资源交易项目进场交易，推动建设、管理全区统一的公共资源交易电子服务系统，受理和处理对区公共资源交易中心及其工作人员的投诉，监督区本级交易项目场内交易活动。</w:t>
      </w:r>
    </w:p>
    <w:p>
      <w:pPr>
        <w:pStyle w:val="23"/>
      </w:pPr>
      <w:r>
        <w:t>绩效指标：持续推进公共资源平台服务水平，升级通用项目管理系统，积极推动电子化交易全面实施及时更新升级，让交易平台运行顺畅；推进应进必进，推行“四零服务”，使交易项目进场率及投诉答复率达到80%以上，促进服务质量和效率不断提升。</w:t>
      </w:r>
    </w:p>
    <w:p>
      <w:pPr>
        <w:pStyle w:val="23"/>
      </w:pPr>
      <w:r>
        <w:t>（六）社会信用体系建设水平全面提升</w:t>
      </w:r>
    </w:p>
    <w:p>
      <w:pPr>
        <w:pStyle w:val="23"/>
      </w:pPr>
      <w:r>
        <w:t>绩效目标：加快推进全区社会信用体系建设工作，完善社会信用信息共享平台建设，加强信用信息归集，实现全区信用信息共享，建立健全联合奖惩机制。</w:t>
      </w:r>
    </w:p>
    <w:p>
      <w:pPr>
        <w:pStyle w:val="23"/>
      </w:pPr>
      <w:r>
        <w:t>绩效指标：建设覆盖全区范围内的社会信用信息共享平台，平台覆盖率超过90%；构建守信激励和失信惩戒联动机制，推动联合奖惩措施落地，联合奖惩案例上报率大于80%。</w:t>
      </w:r>
    </w:p>
    <w:p>
      <w:pPr>
        <w:pStyle w:val="23"/>
      </w:pPr>
      <w:r>
        <w:t>（七）增强办事深度，加强事项监管</w:t>
      </w:r>
    </w:p>
    <w:p>
      <w:pPr>
        <w:pStyle w:val="23"/>
      </w:pPr>
      <w:r>
        <w:t>绩效目标：提升一体化在线政务服务平台建设水平，充分依托电子证照平台，重点增加事项网上办理的深度，由原来的仅网上受理，向更大范围的“最多跑一次”和全流程网办延伸，扩大网上服务的广度及深度，实现服务事项的标准化、规范化。网络建设推进有力，实现重点监管事项全覆盖、监管过程全记录、监管数据可共享。</w:t>
      </w:r>
    </w:p>
    <w:p>
      <w:pPr>
        <w:pStyle w:val="23"/>
      </w:pPr>
      <w:r>
        <w:t>绩效指标：系统运行顺畅，按照规定及时更新，出现问题及时维护，保证平台正常运行。系统数据准确完整，出现问题及时维护，确保系统运行正常，上报数据及时准确。</w:t>
      </w:r>
    </w:p>
    <w:p>
      <w:pPr>
        <w:pStyle w:val="23"/>
      </w:pPr>
      <w:r>
        <w:t>（八）效能监督及投诉处理能力整体增强</w:t>
      </w:r>
    </w:p>
    <w:p>
      <w:pPr>
        <w:pStyle w:val="23"/>
      </w:pPr>
      <w:r>
        <w:t>绩效目标：考核评价办法得到有效实施，投诉渠道更加畅通，处理投诉能力不断增强，社会监督更加多元，政务服务窗口作风和服务水平进一步改善，全面推动政务服务效能提升。</w:t>
      </w:r>
    </w:p>
    <w:p>
      <w:pPr>
        <w:pStyle w:val="23"/>
      </w:pPr>
      <w:r>
        <w:t>绩效指标：群众投诉处理率达到90%以上，群众满意度提升率稳定在10%以上。</w:t>
      </w:r>
    </w:p>
    <w:p>
      <w:pPr>
        <w:pStyle w:val="23"/>
      </w:pPr>
      <w:r>
        <w:t>（九）综合业务、事务管理能力整体增强</w:t>
      </w:r>
    </w:p>
    <w:p>
      <w:pPr>
        <w:pStyle w:val="23"/>
      </w:pPr>
      <w:r>
        <w:t>绩效目标：建立健全日常管理制度和工作流程，畅通办事渠道，提高工作效率；加强后勤管理，保障机关办公有序、车辆安全出行、电通水畅，协调做好房屋及水电暖设备维修、庭院绿化等后勤服务保障工作。</w:t>
      </w:r>
    </w:p>
    <w:p>
      <w:pPr>
        <w:pStyle w:val="23"/>
      </w:pPr>
      <w:r>
        <w:t>绩效指标：加强制度管理，推进规范运行，综合事务工作完成情况达到90%以上；保障机关工作正常高效运转，服务保障能力进一步提升，机关工作人员满意度达90%以上。</w:t>
      </w: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1、完善制度建设。坚持用完善制度来稳定工作成效，促进工作的管理机制，为各项工作有条不紊的开展，提供坚实的制度保障。</w:t>
      </w:r>
    </w:p>
    <w:p>
      <w:pPr>
        <w:pStyle w:val="24"/>
      </w:pPr>
      <w:r>
        <w:t>2、加强支出管理。建立统筹协调、分工协作、密切配合、合力推进的工作机制，厘清职责任务，细化政策措施，强化协作配合，形成工作合力。</w:t>
      </w:r>
    </w:p>
    <w:p>
      <w:pPr>
        <w:pStyle w:val="24"/>
      </w:pPr>
      <w:r>
        <w:t>3、加强绩效运行监控。高效推进绩效运行监控工作，增强预算执行的科学性、合理性、规范性，提高资金使用绩效。</w:t>
      </w:r>
    </w:p>
    <w:p>
      <w:pPr>
        <w:pStyle w:val="24"/>
      </w:pPr>
      <w:r>
        <w:t>4、做好绩效自评。进一步树立绩效理念，健全绩效管理制度，建立和完善绩效管理模式。</w:t>
      </w:r>
    </w:p>
    <w:p>
      <w:pPr>
        <w:pStyle w:val="24"/>
      </w:pPr>
      <w:r>
        <w:t>5、规范财务资产管理。定期或不定期对资产进行核查，及时发现，对薄弱环节和隐患进行整改，加强管理。</w:t>
      </w:r>
    </w:p>
    <w:p>
      <w:pPr>
        <w:pStyle w:val="24"/>
      </w:pPr>
      <w:r>
        <w:t>6、加强内部监督。建立健全督导评估机制，对项工作情况适时开展专项督查评估，及时解决工作中遇到的问题。纳入考核体系，强化导向作用，对任务目标完成质量不高的，进行通报批评。</w:t>
      </w:r>
    </w:p>
    <w:p>
      <w:pPr>
        <w:pStyle w:val="24"/>
        <w:sectPr>
          <w:pgSz w:w="16840" w:h="11900" w:orient="landscape"/>
          <w:pgMar w:top="1361" w:right="1020" w:bottom="1361" w:left="1020" w:header="720" w:footer="720" w:gutter="0"/>
          <w:cols w:space="720" w:num="1"/>
        </w:sectPr>
      </w:pPr>
      <w:r>
        <w:t>7、加强宣传培训调研等。组织开展多轮次、多角度的业务培训，使全体干部职工牢固树立绩效理念。围绕任务内容，组织开展专题培训和不定期的业务培训，提高工作人员的业务水平和操作能力。各业务处室要积极探索工作经验，及时总结预算绩效管理成效，营造良好的舆论氛围，努力提升预算绩效管理水平。</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1、保安保洁服务费绩效目标表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13062525P000232100077</w:t>
            </w:r>
          </w:p>
        </w:tc>
        <w:tc>
          <w:tcPr>
            <w:tcW w:w="2835" w:type="dxa"/>
            <w:vAlign w:val="center"/>
          </w:tcPr>
          <w:p>
            <w:pPr>
              <w:pStyle w:val="11"/>
            </w:pPr>
            <w:r>
              <w:t>项目名称</w:t>
            </w:r>
          </w:p>
        </w:tc>
        <w:tc>
          <w:tcPr>
            <w:tcW w:w="6095" w:type="dxa"/>
            <w:gridSpan w:val="3"/>
            <w:vAlign w:val="center"/>
          </w:tcPr>
          <w:p>
            <w:pPr>
              <w:pStyle w:val="13"/>
            </w:pPr>
            <w:r>
              <w:t>保安保洁服务费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34.46</w:t>
            </w:r>
          </w:p>
        </w:tc>
        <w:tc>
          <w:tcPr>
            <w:tcW w:w="2835" w:type="dxa"/>
            <w:vAlign w:val="center"/>
          </w:tcPr>
          <w:p>
            <w:pPr>
              <w:pStyle w:val="11"/>
            </w:pPr>
            <w:r>
              <w:t>其中：财政    资金</w:t>
            </w:r>
          </w:p>
        </w:tc>
        <w:tc>
          <w:tcPr>
            <w:tcW w:w="2551" w:type="dxa"/>
            <w:vAlign w:val="center"/>
          </w:tcPr>
          <w:p>
            <w:pPr>
              <w:pStyle w:val="13"/>
            </w:pPr>
            <w:r>
              <w:t>34.46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用于支付保安保洁厨师等服务费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1.聘用保安人员5人，加强两个大厅安全保卫工作，增强外部安全防范能力，交通顺畅，保障各项工作的顺利开展。按月发放。</w:t>
            </w:r>
          </w:p>
          <w:p>
            <w:pPr>
              <w:pStyle w:val="13"/>
            </w:pPr>
            <w:r>
              <w:t>2.聘用厨师1人，为大厅工作人员提供生活保障。按月发放。</w:t>
            </w:r>
          </w:p>
          <w:p>
            <w:pPr>
              <w:pStyle w:val="13"/>
            </w:pPr>
            <w:r>
              <w:t>3.为提升大厅服务水平 ，提高社会效益，优化营商环境。聘用专业保洁人员1人，每天完成3900平方米办公区域的保洁打扫，提高环境卫生质量，确保办公区域保洁验收达标率达到95%以上，确保群众在干净整洁的环境中办理业务，满意度达到95%以上。按月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保安人员情况</w:t>
            </w:r>
          </w:p>
        </w:tc>
        <w:tc>
          <w:tcPr>
            <w:tcW w:w="5386" w:type="dxa"/>
            <w:vAlign w:val="center"/>
          </w:tcPr>
          <w:p>
            <w:pPr>
              <w:pStyle w:val="13"/>
            </w:pPr>
            <w:r>
              <w:t>保安人员数量</w:t>
            </w:r>
          </w:p>
        </w:tc>
        <w:tc>
          <w:tcPr>
            <w:tcW w:w="2268" w:type="dxa"/>
            <w:vAlign w:val="center"/>
          </w:tcPr>
          <w:p>
            <w:pPr>
              <w:pStyle w:val="13"/>
            </w:pPr>
            <w:r>
              <w:t>5人</w:t>
            </w:r>
          </w:p>
        </w:tc>
        <w:tc>
          <w:tcPr>
            <w:tcW w:w="1276" w:type="dxa"/>
            <w:vAlign w:val="center"/>
          </w:tcPr>
          <w:p>
            <w:pPr>
              <w:pStyle w:val="13"/>
            </w:pPr>
            <w:r>
              <w:t>保安服务合同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保洁人员情况</w:t>
            </w:r>
          </w:p>
        </w:tc>
        <w:tc>
          <w:tcPr>
            <w:tcW w:w="5386" w:type="dxa"/>
            <w:vAlign w:val="center"/>
          </w:tcPr>
          <w:p>
            <w:pPr>
              <w:pStyle w:val="13"/>
            </w:pPr>
            <w:r>
              <w:t>保洁人员数量</w:t>
            </w:r>
          </w:p>
        </w:tc>
        <w:tc>
          <w:tcPr>
            <w:tcW w:w="2268" w:type="dxa"/>
            <w:vAlign w:val="center"/>
          </w:tcPr>
          <w:p>
            <w:pPr>
              <w:pStyle w:val="13"/>
            </w:pPr>
            <w:r>
              <w:t>1人</w:t>
            </w:r>
          </w:p>
        </w:tc>
        <w:tc>
          <w:tcPr>
            <w:tcW w:w="1276" w:type="dxa"/>
            <w:vAlign w:val="center"/>
          </w:tcPr>
          <w:p>
            <w:pPr>
              <w:pStyle w:val="13"/>
            </w:pPr>
            <w:r>
              <w:t>保洁服务合同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厨师人员情况</w:t>
            </w:r>
          </w:p>
        </w:tc>
        <w:tc>
          <w:tcPr>
            <w:tcW w:w="5386" w:type="dxa"/>
            <w:vAlign w:val="center"/>
          </w:tcPr>
          <w:p>
            <w:pPr>
              <w:pStyle w:val="13"/>
            </w:pPr>
            <w:r>
              <w:t>厨师人员数量</w:t>
            </w:r>
          </w:p>
        </w:tc>
        <w:tc>
          <w:tcPr>
            <w:tcW w:w="2268" w:type="dxa"/>
            <w:vAlign w:val="center"/>
          </w:tcPr>
          <w:p>
            <w:pPr>
              <w:pStyle w:val="13"/>
            </w:pPr>
            <w:r>
              <w:t>1人</w:t>
            </w:r>
          </w:p>
        </w:tc>
        <w:tc>
          <w:tcPr>
            <w:tcW w:w="1276" w:type="dxa"/>
            <w:vAlign w:val="center"/>
          </w:tcPr>
          <w:p>
            <w:pPr>
              <w:pStyle w:val="13"/>
            </w:pPr>
            <w:r>
              <w:t>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保洁面积</w:t>
            </w:r>
          </w:p>
        </w:tc>
        <w:tc>
          <w:tcPr>
            <w:tcW w:w="5386" w:type="dxa"/>
            <w:vAlign w:val="center"/>
          </w:tcPr>
          <w:p>
            <w:pPr>
              <w:pStyle w:val="13"/>
            </w:pPr>
            <w:r>
              <w:t>保洁清理面积</w:t>
            </w:r>
          </w:p>
        </w:tc>
        <w:tc>
          <w:tcPr>
            <w:tcW w:w="2268" w:type="dxa"/>
            <w:vAlign w:val="center"/>
          </w:tcPr>
          <w:p>
            <w:pPr>
              <w:pStyle w:val="13"/>
            </w:pPr>
            <w:r>
              <w:t>≥3900平方米</w:t>
            </w:r>
          </w:p>
        </w:tc>
        <w:tc>
          <w:tcPr>
            <w:tcW w:w="1276" w:type="dxa"/>
            <w:vAlign w:val="center"/>
          </w:tcPr>
          <w:p>
            <w:pPr>
              <w:pStyle w:val="13"/>
            </w:pPr>
            <w:r>
              <w:t>保安保洁服务费工作实施计划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工资发放准确情况</w:t>
            </w:r>
          </w:p>
        </w:tc>
        <w:tc>
          <w:tcPr>
            <w:tcW w:w="2268" w:type="dxa"/>
            <w:vAlign w:val="center"/>
          </w:tcPr>
          <w:p>
            <w:pPr>
              <w:pStyle w:val="13"/>
            </w:pPr>
            <w:r>
              <w:t>≥95%</w:t>
            </w:r>
          </w:p>
        </w:tc>
        <w:tc>
          <w:tcPr>
            <w:tcW w:w="1276" w:type="dxa"/>
            <w:vAlign w:val="center"/>
          </w:tcPr>
          <w:p>
            <w:pPr>
              <w:pStyle w:val="13"/>
            </w:pPr>
            <w:r>
              <w:t>保安保洁服务费工作实施计划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工资发放及时情况</w:t>
            </w:r>
          </w:p>
        </w:tc>
        <w:tc>
          <w:tcPr>
            <w:tcW w:w="2268" w:type="dxa"/>
            <w:vAlign w:val="center"/>
          </w:tcPr>
          <w:p>
            <w:pPr>
              <w:pStyle w:val="13"/>
            </w:pPr>
            <w:r>
              <w:t>≥95%</w:t>
            </w:r>
          </w:p>
        </w:tc>
        <w:tc>
          <w:tcPr>
            <w:tcW w:w="1276" w:type="dxa"/>
            <w:vAlign w:val="center"/>
          </w:tcPr>
          <w:p>
            <w:pPr>
              <w:pStyle w:val="13"/>
            </w:pPr>
            <w:r>
              <w:t>保安保洁服务费工作实施计划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预算单位成本控制数</w:t>
            </w:r>
          </w:p>
        </w:tc>
        <w:tc>
          <w:tcPr>
            <w:tcW w:w="5386" w:type="dxa"/>
            <w:vAlign w:val="center"/>
          </w:tcPr>
          <w:p>
            <w:pPr>
              <w:pStyle w:val="13"/>
            </w:pPr>
            <w:r>
              <w:t>每月雇佣保安人员3人的成本费用</w:t>
            </w:r>
          </w:p>
        </w:tc>
        <w:tc>
          <w:tcPr>
            <w:tcW w:w="2268" w:type="dxa"/>
            <w:vAlign w:val="center"/>
          </w:tcPr>
          <w:p>
            <w:pPr>
              <w:pStyle w:val="13"/>
            </w:pPr>
            <w:r>
              <w:t>10500元</w:t>
            </w:r>
          </w:p>
        </w:tc>
        <w:tc>
          <w:tcPr>
            <w:tcW w:w="1276" w:type="dxa"/>
            <w:vAlign w:val="center"/>
          </w:tcPr>
          <w:p>
            <w:pPr>
              <w:pStyle w:val="13"/>
            </w:pPr>
            <w:r>
              <w:t>保安服务合同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预算单位成本控制数</w:t>
            </w:r>
          </w:p>
        </w:tc>
        <w:tc>
          <w:tcPr>
            <w:tcW w:w="5386" w:type="dxa"/>
            <w:vAlign w:val="center"/>
          </w:tcPr>
          <w:p>
            <w:pPr>
              <w:pStyle w:val="13"/>
            </w:pPr>
            <w:r>
              <w:t>每月雇佣保安人员1人的成本费用</w:t>
            </w:r>
          </w:p>
        </w:tc>
        <w:tc>
          <w:tcPr>
            <w:tcW w:w="2268" w:type="dxa"/>
            <w:vAlign w:val="center"/>
          </w:tcPr>
          <w:p>
            <w:pPr>
              <w:pStyle w:val="13"/>
            </w:pPr>
            <w:r>
              <w:t>3200元</w:t>
            </w:r>
          </w:p>
        </w:tc>
        <w:tc>
          <w:tcPr>
            <w:tcW w:w="1276" w:type="dxa"/>
            <w:vAlign w:val="center"/>
          </w:tcPr>
          <w:p>
            <w:pPr>
              <w:pStyle w:val="13"/>
            </w:pPr>
            <w:r>
              <w:t>保安服务合同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预算单位成本控制数</w:t>
            </w:r>
          </w:p>
        </w:tc>
        <w:tc>
          <w:tcPr>
            <w:tcW w:w="5386" w:type="dxa"/>
            <w:vAlign w:val="center"/>
          </w:tcPr>
          <w:p>
            <w:pPr>
              <w:pStyle w:val="13"/>
            </w:pPr>
            <w:r>
              <w:t>每月雇佣保安人员1人的成本费用</w:t>
            </w:r>
          </w:p>
        </w:tc>
        <w:tc>
          <w:tcPr>
            <w:tcW w:w="2268" w:type="dxa"/>
            <w:vAlign w:val="center"/>
          </w:tcPr>
          <w:p>
            <w:pPr>
              <w:pStyle w:val="13"/>
            </w:pPr>
            <w:r>
              <w:t>3600元</w:t>
            </w:r>
          </w:p>
        </w:tc>
        <w:tc>
          <w:tcPr>
            <w:tcW w:w="1276" w:type="dxa"/>
            <w:vAlign w:val="center"/>
          </w:tcPr>
          <w:p>
            <w:pPr>
              <w:pStyle w:val="13"/>
            </w:pPr>
            <w:r>
              <w:t>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预算单位成本控制数</w:t>
            </w:r>
          </w:p>
        </w:tc>
        <w:tc>
          <w:tcPr>
            <w:tcW w:w="5386" w:type="dxa"/>
            <w:vAlign w:val="center"/>
          </w:tcPr>
          <w:p>
            <w:pPr>
              <w:pStyle w:val="13"/>
            </w:pPr>
            <w:r>
              <w:t>每月雇佣厨师1人的成本费用</w:t>
            </w:r>
          </w:p>
        </w:tc>
        <w:tc>
          <w:tcPr>
            <w:tcW w:w="2268" w:type="dxa"/>
            <w:vAlign w:val="center"/>
          </w:tcPr>
          <w:p>
            <w:pPr>
              <w:pStyle w:val="13"/>
            </w:pPr>
            <w:r>
              <w:t>6215元</w:t>
            </w:r>
          </w:p>
        </w:tc>
        <w:tc>
          <w:tcPr>
            <w:tcW w:w="1276" w:type="dxa"/>
            <w:vAlign w:val="center"/>
          </w:tcPr>
          <w:p>
            <w:pPr>
              <w:pStyle w:val="13"/>
            </w:pPr>
            <w:r>
              <w:t>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预算单位成本控制数</w:t>
            </w:r>
          </w:p>
        </w:tc>
        <w:tc>
          <w:tcPr>
            <w:tcW w:w="5386" w:type="dxa"/>
            <w:vAlign w:val="center"/>
          </w:tcPr>
          <w:p>
            <w:pPr>
              <w:pStyle w:val="13"/>
            </w:pPr>
            <w:r>
              <w:t>每月雇佣保洁人员1人的成本费用</w:t>
            </w:r>
          </w:p>
        </w:tc>
        <w:tc>
          <w:tcPr>
            <w:tcW w:w="2268" w:type="dxa"/>
            <w:vAlign w:val="center"/>
          </w:tcPr>
          <w:p>
            <w:pPr>
              <w:pStyle w:val="13"/>
            </w:pPr>
            <w:r>
              <w:t>5200元</w:t>
            </w:r>
          </w:p>
        </w:tc>
        <w:tc>
          <w:tcPr>
            <w:tcW w:w="1276" w:type="dxa"/>
            <w:vAlign w:val="center"/>
          </w:tcPr>
          <w:p>
            <w:pPr>
              <w:pStyle w:val="13"/>
            </w:pPr>
            <w:r>
              <w:t>保洁服务合同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维持秩序，安保情况</w:t>
            </w:r>
          </w:p>
        </w:tc>
        <w:tc>
          <w:tcPr>
            <w:tcW w:w="5386" w:type="dxa"/>
            <w:vAlign w:val="center"/>
          </w:tcPr>
          <w:p>
            <w:pPr>
              <w:pStyle w:val="13"/>
            </w:pPr>
            <w:r>
              <w:t>服务大厅秩序稳定情况</w:t>
            </w:r>
          </w:p>
        </w:tc>
        <w:tc>
          <w:tcPr>
            <w:tcW w:w="2268" w:type="dxa"/>
            <w:vAlign w:val="center"/>
          </w:tcPr>
          <w:p>
            <w:pPr>
              <w:pStyle w:val="13"/>
            </w:pPr>
            <w:r>
              <w:t>≥95%</w:t>
            </w:r>
          </w:p>
        </w:tc>
        <w:tc>
          <w:tcPr>
            <w:tcW w:w="1276" w:type="dxa"/>
            <w:vAlign w:val="center"/>
          </w:tcPr>
          <w:p>
            <w:pPr>
              <w:pStyle w:val="13"/>
            </w:pPr>
            <w:r>
              <w:t>保安保洁服务费工作实施计划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环境舒适度</w:t>
            </w:r>
          </w:p>
        </w:tc>
        <w:tc>
          <w:tcPr>
            <w:tcW w:w="5386" w:type="dxa"/>
            <w:vAlign w:val="center"/>
          </w:tcPr>
          <w:p>
            <w:pPr>
              <w:pStyle w:val="13"/>
            </w:pPr>
            <w:r>
              <w:t>环境整洁情况</w:t>
            </w:r>
          </w:p>
        </w:tc>
        <w:tc>
          <w:tcPr>
            <w:tcW w:w="2268" w:type="dxa"/>
            <w:vAlign w:val="center"/>
          </w:tcPr>
          <w:p>
            <w:pPr>
              <w:pStyle w:val="13"/>
            </w:pPr>
            <w:r>
              <w:t>≥95%</w:t>
            </w:r>
          </w:p>
        </w:tc>
        <w:tc>
          <w:tcPr>
            <w:tcW w:w="1276" w:type="dxa"/>
            <w:vAlign w:val="center"/>
          </w:tcPr>
          <w:p>
            <w:pPr>
              <w:pStyle w:val="13"/>
            </w:pPr>
            <w:r>
              <w:t>保安保洁服务费工作实施计划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2、辅助人员费用（劳务派遣）绩效目标表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13062525P00023210006K</w:t>
            </w:r>
          </w:p>
        </w:tc>
        <w:tc>
          <w:tcPr>
            <w:tcW w:w="2835" w:type="dxa"/>
            <w:vAlign w:val="center"/>
          </w:tcPr>
          <w:p>
            <w:pPr>
              <w:pStyle w:val="11"/>
            </w:pPr>
            <w:r>
              <w:t>项目名称</w:t>
            </w:r>
          </w:p>
        </w:tc>
        <w:tc>
          <w:tcPr>
            <w:tcW w:w="6095" w:type="dxa"/>
            <w:gridSpan w:val="3"/>
            <w:vAlign w:val="center"/>
          </w:tcPr>
          <w:p>
            <w:pPr>
              <w:pStyle w:val="13"/>
            </w:pPr>
            <w:r>
              <w:t>辅助人员费用（劳务派遣）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50.10</w:t>
            </w:r>
          </w:p>
        </w:tc>
        <w:tc>
          <w:tcPr>
            <w:tcW w:w="2835" w:type="dxa"/>
            <w:vAlign w:val="center"/>
          </w:tcPr>
          <w:p>
            <w:pPr>
              <w:pStyle w:val="11"/>
            </w:pPr>
            <w:r>
              <w:t>其中：财政    资金</w:t>
            </w:r>
          </w:p>
        </w:tc>
        <w:tc>
          <w:tcPr>
            <w:tcW w:w="2551" w:type="dxa"/>
            <w:vAlign w:val="center"/>
          </w:tcPr>
          <w:p>
            <w:pPr>
              <w:pStyle w:val="13"/>
            </w:pPr>
            <w:r>
              <w:t>50.10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用于劳务派遣人员服务费用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1.提高工作效率，增加服务人员，提高为民服务水平，确保办公人员满意度达到95%以上。</w:t>
            </w:r>
          </w:p>
          <w:p>
            <w:pPr>
              <w:pStyle w:val="13"/>
            </w:pPr>
            <w:r>
              <w:t>2.优化营商环境，为办事群众提供优质服务。确保群众满意度达到95%以上。</w:t>
            </w:r>
          </w:p>
          <w:p>
            <w:pPr>
              <w:pStyle w:val="13"/>
            </w:pPr>
            <w:r>
              <w:t>3.自组建以来至今，一直处于业务量大、工作人员偏少的实际状况，鉴于工作实际需要，聘用劳务派遣人员10人，解决单位运转问题。按月发放。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劳务派遣人员情况</w:t>
            </w:r>
          </w:p>
        </w:tc>
        <w:tc>
          <w:tcPr>
            <w:tcW w:w="5386" w:type="dxa"/>
            <w:vAlign w:val="center"/>
          </w:tcPr>
          <w:p>
            <w:pPr>
              <w:pStyle w:val="13"/>
            </w:pPr>
            <w:r>
              <w:t>劳务派遣人员数量</w:t>
            </w:r>
          </w:p>
        </w:tc>
        <w:tc>
          <w:tcPr>
            <w:tcW w:w="2268" w:type="dxa"/>
            <w:vAlign w:val="center"/>
          </w:tcPr>
          <w:p>
            <w:pPr>
              <w:pStyle w:val="13"/>
            </w:pPr>
            <w:r>
              <w:t>≥10人</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工资发放准确情况</w:t>
            </w:r>
          </w:p>
        </w:tc>
        <w:tc>
          <w:tcPr>
            <w:tcW w:w="2268" w:type="dxa"/>
            <w:vAlign w:val="center"/>
          </w:tcPr>
          <w:p>
            <w:pPr>
              <w:pStyle w:val="13"/>
            </w:pPr>
            <w:r>
              <w:t>≥95%</w:t>
            </w:r>
          </w:p>
        </w:tc>
        <w:tc>
          <w:tcPr>
            <w:tcW w:w="1276" w:type="dxa"/>
            <w:vAlign w:val="center"/>
          </w:tcPr>
          <w:p>
            <w:pPr>
              <w:pStyle w:val="13"/>
            </w:pPr>
            <w:r>
              <w:t>辅助人员费用（劳务派遣）工作实施计划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工资发放及时情况</w:t>
            </w:r>
          </w:p>
        </w:tc>
        <w:tc>
          <w:tcPr>
            <w:tcW w:w="2268" w:type="dxa"/>
            <w:vAlign w:val="center"/>
          </w:tcPr>
          <w:p>
            <w:pPr>
              <w:pStyle w:val="13"/>
            </w:pPr>
            <w:r>
              <w:t>≥95%</w:t>
            </w:r>
          </w:p>
        </w:tc>
        <w:tc>
          <w:tcPr>
            <w:tcW w:w="1276" w:type="dxa"/>
            <w:vAlign w:val="center"/>
          </w:tcPr>
          <w:p>
            <w:pPr>
              <w:pStyle w:val="13"/>
            </w:pPr>
            <w:r>
              <w:t>辅助人员费用（劳务派遣）工作实施计划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预算单位成本控制数</w:t>
            </w:r>
          </w:p>
        </w:tc>
        <w:tc>
          <w:tcPr>
            <w:tcW w:w="5386" w:type="dxa"/>
            <w:vAlign w:val="center"/>
          </w:tcPr>
          <w:p>
            <w:pPr>
              <w:pStyle w:val="13"/>
            </w:pPr>
            <w:r>
              <w:t>反映每人每月单位成本</w:t>
            </w:r>
          </w:p>
        </w:tc>
        <w:tc>
          <w:tcPr>
            <w:tcW w:w="2268" w:type="dxa"/>
            <w:vAlign w:val="center"/>
          </w:tcPr>
          <w:p>
            <w:pPr>
              <w:pStyle w:val="13"/>
            </w:pPr>
            <w:r>
              <w:t>≤4174.64元</w:t>
            </w:r>
          </w:p>
        </w:tc>
        <w:tc>
          <w:tcPr>
            <w:tcW w:w="1276" w:type="dxa"/>
            <w:vAlign w:val="center"/>
          </w:tcPr>
          <w:p>
            <w:pPr>
              <w:pStyle w:val="13"/>
            </w:pPr>
            <w:r>
              <w:t>辅助人员费用（劳务派遣）工作实施计划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提供优质社会服务</w:t>
            </w:r>
          </w:p>
        </w:tc>
        <w:tc>
          <w:tcPr>
            <w:tcW w:w="5386" w:type="dxa"/>
            <w:vAlign w:val="center"/>
          </w:tcPr>
          <w:p>
            <w:pPr>
              <w:pStyle w:val="13"/>
            </w:pPr>
            <w:r>
              <w:t>反映提供优质服务情况</w:t>
            </w:r>
          </w:p>
        </w:tc>
        <w:tc>
          <w:tcPr>
            <w:tcW w:w="2268" w:type="dxa"/>
            <w:vAlign w:val="center"/>
          </w:tcPr>
          <w:p>
            <w:pPr>
              <w:pStyle w:val="13"/>
            </w:pPr>
            <w:r>
              <w:t>≥95%</w:t>
            </w:r>
          </w:p>
        </w:tc>
        <w:tc>
          <w:tcPr>
            <w:tcW w:w="1276" w:type="dxa"/>
            <w:vAlign w:val="center"/>
          </w:tcPr>
          <w:p>
            <w:pPr>
              <w:pStyle w:val="13"/>
            </w:pPr>
            <w:r>
              <w:t>辅助人员费用（劳务派遣）工作实施计划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办公人员满意度</w:t>
            </w:r>
          </w:p>
        </w:tc>
        <w:tc>
          <w:tcPr>
            <w:tcW w:w="5386" w:type="dxa"/>
            <w:vAlign w:val="center"/>
          </w:tcPr>
          <w:p>
            <w:pPr>
              <w:pStyle w:val="13"/>
            </w:pPr>
            <w:r>
              <w:t>办公人员满意情况</w:t>
            </w:r>
          </w:p>
        </w:tc>
        <w:tc>
          <w:tcPr>
            <w:tcW w:w="2268" w:type="dxa"/>
            <w:vAlign w:val="center"/>
          </w:tcPr>
          <w:p>
            <w:pPr>
              <w:pStyle w:val="13"/>
            </w:pPr>
            <w:r>
              <w:t>≥95%</w:t>
            </w:r>
          </w:p>
        </w:tc>
        <w:tc>
          <w:tcPr>
            <w:tcW w:w="1276" w:type="dxa"/>
            <w:vAlign w:val="center"/>
          </w:tcPr>
          <w:p>
            <w:pPr>
              <w:pStyle w:val="13"/>
            </w:pPr>
            <w:r>
              <w:t>满意度调查问卷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办事人员满意度</w:t>
            </w:r>
          </w:p>
        </w:tc>
        <w:tc>
          <w:tcPr>
            <w:tcW w:w="5386" w:type="dxa"/>
            <w:vAlign w:val="center"/>
          </w:tcPr>
          <w:p>
            <w:pPr>
              <w:pStyle w:val="13"/>
            </w:pPr>
            <w:r>
              <w:t>办事人员满意情况</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3、公共资源交易中心工作经费绩效目标表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13062525P00002510002F</w:t>
            </w:r>
          </w:p>
        </w:tc>
        <w:tc>
          <w:tcPr>
            <w:tcW w:w="2835" w:type="dxa"/>
            <w:vAlign w:val="center"/>
          </w:tcPr>
          <w:p>
            <w:pPr>
              <w:pStyle w:val="11"/>
            </w:pPr>
            <w:r>
              <w:t>项目名称</w:t>
            </w:r>
          </w:p>
        </w:tc>
        <w:tc>
          <w:tcPr>
            <w:tcW w:w="6095" w:type="dxa"/>
            <w:gridSpan w:val="3"/>
            <w:vAlign w:val="center"/>
          </w:tcPr>
          <w:p>
            <w:pPr>
              <w:pStyle w:val="13"/>
            </w:pPr>
            <w:r>
              <w:t>公共资源交易中心工作经费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行政审批政务服务经费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1.按规定进行设备维修维护保养消防设施，水电暖设施保养，保障服务大厅正常运转。空调每年春秋两季分别进行保养维护一次，消防设施定期维护更换，确保服务大厅安全运转保障。</w:t>
            </w:r>
          </w:p>
          <w:p>
            <w:pPr>
              <w:pStyle w:val="13"/>
            </w:pPr>
            <w:r>
              <w:t>2.协调各股室，保障公共资源各项工作有序进行。按相关要求，做好办公设施设备的运行维护。保障设备正常运行达到360天以上。</w:t>
            </w:r>
          </w:p>
          <w:p>
            <w:pPr>
              <w:pStyle w:val="13"/>
            </w:pPr>
            <w:r>
              <w:t>3.为群众提供更好地公共资源交易平台，优化营商环境，提升服务水平。确保群众满意度达到95%以上。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空调运行维护</w:t>
            </w:r>
          </w:p>
        </w:tc>
        <w:tc>
          <w:tcPr>
            <w:tcW w:w="5386" w:type="dxa"/>
            <w:vAlign w:val="center"/>
          </w:tcPr>
          <w:p>
            <w:pPr>
              <w:pStyle w:val="13"/>
            </w:pPr>
            <w:r>
              <w:t>空调运行维护次数</w:t>
            </w:r>
          </w:p>
        </w:tc>
        <w:tc>
          <w:tcPr>
            <w:tcW w:w="2268" w:type="dxa"/>
            <w:vAlign w:val="center"/>
          </w:tcPr>
          <w:p>
            <w:pPr>
              <w:pStyle w:val="13"/>
            </w:pPr>
            <w:r>
              <w:t>≥2次</w:t>
            </w:r>
          </w:p>
        </w:tc>
        <w:tc>
          <w:tcPr>
            <w:tcW w:w="1276" w:type="dxa"/>
            <w:vAlign w:val="center"/>
          </w:tcPr>
          <w:p>
            <w:pPr>
              <w:pStyle w:val="13"/>
            </w:pPr>
            <w:r>
              <w:t>公共资源交易中心工作经费工作实施计划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设备正常运行</w:t>
            </w:r>
          </w:p>
        </w:tc>
        <w:tc>
          <w:tcPr>
            <w:tcW w:w="5386" w:type="dxa"/>
            <w:vAlign w:val="center"/>
          </w:tcPr>
          <w:p>
            <w:pPr>
              <w:pStyle w:val="13"/>
            </w:pPr>
            <w:r>
              <w:t>设备正常运行天数</w:t>
            </w:r>
          </w:p>
        </w:tc>
        <w:tc>
          <w:tcPr>
            <w:tcW w:w="2268" w:type="dxa"/>
            <w:vAlign w:val="center"/>
          </w:tcPr>
          <w:p>
            <w:pPr>
              <w:pStyle w:val="13"/>
            </w:pPr>
            <w:r>
              <w:t>≥360天</w:t>
            </w:r>
          </w:p>
        </w:tc>
        <w:tc>
          <w:tcPr>
            <w:tcW w:w="1276" w:type="dxa"/>
            <w:vAlign w:val="center"/>
          </w:tcPr>
          <w:p>
            <w:pPr>
              <w:pStyle w:val="13"/>
            </w:pPr>
            <w:r>
              <w:t>公共资源交易中心工作经费工作实施计划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消防设施情况</w:t>
            </w:r>
          </w:p>
        </w:tc>
        <w:tc>
          <w:tcPr>
            <w:tcW w:w="5386" w:type="dxa"/>
            <w:vAlign w:val="center"/>
          </w:tcPr>
          <w:p>
            <w:pPr>
              <w:pStyle w:val="13"/>
            </w:pPr>
            <w:r>
              <w:t>消防设施数量</w:t>
            </w:r>
          </w:p>
        </w:tc>
        <w:tc>
          <w:tcPr>
            <w:tcW w:w="2268" w:type="dxa"/>
            <w:vAlign w:val="center"/>
          </w:tcPr>
          <w:p>
            <w:pPr>
              <w:pStyle w:val="13"/>
            </w:pPr>
            <w:r>
              <w:t>≥8个</w:t>
            </w:r>
          </w:p>
        </w:tc>
        <w:tc>
          <w:tcPr>
            <w:tcW w:w="1276" w:type="dxa"/>
            <w:vAlign w:val="center"/>
          </w:tcPr>
          <w:p>
            <w:pPr>
              <w:pStyle w:val="13"/>
            </w:pPr>
            <w:r>
              <w:t>公共资源交易中心工作经费工作实施计划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设施设备使用情况</w:t>
            </w:r>
          </w:p>
        </w:tc>
        <w:tc>
          <w:tcPr>
            <w:tcW w:w="5386" w:type="dxa"/>
            <w:vAlign w:val="center"/>
          </w:tcPr>
          <w:p>
            <w:pPr>
              <w:pStyle w:val="13"/>
            </w:pPr>
            <w:r>
              <w:t>设施设备正常运行情况</w:t>
            </w:r>
          </w:p>
        </w:tc>
        <w:tc>
          <w:tcPr>
            <w:tcW w:w="2268" w:type="dxa"/>
            <w:vAlign w:val="center"/>
          </w:tcPr>
          <w:p>
            <w:pPr>
              <w:pStyle w:val="13"/>
            </w:pPr>
            <w:r>
              <w:t>≥95%</w:t>
            </w:r>
          </w:p>
        </w:tc>
        <w:tc>
          <w:tcPr>
            <w:tcW w:w="1276" w:type="dxa"/>
            <w:vAlign w:val="center"/>
          </w:tcPr>
          <w:p>
            <w:pPr>
              <w:pStyle w:val="13"/>
            </w:pPr>
            <w:r>
              <w:t>公共资源交易中心工作经费工作实施计划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故障维修及时率</w:t>
            </w:r>
          </w:p>
        </w:tc>
        <w:tc>
          <w:tcPr>
            <w:tcW w:w="5386" w:type="dxa"/>
            <w:vAlign w:val="center"/>
          </w:tcPr>
          <w:p>
            <w:pPr>
              <w:pStyle w:val="13"/>
            </w:pPr>
            <w:r>
              <w:t>故障维修及时情况</w:t>
            </w:r>
          </w:p>
        </w:tc>
        <w:tc>
          <w:tcPr>
            <w:tcW w:w="2268" w:type="dxa"/>
            <w:vAlign w:val="center"/>
          </w:tcPr>
          <w:p>
            <w:pPr>
              <w:pStyle w:val="13"/>
            </w:pPr>
            <w:r>
              <w:t>≤2天</w:t>
            </w:r>
          </w:p>
        </w:tc>
        <w:tc>
          <w:tcPr>
            <w:tcW w:w="1276" w:type="dxa"/>
            <w:vAlign w:val="center"/>
          </w:tcPr>
          <w:p>
            <w:pPr>
              <w:pStyle w:val="13"/>
            </w:pPr>
            <w:r>
              <w:t>公共资源交易中心工作经费工作实施计划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预算全年成本控制数</w:t>
            </w:r>
          </w:p>
        </w:tc>
        <w:tc>
          <w:tcPr>
            <w:tcW w:w="5386" w:type="dxa"/>
            <w:vAlign w:val="center"/>
          </w:tcPr>
          <w:p>
            <w:pPr>
              <w:pStyle w:val="13"/>
            </w:pPr>
            <w:r>
              <w:t>反映全年实际发生费用</w:t>
            </w:r>
          </w:p>
        </w:tc>
        <w:tc>
          <w:tcPr>
            <w:tcW w:w="2268" w:type="dxa"/>
            <w:vAlign w:val="center"/>
          </w:tcPr>
          <w:p>
            <w:pPr>
              <w:pStyle w:val="13"/>
            </w:pPr>
            <w:r>
              <w:t>≤200000元</w:t>
            </w:r>
          </w:p>
        </w:tc>
        <w:tc>
          <w:tcPr>
            <w:tcW w:w="1276" w:type="dxa"/>
            <w:vAlign w:val="center"/>
          </w:tcPr>
          <w:p>
            <w:pPr>
              <w:pStyle w:val="13"/>
            </w:pPr>
            <w:r>
              <w:t>公共资源交易中心工作经费工作实施计划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社会稳定水平提升度</w:t>
            </w:r>
          </w:p>
        </w:tc>
        <w:tc>
          <w:tcPr>
            <w:tcW w:w="5386" w:type="dxa"/>
            <w:vAlign w:val="center"/>
          </w:tcPr>
          <w:p>
            <w:pPr>
              <w:pStyle w:val="13"/>
            </w:pPr>
            <w:r>
              <w:t>社会稳定水平提升情况</w:t>
            </w:r>
          </w:p>
        </w:tc>
        <w:tc>
          <w:tcPr>
            <w:tcW w:w="2268" w:type="dxa"/>
            <w:vAlign w:val="center"/>
          </w:tcPr>
          <w:p>
            <w:pPr>
              <w:pStyle w:val="13"/>
            </w:pPr>
            <w:r>
              <w:t>≥95%</w:t>
            </w:r>
          </w:p>
        </w:tc>
        <w:tc>
          <w:tcPr>
            <w:tcW w:w="1276" w:type="dxa"/>
            <w:vAlign w:val="center"/>
          </w:tcPr>
          <w:p>
            <w:pPr>
              <w:pStyle w:val="13"/>
            </w:pPr>
            <w:r>
              <w:t>公共资源交易中心工作经费工作实施计划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服务对象满意情况</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4、环评审批事项专家评估服务费用绩效目标表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13062525P000025100033</w:t>
            </w:r>
          </w:p>
        </w:tc>
        <w:tc>
          <w:tcPr>
            <w:tcW w:w="2835" w:type="dxa"/>
            <w:vAlign w:val="center"/>
          </w:tcPr>
          <w:p>
            <w:pPr>
              <w:pStyle w:val="11"/>
            </w:pPr>
            <w:r>
              <w:t>项目名称</w:t>
            </w:r>
          </w:p>
        </w:tc>
        <w:tc>
          <w:tcPr>
            <w:tcW w:w="6095" w:type="dxa"/>
            <w:gridSpan w:val="3"/>
            <w:vAlign w:val="center"/>
          </w:tcPr>
          <w:p>
            <w:pPr>
              <w:pStyle w:val="13"/>
            </w:pPr>
            <w:r>
              <w:t>环评审批事项专家评估服务费用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38.85</w:t>
            </w:r>
          </w:p>
        </w:tc>
        <w:tc>
          <w:tcPr>
            <w:tcW w:w="2835" w:type="dxa"/>
            <w:vAlign w:val="center"/>
          </w:tcPr>
          <w:p>
            <w:pPr>
              <w:pStyle w:val="11"/>
            </w:pPr>
            <w:r>
              <w:t>其中：财政    资金</w:t>
            </w:r>
          </w:p>
        </w:tc>
        <w:tc>
          <w:tcPr>
            <w:tcW w:w="2551" w:type="dxa"/>
            <w:vAlign w:val="center"/>
          </w:tcPr>
          <w:p>
            <w:pPr>
              <w:pStyle w:val="13"/>
            </w:pPr>
            <w:r>
              <w:t>38.85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行政审批政务服务经费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1.提升服务能力和水平 ，提升公众满意度，确保群众满意度达到95%以上。</w:t>
            </w:r>
          </w:p>
          <w:p>
            <w:pPr>
              <w:pStyle w:val="13"/>
            </w:pPr>
            <w:r>
              <w:t>2.用于支付项目单位环境影响报告书、环境影响报告表的专家技术评估服务费用，完成审批事项不少于30个。</w:t>
            </w:r>
          </w:p>
          <w:p>
            <w:pPr>
              <w:pStyle w:val="13"/>
            </w:pPr>
            <w:r>
              <w:t>3.优化营商环境，激发市场活力和社会创造力。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环评审批事项环境影响报告书完成数量</w:t>
            </w:r>
          </w:p>
        </w:tc>
        <w:tc>
          <w:tcPr>
            <w:tcW w:w="5386" w:type="dxa"/>
            <w:vAlign w:val="center"/>
          </w:tcPr>
          <w:p>
            <w:pPr>
              <w:pStyle w:val="13"/>
            </w:pPr>
            <w:r>
              <w:t>环评审批事项环境影响报告书完成情况</w:t>
            </w:r>
          </w:p>
        </w:tc>
        <w:tc>
          <w:tcPr>
            <w:tcW w:w="2268" w:type="dxa"/>
            <w:vAlign w:val="center"/>
          </w:tcPr>
          <w:p>
            <w:pPr>
              <w:pStyle w:val="13"/>
            </w:pPr>
            <w:r>
              <w:t>3个</w:t>
            </w:r>
          </w:p>
        </w:tc>
        <w:tc>
          <w:tcPr>
            <w:tcW w:w="1276" w:type="dxa"/>
            <w:vAlign w:val="center"/>
          </w:tcPr>
          <w:p>
            <w:pPr>
              <w:pStyle w:val="13"/>
            </w:pPr>
            <w:r>
              <w:t>“环评”审批事项专家评估服务费用工作实施计划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环评审批事项环境影响报告表完成数量</w:t>
            </w:r>
          </w:p>
        </w:tc>
        <w:tc>
          <w:tcPr>
            <w:tcW w:w="5386" w:type="dxa"/>
            <w:vAlign w:val="center"/>
          </w:tcPr>
          <w:p>
            <w:pPr>
              <w:pStyle w:val="13"/>
            </w:pPr>
            <w:r>
              <w:t>环评审批事项环境影响报告表完成情况</w:t>
            </w:r>
          </w:p>
        </w:tc>
        <w:tc>
          <w:tcPr>
            <w:tcW w:w="2268" w:type="dxa"/>
            <w:vAlign w:val="center"/>
          </w:tcPr>
          <w:p>
            <w:pPr>
              <w:pStyle w:val="13"/>
            </w:pPr>
            <w:r>
              <w:t>27个</w:t>
            </w:r>
          </w:p>
        </w:tc>
        <w:tc>
          <w:tcPr>
            <w:tcW w:w="1276" w:type="dxa"/>
            <w:vAlign w:val="center"/>
          </w:tcPr>
          <w:p>
            <w:pPr>
              <w:pStyle w:val="13"/>
            </w:pPr>
            <w:r>
              <w:t>“环评”审批事项专家评估服务费用工作实施计划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环评审批事项完成合格率</w:t>
            </w:r>
          </w:p>
        </w:tc>
        <w:tc>
          <w:tcPr>
            <w:tcW w:w="5386" w:type="dxa"/>
            <w:vAlign w:val="center"/>
          </w:tcPr>
          <w:p>
            <w:pPr>
              <w:pStyle w:val="13"/>
            </w:pPr>
            <w:r>
              <w:t>环评审批事项完成质量情况</w:t>
            </w:r>
          </w:p>
        </w:tc>
        <w:tc>
          <w:tcPr>
            <w:tcW w:w="2268" w:type="dxa"/>
            <w:vAlign w:val="center"/>
          </w:tcPr>
          <w:p>
            <w:pPr>
              <w:pStyle w:val="13"/>
            </w:pPr>
            <w:r>
              <w:t>≥95%</w:t>
            </w:r>
          </w:p>
        </w:tc>
        <w:tc>
          <w:tcPr>
            <w:tcW w:w="1276" w:type="dxa"/>
            <w:vAlign w:val="center"/>
          </w:tcPr>
          <w:p>
            <w:pPr>
              <w:pStyle w:val="13"/>
            </w:pPr>
            <w:r>
              <w:t>“环评”审批事项专家评估服务费用工作实施计划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环评审批事项及时完成率</w:t>
            </w:r>
          </w:p>
        </w:tc>
        <w:tc>
          <w:tcPr>
            <w:tcW w:w="5386" w:type="dxa"/>
            <w:vAlign w:val="center"/>
          </w:tcPr>
          <w:p>
            <w:pPr>
              <w:pStyle w:val="13"/>
            </w:pPr>
            <w:r>
              <w:t>环评审批事项及时完成情况</w:t>
            </w:r>
          </w:p>
        </w:tc>
        <w:tc>
          <w:tcPr>
            <w:tcW w:w="2268" w:type="dxa"/>
            <w:vAlign w:val="center"/>
          </w:tcPr>
          <w:p>
            <w:pPr>
              <w:pStyle w:val="13"/>
            </w:pPr>
            <w:r>
              <w:t>≥95%</w:t>
            </w:r>
          </w:p>
        </w:tc>
        <w:tc>
          <w:tcPr>
            <w:tcW w:w="1276" w:type="dxa"/>
            <w:vAlign w:val="center"/>
          </w:tcPr>
          <w:p>
            <w:pPr>
              <w:pStyle w:val="13"/>
            </w:pPr>
            <w:r>
              <w:t>“环评”审批事项专家评估服务费用工作实施计划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预算单位成本控制数</w:t>
            </w:r>
          </w:p>
        </w:tc>
        <w:tc>
          <w:tcPr>
            <w:tcW w:w="5386" w:type="dxa"/>
            <w:vAlign w:val="center"/>
          </w:tcPr>
          <w:p>
            <w:pPr>
              <w:pStyle w:val="13"/>
            </w:pPr>
            <w:r>
              <w:t>反映一个环评审批事项环境影响报告书成本</w:t>
            </w:r>
          </w:p>
        </w:tc>
        <w:tc>
          <w:tcPr>
            <w:tcW w:w="2268" w:type="dxa"/>
            <w:vAlign w:val="center"/>
          </w:tcPr>
          <w:p>
            <w:pPr>
              <w:pStyle w:val="13"/>
            </w:pPr>
            <w:r>
              <w:t>17000元</w:t>
            </w:r>
          </w:p>
        </w:tc>
        <w:tc>
          <w:tcPr>
            <w:tcW w:w="1276" w:type="dxa"/>
            <w:vAlign w:val="center"/>
          </w:tcPr>
          <w:p>
            <w:pPr>
              <w:pStyle w:val="13"/>
            </w:pPr>
            <w:r>
              <w:t>“环评”审批事项专家评估服务费用工作实施计划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预算单位成本控制数</w:t>
            </w:r>
          </w:p>
        </w:tc>
        <w:tc>
          <w:tcPr>
            <w:tcW w:w="5386" w:type="dxa"/>
            <w:vAlign w:val="center"/>
          </w:tcPr>
          <w:p>
            <w:pPr>
              <w:pStyle w:val="13"/>
            </w:pPr>
            <w:r>
              <w:t>反映一个环评审批事项环境影响报告表成本</w:t>
            </w:r>
          </w:p>
        </w:tc>
        <w:tc>
          <w:tcPr>
            <w:tcW w:w="2268" w:type="dxa"/>
            <w:vAlign w:val="center"/>
          </w:tcPr>
          <w:p>
            <w:pPr>
              <w:pStyle w:val="13"/>
            </w:pPr>
            <w:r>
              <w:t>12500元</w:t>
            </w:r>
          </w:p>
        </w:tc>
        <w:tc>
          <w:tcPr>
            <w:tcW w:w="1276" w:type="dxa"/>
            <w:vAlign w:val="center"/>
          </w:tcPr>
          <w:p>
            <w:pPr>
              <w:pStyle w:val="13"/>
            </w:pPr>
            <w:r>
              <w:t>“环评”审批事项专家评估服务费用工作实施计划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优化营商环境，提高服务水平提升度</w:t>
            </w:r>
          </w:p>
        </w:tc>
        <w:tc>
          <w:tcPr>
            <w:tcW w:w="5386" w:type="dxa"/>
            <w:vAlign w:val="center"/>
          </w:tcPr>
          <w:p>
            <w:pPr>
              <w:pStyle w:val="13"/>
            </w:pPr>
            <w:r>
              <w:t>反映优化营商环境，提高服务水平提升情况</w:t>
            </w:r>
          </w:p>
        </w:tc>
        <w:tc>
          <w:tcPr>
            <w:tcW w:w="2268" w:type="dxa"/>
            <w:vAlign w:val="center"/>
          </w:tcPr>
          <w:p>
            <w:pPr>
              <w:pStyle w:val="13"/>
            </w:pPr>
            <w:r>
              <w:t>≥95%</w:t>
            </w:r>
          </w:p>
        </w:tc>
        <w:tc>
          <w:tcPr>
            <w:tcW w:w="1276" w:type="dxa"/>
            <w:vAlign w:val="center"/>
          </w:tcPr>
          <w:p>
            <w:pPr>
              <w:pStyle w:val="13"/>
            </w:pPr>
            <w:r>
              <w:t>“环评”审批事项专家评估服务费用工作实施计划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企业满意率</w:t>
            </w:r>
          </w:p>
        </w:tc>
        <w:tc>
          <w:tcPr>
            <w:tcW w:w="5386" w:type="dxa"/>
            <w:vAlign w:val="center"/>
          </w:tcPr>
          <w:p>
            <w:pPr>
              <w:pStyle w:val="13"/>
            </w:pPr>
            <w:r>
              <w:t>企业满意情况</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5、排污许可证核发技术评审费用绩效目标表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13062525P00002510004N</w:t>
            </w:r>
          </w:p>
        </w:tc>
        <w:tc>
          <w:tcPr>
            <w:tcW w:w="2835" w:type="dxa"/>
            <w:vAlign w:val="center"/>
          </w:tcPr>
          <w:p>
            <w:pPr>
              <w:pStyle w:val="11"/>
            </w:pPr>
            <w:r>
              <w:t>项目名称</w:t>
            </w:r>
          </w:p>
        </w:tc>
        <w:tc>
          <w:tcPr>
            <w:tcW w:w="6095" w:type="dxa"/>
            <w:gridSpan w:val="3"/>
            <w:vAlign w:val="center"/>
          </w:tcPr>
          <w:p>
            <w:pPr>
              <w:pStyle w:val="13"/>
            </w:pPr>
            <w:r>
              <w:t>排污许可证核发技术评审费用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3.40</w:t>
            </w:r>
          </w:p>
        </w:tc>
        <w:tc>
          <w:tcPr>
            <w:tcW w:w="2835" w:type="dxa"/>
            <w:vAlign w:val="center"/>
          </w:tcPr>
          <w:p>
            <w:pPr>
              <w:pStyle w:val="11"/>
            </w:pPr>
            <w:r>
              <w:t>其中：财政    资金</w:t>
            </w:r>
          </w:p>
        </w:tc>
        <w:tc>
          <w:tcPr>
            <w:tcW w:w="2551" w:type="dxa"/>
            <w:vAlign w:val="center"/>
          </w:tcPr>
          <w:p>
            <w:pPr>
              <w:pStyle w:val="13"/>
            </w:pPr>
            <w:r>
              <w:t>3.40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行政审批政务服务经费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1.为确保各排污企业正常生产经营不受影响，我单位组织专家为排污许可证核发审查（包含各分系统材料审查和现场专家审查）提供技术评审。</w:t>
            </w:r>
          </w:p>
          <w:p>
            <w:pPr>
              <w:pStyle w:val="13"/>
            </w:pPr>
            <w:r>
              <w:t>2.项目资金3.4万元。用于聘请专家进行技术评估服务费用。其中重点管理排污单位排污许可证核发审查提供技术支持(包含各分系统材料审查和现场专家审查)，专家费500元/人，每个项目3名专家，16个项目合计500*3*16=24000元，简化管理排污单位排污许可证核发审查提供技术支持(包含各分系统材料审查和现场专家审查)，专家费500元/人，每个项目2名专家，10个项目合计500*2*10=10000元.，总计34000元。</w:t>
            </w:r>
          </w:p>
          <w:p>
            <w:pPr>
              <w:pStyle w:val="13"/>
            </w:pPr>
            <w:r>
              <w:t>3.优化营商环境，提升社会稳定水平，提高服务水平。确保群众满意度达到95%以上。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重点管理排污单位排污许可证核发数</w:t>
            </w:r>
          </w:p>
        </w:tc>
        <w:tc>
          <w:tcPr>
            <w:tcW w:w="5386" w:type="dxa"/>
            <w:vAlign w:val="center"/>
          </w:tcPr>
          <w:p>
            <w:pPr>
              <w:pStyle w:val="13"/>
            </w:pPr>
            <w:r>
              <w:t>重点管理排污单位排污许可证核发完成个数</w:t>
            </w:r>
          </w:p>
        </w:tc>
        <w:tc>
          <w:tcPr>
            <w:tcW w:w="2268" w:type="dxa"/>
            <w:vAlign w:val="center"/>
          </w:tcPr>
          <w:p>
            <w:pPr>
              <w:pStyle w:val="13"/>
            </w:pPr>
            <w:r>
              <w:t>16个</w:t>
            </w:r>
          </w:p>
        </w:tc>
        <w:tc>
          <w:tcPr>
            <w:tcW w:w="1276" w:type="dxa"/>
            <w:vAlign w:val="center"/>
          </w:tcPr>
          <w:p>
            <w:pPr>
              <w:pStyle w:val="13"/>
            </w:pPr>
            <w:r>
              <w:t>“排污许可证核发”技术评审费用项目工作实施计划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简化管理排污单位排污许可证核发数</w:t>
            </w:r>
          </w:p>
        </w:tc>
        <w:tc>
          <w:tcPr>
            <w:tcW w:w="5386" w:type="dxa"/>
            <w:vAlign w:val="center"/>
          </w:tcPr>
          <w:p>
            <w:pPr>
              <w:pStyle w:val="13"/>
            </w:pPr>
            <w:r>
              <w:t>简化管理排污单位排污许可证核发完成个数</w:t>
            </w:r>
          </w:p>
        </w:tc>
        <w:tc>
          <w:tcPr>
            <w:tcW w:w="2268" w:type="dxa"/>
            <w:vAlign w:val="center"/>
          </w:tcPr>
          <w:p>
            <w:pPr>
              <w:pStyle w:val="13"/>
            </w:pPr>
            <w:r>
              <w:t>10个</w:t>
            </w:r>
          </w:p>
        </w:tc>
        <w:tc>
          <w:tcPr>
            <w:tcW w:w="1276" w:type="dxa"/>
            <w:vAlign w:val="center"/>
          </w:tcPr>
          <w:p>
            <w:pPr>
              <w:pStyle w:val="13"/>
            </w:pPr>
            <w:r>
              <w:t>“排污许可证核发”技术评审费用项目工作实施计划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排污许可证核发审查资料完成质量</w:t>
            </w:r>
          </w:p>
        </w:tc>
        <w:tc>
          <w:tcPr>
            <w:tcW w:w="5386" w:type="dxa"/>
            <w:vAlign w:val="center"/>
          </w:tcPr>
          <w:p>
            <w:pPr>
              <w:pStyle w:val="13"/>
            </w:pPr>
            <w:r>
              <w:t>排污许可证核发审查资料完成质量情况</w:t>
            </w:r>
          </w:p>
        </w:tc>
        <w:tc>
          <w:tcPr>
            <w:tcW w:w="2268" w:type="dxa"/>
            <w:vAlign w:val="center"/>
          </w:tcPr>
          <w:p>
            <w:pPr>
              <w:pStyle w:val="13"/>
            </w:pPr>
            <w:r>
              <w:t>≥95%</w:t>
            </w:r>
          </w:p>
        </w:tc>
        <w:tc>
          <w:tcPr>
            <w:tcW w:w="1276" w:type="dxa"/>
            <w:vAlign w:val="center"/>
          </w:tcPr>
          <w:p>
            <w:pPr>
              <w:pStyle w:val="13"/>
            </w:pPr>
            <w:r>
              <w:t>“排污许可证核发”技术评审费用项目工作实施计划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排污许可证核发审查资料完成及时性</w:t>
            </w:r>
          </w:p>
        </w:tc>
        <w:tc>
          <w:tcPr>
            <w:tcW w:w="5386" w:type="dxa"/>
            <w:vAlign w:val="center"/>
          </w:tcPr>
          <w:p>
            <w:pPr>
              <w:pStyle w:val="13"/>
            </w:pPr>
            <w:r>
              <w:t>排污许可证核发审查资料完成及时情况</w:t>
            </w:r>
          </w:p>
        </w:tc>
        <w:tc>
          <w:tcPr>
            <w:tcW w:w="2268" w:type="dxa"/>
            <w:vAlign w:val="center"/>
          </w:tcPr>
          <w:p>
            <w:pPr>
              <w:pStyle w:val="13"/>
            </w:pPr>
            <w:r>
              <w:t>≥95%</w:t>
            </w:r>
          </w:p>
        </w:tc>
        <w:tc>
          <w:tcPr>
            <w:tcW w:w="1276" w:type="dxa"/>
            <w:vAlign w:val="center"/>
          </w:tcPr>
          <w:p>
            <w:pPr>
              <w:pStyle w:val="13"/>
            </w:pPr>
            <w:r>
              <w:t>“排污许可证核发”技术评审费用项目工作实施计划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预算单位成本控制数</w:t>
            </w:r>
          </w:p>
        </w:tc>
        <w:tc>
          <w:tcPr>
            <w:tcW w:w="5386" w:type="dxa"/>
            <w:vAlign w:val="center"/>
          </w:tcPr>
          <w:p>
            <w:pPr>
              <w:pStyle w:val="13"/>
            </w:pPr>
            <w:r>
              <w:t>反映一个重点管理排污单位排污许可证核发审查费用</w:t>
            </w:r>
          </w:p>
        </w:tc>
        <w:tc>
          <w:tcPr>
            <w:tcW w:w="2268" w:type="dxa"/>
            <w:vAlign w:val="center"/>
          </w:tcPr>
          <w:p>
            <w:pPr>
              <w:pStyle w:val="13"/>
            </w:pPr>
            <w:r>
              <w:t>1500元</w:t>
            </w:r>
          </w:p>
        </w:tc>
        <w:tc>
          <w:tcPr>
            <w:tcW w:w="1276" w:type="dxa"/>
            <w:vAlign w:val="center"/>
          </w:tcPr>
          <w:p>
            <w:pPr>
              <w:pStyle w:val="13"/>
            </w:pPr>
            <w:r>
              <w:t>“排污许可证核发”技术评审费用项目工作实施计划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预算单位成本控制数</w:t>
            </w:r>
          </w:p>
        </w:tc>
        <w:tc>
          <w:tcPr>
            <w:tcW w:w="5386" w:type="dxa"/>
            <w:vAlign w:val="center"/>
          </w:tcPr>
          <w:p>
            <w:pPr>
              <w:pStyle w:val="13"/>
            </w:pPr>
            <w:r>
              <w:t>反映一个简化管理排污单位排污许可证核发审查费用</w:t>
            </w:r>
          </w:p>
        </w:tc>
        <w:tc>
          <w:tcPr>
            <w:tcW w:w="2268" w:type="dxa"/>
            <w:vAlign w:val="center"/>
          </w:tcPr>
          <w:p>
            <w:pPr>
              <w:pStyle w:val="13"/>
            </w:pPr>
            <w:r>
              <w:t>1000元</w:t>
            </w:r>
          </w:p>
        </w:tc>
        <w:tc>
          <w:tcPr>
            <w:tcW w:w="1276" w:type="dxa"/>
            <w:vAlign w:val="center"/>
          </w:tcPr>
          <w:p>
            <w:pPr>
              <w:pStyle w:val="13"/>
            </w:pPr>
            <w:r>
              <w:t>“排污许可证核发”技术评审费用项目工作实施计划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社会稳定水平提升度</w:t>
            </w:r>
          </w:p>
        </w:tc>
        <w:tc>
          <w:tcPr>
            <w:tcW w:w="5386" w:type="dxa"/>
            <w:vAlign w:val="center"/>
          </w:tcPr>
          <w:p>
            <w:pPr>
              <w:pStyle w:val="13"/>
            </w:pPr>
            <w:r>
              <w:t>社会稳定水平提升情况</w:t>
            </w:r>
          </w:p>
        </w:tc>
        <w:tc>
          <w:tcPr>
            <w:tcW w:w="2268" w:type="dxa"/>
            <w:vAlign w:val="center"/>
          </w:tcPr>
          <w:p>
            <w:pPr>
              <w:pStyle w:val="13"/>
            </w:pPr>
            <w:r>
              <w:t>≥95%</w:t>
            </w:r>
          </w:p>
        </w:tc>
        <w:tc>
          <w:tcPr>
            <w:tcW w:w="1276" w:type="dxa"/>
            <w:vAlign w:val="center"/>
          </w:tcPr>
          <w:p>
            <w:pPr>
              <w:pStyle w:val="13"/>
            </w:pPr>
            <w:r>
              <w:t>“排污许可证核发”技术评审费用项目工作实施计划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服务对象满意情况</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6、退役军人专岗人员提高待遇资金绩效目标表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13062525P000229100425</w:t>
            </w:r>
          </w:p>
        </w:tc>
        <w:tc>
          <w:tcPr>
            <w:tcW w:w="2835" w:type="dxa"/>
            <w:vAlign w:val="center"/>
          </w:tcPr>
          <w:p>
            <w:pPr>
              <w:pStyle w:val="11"/>
            </w:pPr>
            <w:r>
              <w:t>项目名称</w:t>
            </w:r>
          </w:p>
        </w:tc>
        <w:tc>
          <w:tcPr>
            <w:tcW w:w="6095" w:type="dxa"/>
            <w:gridSpan w:val="3"/>
            <w:vAlign w:val="center"/>
          </w:tcPr>
          <w:p>
            <w:pPr>
              <w:pStyle w:val="13"/>
            </w:pPr>
            <w:r>
              <w:t>退役军人专岗人员提高待遇资金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2.88</w:t>
            </w:r>
          </w:p>
        </w:tc>
        <w:tc>
          <w:tcPr>
            <w:tcW w:w="2835" w:type="dxa"/>
            <w:vAlign w:val="center"/>
          </w:tcPr>
          <w:p>
            <w:pPr>
              <w:pStyle w:val="11"/>
            </w:pPr>
            <w:r>
              <w:t>其中：财政    资金</w:t>
            </w:r>
          </w:p>
        </w:tc>
        <w:tc>
          <w:tcPr>
            <w:tcW w:w="2551" w:type="dxa"/>
            <w:vAlign w:val="center"/>
          </w:tcPr>
          <w:p>
            <w:pPr>
              <w:pStyle w:val="13"/>
            </w:pPr>
            <w:r>
              <w:t>2.88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用于退役军人专岗人员生活补助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1.每人每月300元，共计8人，按月支付。按时足额发放到位，落实退役军人专岗人员待遇。</w:t>
            </w:r>
          </w:p>
          <w:p>
            <w:pPr>
              <w:pStyle w:val="13"/>
            </w:pPr>
            <w:r>
              <w:t>2.确保全区稳定，保障退役军人专岗人员更好发挥作用。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专岗人员人数</w:t>
            </w:r>
          </w:p>
        </w:tc>
        <w:tc>
          <w:tcPr>
            <w:tcW w:w="5386" w:type="dxa"/>
            <w:vAlign w:val="center"/>
          </w:tcPr>
          <w:p>
            <w:pPr>
              <w:pStyle w:val="13"/>
            </w:pPr>
            <w:r>
              <w:t>反映专岗人员数量</w:t>
            </w:r>
          </w:p>
        </w:tc>
        <w:tc>
          <w:tcPr>
            <w:tcW w:w="2268" w:type="dxa"/>
            <w:vAlign w:val="center"/>
          </w:tcPr>
          <w:p>
            <w:pPr>
              <w:pStyle w:val="13"/>
            </w:pPr>
            <w:r>
              <w:t>8人</w:t>
            </w:r>
          </w:p>
        </w:tc>
        <w:tc>
          <w:tcPr>
            <w:tcW w:w="1276" w:type="dxa"/>
            <w:vAlign w:val="center"/>
          </w:tcPr>
          <w:p>
            <w:pPr>
              <w:pStyle w:val="13"/>
            </w:pPr>
            <w:r>
              <w:t>保定市徐水区退役军人事务局《关于徐水区退役军人专岗人员提高</w:t>
            </w:r>
          </w:p>
          <w:p>
            <w:pPr>
              <w:pStyle w:val="13"/>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足额发放补贴人数占全部人数比例</w:t>
            </w:r>
          </w:p>
        </w:tc>
        <w:tc>
          <w:tcPr>
            <w:tcW w:w="2268" w:type="dxa"/>
            <w:vAlign w:val="center"/>
          </w:tcPr>
          <w:p>
            <w:pPr>
              <w:pStyle w:val="13"/>
            </w:pPr>
            <w:r>
              <w:t>100%</w:t>
            </w:r>
          </w:p>
        </w:tc>
        <w:tc>
          <w:tcPr>
            <w:tcW w:w="1276" w:type="dxa"/>
            <w:vAlign w:val="center"/>
          </w:tcPr>
          <w:p>
            <w:pPr>
              <w:pStyle w:val="13"/>
            </w:pPr>
            <w:r>
              <w:t>保定市徐水区退役军人事务局《关于徐水区退役军人专岗人员提高</w:t>
            </w:r>
          </w:p>
          <w:p>
            <w:pPr>
              <w:pStyle w:val="13"/>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反应按月发放到位情况</w:t>
            </w:r>
          </w:p>
        </w:tc>
        <w:tc>
          <w:tcPr>
            <w:tcW w:w="2268" w:type="dxa"/>
            <w:vAlign w:val="center"/>
          </w:tcPr>
          <w:p>
            <w:pPr>
              <w:pStyle w:val="13"/>
            </w:pPr>
            <w:r>
              <w:t>100%</w:t>
            </w:r>
          </w:p>
        </w:tc>
        <w:tc>
          <w:tcPr>
            <w:tcW w:w="1276" w:type="dxa"/>
            <w:vAlign w:val="center"/>
          </w:tcPr>
          <w:p>
            <w:pPr>
              <w:pStyle w:val="13"/>
            </w:pPr>
            <w:r>
              <w:t>保定市徐水区退役军人事务局《关于徐水区退役军人专岗人员提高</w:t>
            </w:r>
          </w:p>
          <w:p>
            <w:pPr>
              <w:pStyle w:val="13"/>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月支出标准</w:t>
            </w:r>
          </w:p>
        </w:tc>
        <w:tc>
          <w:tcPr>
            <w:tcW w:w="2268" w:type="dxa"/>
            <w:vAlign w:val="center"/>
          </w:tcPr>
          <w:p>
            <w:pPr>
              <w:pStyle w:val="13"/>
            </w:pPr>
            <w:r>
              <w:t>300元</w:t>
            </w:r>
          </w:p>
        </w:tc>
        <w:tc>
          <w:tcPr>
            <w:tcW w:w="1276" w:type="dxa"/>
            <w:vAlign w:val="center"/>
          </w:tcPr>
          <w:p>
            <w:pPr>
              <w:pStyle w:val="13"/>
            </w:pPr>
            <w:r>
              <w:t>保定市徐水区退役军人事务局《关于徐水区退役军人专岗人员提高</w:t>
            </w:r>
          </w:p>
          <w:p>
            <w:pPr>
              <w:pStyle w:val="13"/>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专岗人员上访次数</w:t>
            </w:r>
          </w:p>
        </w:tc>
        <w:tc>
          <w:tcPr>
            <w:tcW w:w="5386" w:type="dxa"/>
            <w:vAlign w:val="center"/>
          </w:tcPr>
          <w:p>
            <w:pPr>
              <w:pStyle w:val="13"/>
            </w:pPr>
            <w:r>
              <w:t>专岗人员因为生活补贴上访的次数</w:t>
            </w:r>
          </w:p>
        </w:tc>
        <w:tc>
          <w:tcPr>
            <w:tcW w:w="2268" w:type="dxa"/>
            <w:vAlign w:val="center"/>
          </w:tcPr>
          <w:p>
            <w:pPr>
              <w:pStyle w:val="13"/>
            </w:pPr>
            <w:r>
              <w:t>≤2次</w:t>
            </w:r>
          </w:p>
        </w:tc>
        <w:tc>
          <w:tcPr>
            <w:tcW w:w="1276" w:type="dxa"/>
            <w:vAlign w:val="center"/>
          </w:tcPr>
          <w:p>
            <w:pPr>
              <w:pStyle w:val="13"/>
            </w:pPr>
            <w:r>
              <w:t>保定市徐水区退役军人事务局《关于徐水区退役军人专岗人员提高</w:t>
            </w:r>
          </w:p>
          <w:p>
            <w:pPr>
              <w:pStyle w:val="13"/>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退役军人专岗人员满意度</w:t>
            </w:r>
          </w:p>
        </w:tc>
        <w:tc>
          <w:tcPr>
            <w:tcW w:w="5386" w:type="dxa"/>
            <w:vAlign w:val="center"/>
          </w:tcPr>
          <w:p>
            <w:pPr>
              <w:pStyle w:val="13"/>
            </w:pPr>
            <w:r>
              <w:t>项目相关的退役军人专岗人员满意度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7、政务服务中心工作经费绩效目标表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13062525P00002510001U</w:t>
            </w:r>
          </w:p>
        </w:tc>
        <w:tc>
          <w:tcPr>
            <w:tcW w:w="2835" w:type="dxa"/>
            <w:vAlign w:val="center"/>
          </w:tcPr>
          <w:p>
            <w:pPr>
              <w:pStyle w:val="11"/>
            </w:pPr>
            <w:r>
              <w:t>项目名称</w:t>
            </w:r>
          </w:p>
        </w:tc>
        <w:tc>
          <w:tcPr>
            <w:tcW w:w="6095" w:type="dxa"/>
            <w:gridSpan w:val="3"/>
            <w:vAlign w:val="center"/>
          </w:tcPr>
          <w:p>
            <w:pPr>
              <w:pStyle w:val="13"/>
            </w:pPr>
            <w:r>
              <w:t>政务服务中心工作经费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85.96</w:t>
            </w:r>
          </w:p>
        </w:tc>
        <w:tc>
          <w:tcPr>
            <w:tcW w:w="2835" w:type="dxa"/>
            <w:vAlign w:val="center"/>
          </w:tcPr>
          <w:p>
            <w:pPr>
              <w:pStyle w:val="11"/>
            </w:pPr>
            <w:r>
              <w:t>其中：财政    资金</w:t>
            </w:r>
          </w:p>
        </w:tc>
        <w:tc>
          <w:tcPr>
            <w:tcW w:w="2551" w:type="dxa"/>
            <w:vAlign w:val="center"/>
          </w:tcPr>
          <w:p>
            <w:pPr>
              <w:pStyle w:val="13"/>
            </w:pPr>
            <w:r>
              <w:t>85.96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行政审批政务服务经费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1.为群众提供更好地办事效率，优化营商环境，提升服务水平。确保群众满意度达到95%以上。</w:t>
            </w:r>
          </w:p>
          <w:p>
            <w:pPr>
              <w:pStyle w:val="13"/>
            </w:pPr>
            <w:r>
              <w:t>2.做好各项设施设备的运行维护，保障行政服务大厅各项设施设备正常运行。按规定进行设备维修维护保养消防设施，水电暖设施保养，保障服务大厅正常运转。空调每年春秋两季分别进行保养维护一次，办公用品、办公耗材、水电费按月支出，消防设施定期维护更换，房屋、停车场每年维护2次，审批事项聘请专家进行评审费用，各类证照、宣传手册等印刷费用，确保服务大厅安全运转保障。</w:t>
            </w:r>
          </w:p>
          <w:p>
            <w:pPr>
              <w:pStyle w:val="13"/>
            </w:pPr>
            <w:r>
              <w:t>3.全力做好各项设施设备的运行维护，保障工作需求。保障服务大厅各项设施设备正常运行，做好日常维护。保障设备正常运行达到360天以上。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空调运行维护</w:t>
            </w:r>
          </w:p>
        </w:tc>
        <w:tc>
          <w:tcPr>
            <w:tcW w:w="5386" w:type="dxa"/>
            <w:vAlign w:val="center"/>
          </w:tcPr>
          <w:p>
            <w:pPr>
              <w:pStyle w:val="13"/>
            </w:pPr>
            <w:r>
              <w:t>空调运行维护次数</w:t>
            </w:r>
          </w:p>
        </w:tc>
        <w:tc>
          <w:tcPr>
            <w:tcW w:w="2268" w:type="dxa"/>
            <w:vAlign w:val="center"/>
          </w:tcPr>
          <w:p>
            <w:pPr>
              <w:pStyle w:val="13"/>
            </w:pPr>
            <w:r>
              <w:t>≥2次</w:t>
            </w:r>
          </w:p>
        </w:tc>
        <w:tc>
          <w:tcPr>
            <w:tcW w:w="1276" w:type="dxa"/>
            <w:vAlign w:val="center"/>
          </w:tcPr>
          <w:p>
            <w:pPr>
              <w:pStyle w:val="13"/>
            </w:pPr>
            <w:r>
              <w:t>政务服务中心工作经费工作实施计划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设备正常运行</w:t>
            </w:r>
          </w:p>
        </w:tc>
        <w:tc>
          <w:tcPr>
            <w:tcW w:w="5386" w:type="dxa"/>
            <w:vAlign w:val="center"/>
          </w:tcPr>
          <w:p>
            <w:pPr>
              <w:pStyle w:val="13"/>
            </w:pPr>
            <w:r>
              <w:t>设备正常运行天数</w:t>
            </w:r>
          </w:p>
        </w:tc>
        <w:tc>
          <w:tcPr>
            <w:tcW w:w="2268" w:type="dxa"/>
            <w:vAlign w:val="center"/>
          </w:tcPr>
          <w:p>
            <w:pPr>
              <w:pStyle w:val="13"/>
            </w:pPr>
            <w:r>
              <w:t>≥360天</w:t>
            </w:r>
          </w:p>
        </w:tc>
        <w:tc>
          <w:tcPr>
            <w:tcW w:w="1276" w:type="dxa"/>
            <w:vAlign w:val="center"/>
          </w:tcPr>
          <w:p>
            <w:pPr>
              <w:pStyle w:val="13"/>
            </w:pPr>
            <w:r>
              <w:t>政务服务中心工作经费工作实施计划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消防设施情况</w:t>
            </w:r>
          </w:p>
        </w:tc>
        <w:tc>
          <w:tcPr>
            <w:tcW w:w="5386" w:type="dxa"/>
            <w:vAlign w:val="center"/>
          </w:tcPr>
          <w:p>
            <w:pPr>
              <w:pStyle w:val="13"/>
            </w:pPr>
            <w:r>
              <w:t>消防设施数量</w:t>
            </w:r>
          </w:p>
        </w:tc>
        <w:tc>
          <w:tcPr>
            <w:tcW w:w="2268" w:type="dxa"/>
            <w:vAlign w:val="center"/>
          </w:tcPr>
          <w:p>
            <w:pPr>
              <w:pStyle w:val="13"/>
            </w:pPr>
            <w:r>
              <w:t>≥50个</w:t>
            </w:r>
          </w:p>
        </w:tc>
        <w:tc>
          <w:tcPr>
            <w:tcW w:w="1276" w:type="dxa"/>
            <w:vAlign w:val="center"/>
          </w:tcPr>
          <w:p>
            <w:pPr>
              <w:pStyle w:val="13"/>
            </w:pPr>
            <w:r>
              <w:t>政务服务中心工作经费工作实施计划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设施设备使用情况</w:t>
            </w:r>
          </w:p>
        </w:tc>
        <w:tc>
          <w:tcPr>
            <w:tcW w:w="5386" w:type="dxa"/>
            <w:vAlign w:val="center"/>
          </w:tcPr>
          <w:p>
            <w:pPr>
              <w:pStyle w:val="13"/>
            </w:pPr>
            <w:r>
              <w:t>设施设备正常运行情况</w:t>
            </w:r>
          </w:p>
        </w:tc>
        <w:tc>
          <w:tcPr>
            <w:tcW w:w="2268" w:type="dxa"/>
            <w:vAlign w:val="center"/>
          </w:tcPr>
          <w:p>
            <w:pPr>
              <w:pStyle w:val="13"/>
            </w:pPr>
            <w:r>
              <w:t>≥95%</w:t>
            </w:r>
          </w:p>
        </w:tc>
        <w:tc>
          <w:tcPr>
            <w:tcW w:w="1276" w:type="dxa"/>
            <w:vAlign w:val="center"/>
          </w:tcPr>
          <w:p>
            <w:pPr>
              <w:pStyle w:val="13"/>
            </w:pPr>
            <w:r>
              <w:t>政务服务中心工作经费工作实施计划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故障维修及时性</w:t>
            </w:r>
          </w:p>
        </w:tc>
        <w:tc>
          <w:tcPr>
            <w:tcW w:w="5386" w:type="dxa"/>
            <w:vAlign w:val="center"/>
          </w:tcPr>
          <w:p>
            <w:pPr>
              <w:pStyle w:val="13"/>
            </w:pPr>
            <w:r>
              <w:t>故障维修及时情况</w:t>
            </w:r>
          </w:p>
        </w:tc>
        <w:tc>
          <w:tcPr>
            <w:tcW w:w="2268" w:type="dxa"/>
            <w:vAlign w:val="center"/>
          </w:tcPr>
          <w:p>
            <w:pPr>
              <w:pStyle w:val="13"/>
            </w:pPr>
            <w:r>
              <w:t>≤2天</w:t>
            </w:r>
          </w:p>
        </w:tc>
        <w:tc>
          <w:tcPr>
            <w:tcW w:w="1276" w:type="dxa"/>
            <w:vAlign w:val="center"/>
          </w:tcPr>
          <w:p>
            <w:pPr>
              <w:pStyle w:val="13"/>
            </w:pPr>
            <w:r>
              <w:t>政务服务中心工作经费工作实施计划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预算全年成本控制数</w:t>
            </w:r>
          </w:p>
        </w:tc>
        <w:tc>
          <w:tcPr>
            <w:tcW w:w="5386" w:type="dxa"/>
            <w:vAlign w:val="center"/>
          </w:tcPr>
          <w:p>
            <w:pPr>
              <w:pStyle w:val="13"/>
            </w:pPr>
            <w:r>
              <w:t>全年实际发生费用</w:t>
            </w:r>
          </w:p>
        </w:tc>
        <w:tc>
          <w:tcPr>
            <w:tcW w:w="2268" w:type="dxa"/>
            <w:vAlign w:val="center"/>
          </w:tcPr>
          <w:p>
            <w:pPr>
              <w:pStyle w:val="13"/>
            </w:pPr>
            <w:r>
              <w:t>≤859620元</w:t>
            </w:r>
          </w:p>
        </w:tc>
        <w:tc>
          <w:tcPr>
            <w:tcW w:w="1276" w:type="dxa"/>
            <w:vAlign w:val="center"/>
          </w:tcPr>
          <w:p>
            <w:pPr>
              <w:pStyle w:val="13"/>
            </w:pPr>
            <w:r>
              <w:t>政务服务中心工作经费工作实施计划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社会稳定水平提升度</w:t>
            </w:r>
          </w:p>
        </w:tc>
        <w:tc>
          <w:tcPr>
            <w:tcW w:w="5386" w:type="dxa"/>
            <w:vAlign w:val="center"/>
          </w:tcPr>
          <w:p>
            <w:pPr>
              <w:pStyle w:val="13"/>
            </w:pPr>
            <w:r>
              <w:t>社会稳定水平提升情况</w:t>
            </w:r>
          </w:p>
        </w:tc>
        <w:tc>
          <w:tcPr>
            <w:tcW w:w="2268" w:type="dxa"/>
            <w:vAlign w:val="center"/>
          </w:tcPr>
          <w:p>
            <w:pPr>
              <w:pStyle w:val="13"/>
            </w:pPr>
            <w:r>
              <w:t>≥95%</w:t>
            </w:r>
          </w:p>
        </w:tc>
        <w:tc>
          <w:tcPr>
            <w:tcW w:w="1276" w:type="dxa"/>
            <w:vAlign w:val="center"/>
          </w:tcPr>
          <w:p>
            <w:pPr>
              <w:pStyle w:val="13"/>
            </w:pPr>
            <w:r>
              <w:t>政务服务中心工作经费工作实施计划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202保定市徐水区行政审批局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48.85</w:t>
            </w:r>
          </w:p>
        </w:tc>
        <w:tc>
          <w:tcPr>
            <w:tcW w:w="964" w:type="dxa"/>
            <w:vAlign w:val="center"/>
          </w:tcPr>
          <w:p>
            <w:pPr>
              <w:pStyle w:val="16"/>
            </w:pPr>
            <w:r>
              <w:t>48.85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48.85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保定市徐水区行政审批局本级小计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48.85</w:t>
            </w:r>
          </w:p>
        </w:tc>
        <w:tc>
          <w:tcPr>
            <w:tcW w:w="964" w:type="dxa"/>
            <w:vAlign w:val="center"/>
          </w:tcPr>
          <w:p>
            <w:pPr>
              <w:pStyle w:val="16"/>
            </w:pPr>
            <w:r>
              <w:t>48.85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48.85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环评审批事项专家评估服务费用</w:t>
            </w:r>
          </w:p>
        </w:tc>
        <w:tc>
          <w:tcPr>
            <w:tcW w:w="964" w:type="dxa"/>
            <w:vAlign w:val="center"/>
          </w:tcPr>
          <w:p>
            <w:pPr>
              <w:pStyle w:val="12"/>
            </w:pPr>
            <w:r>
              <w:t>38.85</w:t>
            </w:r>
          </w:p>
        </w:tc>
        <w:tc>
          <w:tcPr>
            <w:tcW w:w="1134" w:type="dxa"/>
            <w:vAlign w:val="center"/>
          </w:tcPr>
          <w:p>
            <w:pPr>
              <w:pStyle w:val="13"/>
            </w:pPr>
            <w:r>
              <w:t>环境评估服务</w:t>
            </w:r>
          </w:p>
        </w:tc>
        <w:tc>
          <w:tcPr>
            <w:tcW w:w="1134" w:type="dxa"/>
            <w:vAlign w:val="center"/>
          </w:tcPr>
          <w:p>
            <w:pPr>
              <w:pStyle w:val="13"/>
            </w:pPr>
            <w:r>
              <w:t>C20020800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38.85</w:t>
            </w:r>
          </w:p>
        </w:tc>
        <w:tc>
          <w:tcPr>
            <w:tcW w:w="964" w:type="dxa"/>
            <w:vAlign w:val="center"/>
          </w:tcPr>
          <w:p>
            <w:pPr>
              <w:pStyle w:val="12"/>
            </w:pPr>
            <w:r>
              <w:t>38.85</w:t>
            </w:r>
          </w:p>
        </w:tc>
        <w:tc>
          <w:tcPr>
            <w:tcW w:w="964" w:type="dxa"/>
            <w:vAlign w:val="center"/>
          </w:tcPr>
          <w:p>
            <w:pPr>
              <w:pStyle w:val="12"/>
            </w:pPr>
            <w:r>
              <w:t>38.85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政务服务中心工作经费</w:t>
            </w:r>
          </w:p>
        </w:tc>
        <w:tc>
          <w:tcPr>
            <w:tcW w:w="964" w:type="dxa"/>
            <w:vAlign w:val="center"/>
          </w:tcPr>
          <w:p>
            <w:pPr>
              <w:pStyle w:val="12"/>
            </w:pPr>
            <w:r>
              <w:t>85.96</w:t>
            </w:r>
          </w:p>
        </w:tc>
        <w:tc>
          <w:tcPr>
            <w:tcW w:w="1134" w:type="dxa"/>
            <w:vAlign w:val="center"/>
          </w:tcPr>
          <w:p>
            <w:pPr>
              <w:pStyle w:val="13"/>
            </w:pPr>
            <w:r>
              <w:t>终端机</w:t>
            </w:r>
          </w:p>
        </w:tc>
        <w:tc>
          <w:tcPr>
            <w:tcW w:w="1134" w:type="dxa"/>
            <w:vAlign w:val="center"/>
          </w:tcPr>
          <w:p>
            <w:pPr>
              <w:pStyle w:val="13"/>
            </w:pPr>
            <w:r>
              <w:t>A02010402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保定市徐水区行政审批局（含所属单位）上年末固定资产金额为485.76万元（详见下表）。本年度拟购置固定资产总额为10.00万元，已按要求列入政府采购预算，详见政府采购预算表。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202保定市徐水区行政审批局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485.76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40.49</w:t>
            </w:r>
          </w:p>
        </w:tc>
        <w:tc>
          <w:tcPr>
            <w:tcW w:w="2835" w:type="dxa"/>
            <w:vAlign w:val="center"/>
          </w:tcPr>
          <w:p>
            <w:pPr>
              <w:pStyle w:val="12"/>
            </w:pPr>
            <w:r>
              <w:t>4.83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40.49</w:t>
            </w:r>
          </w:p>
        </w:tc>
        <w:tc>
          <w:tcPr>
            <w:tcW w:w="2835" w:type="dxa"/>
            <w:vAlign w:val="center"/>
          </w:tcPr>
          <w:p>
            <w:pPr>
              <w:pStyle w:val="12"/>
            </w:pPr>
            <w:r>
              <w:t>4.83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1305</w:t>
            </w:r>
          </w:p>
        </w:tc>
        <w:tc>
          <w:tcPr>
            <w:tcW w:w="2835" w:type="dxa"/>
            <w:vAlign w:val="center"/>
          </w:tcPr>
          <w:p>
            <w:pPr>
              <w:pStyle w:val="12"/>
            </w:pPr>
            <w:r>
              <w:t>480.93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A2791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TotalTime>5</TotalTime>
  <ScaleCrop>false</ScaleCrop>
  <LinksUpToDate>false</LinksUpToDate>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2025-02-24T16:36:00Z</dcterms:created>
  <dc:creator>Administrator</dc:creator>
  <cp:lastModifiedBy>user</cp:lastModifiedBy>
  <dcterms:modified xsi:type="dcterms:W3CDTF">2025-02-24T08:48:24Z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89C2C2D637A348609CD0BCA88E3BEF8E</vt:lpwstr>
  </property>
</Properties>
</file>